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drawings/drawing1.xml" ContentType="application/vnd.openxmlformats-officedocument.drawingml.chartshapes+xml"/>
  <Override PartName="/word/charts/chart3.xml" ContentType="application/vnd.openxmlformats-officedocument.drawingml.chart+xml"/>
  <Override PartName="/word/drawings/drawing2.xml" ContentType="application/vnd.openxmlformats-officedocument.drawingml.chartshapes+xml"/>
  <Override PartName="/word/charts/chart4.xml" ContentType="application/vnd.openxmlformats-officedocument.drawingml.chart+xml"/>
  <Override PartName="/word/drawings/drawing3.xml" ContentType="application/vnd.openxmlformats-officedocument.drawingml.chartshapes+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drawings/drawing4.xml" ContentType="application/vnd.openxmlformats-officedocument.drawingml.chartshapes+xml"/>
  <Override PartName="/word/charts/chart8.xml" ContentType="application/vnd.openxmlformats-officedocument.drawingml.chart+xml"/>
  <Override PartName="/word/charts/chart9.xml" ContentType="application/vnd.openxmlformats-officedocument.drawingml.chart+xml"/>
  <Override PartName="/word/drawings/drawing5.xml" ContentType="application/vnd.openxmlformats-officedocument.drawingml.chartshapes+xml"/>
  <Override PartName="/word/charts/chart10.xml" ContentType="application/vnd.openxmlformats-officedocument.drawingml.chart+xml"/>
  <Override PartName="/word/drawings/drawing6.xml" ContentType="application/vnd.openxmlformats-officedocument.drawingml.chartshapes+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theme/themeOverride1.xml" ContentType="application/vnd.openxmlformats-officedocument.themeOverrid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843FF" w:rsidRDefault="002843FF" w:rsidP="00AE1078"/>
    <w:p w:rsidR="009A1F67" w:rsidRDefault="009A1F67" w:rsidP="00AE1078"/>
    <w:p w:rsidR="00B6083A" w:rsidRDefault="00B6083A" w:rsidP="00037C91">
      <w:pPr>
        <w:pStyle w:val="Ttol"/>
        <w:pBdr>
          <w:bottom w:val="none" w:sz="0" w:space="0" w:color="auto"/>
        </w:pBdr>
      </w:pPr>
      <w:r>
        <w:rPr>
          <w:noProof/>
          <w:lang w:eastAsia="ca-ES"/>
        </w:rPr>
        <w:drawing>
          <wp:inline distT="0" distB="0" distL="0" distR="0" wp14:anchorId="0ADFA264" wp14:editId="40657C2B">
            <wp:extent cx="5931877" cy="3954586"/>
            <wp:effectExtent l="0" t="0" r="0" b="8255"/>
            <wp:docPr id="62" name="Imatge 62" descr="Abstract, Background, Beautiful, Black, Branch, B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bstract, Background, Beautiful, Black, Branch, Brigh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087" cy="3960059"/>
                    </a:xfrm>
                    <a:prstGeom prst="rect">
                      <a:avLst/>
                    </a:prstGeom>
                    <a:ln>
                      <a:noFill/>
                    </a:ln>
                    <a:effectLst>
                      <a:softEdge rad="112500"/>
                    </a:effectLst>
                  </pic:spPr>
                </pic:pic>
              </a:graphicData>
            </a:graphic>
          </wp:inline>
        </w:drawing>
      </w:r>
    </w:p>
    <w:p w:rsidR="00B6083A" w:rsidRDefault="00B6083A" w:rsidP="00037C91">
      <w:pPr>
        <w:pStyle w:val="Ttol"/>
        <w:pBdr>
          <w:bottom w:val="none" w:sz="0" w:space="0" w:color="auto"/>
        </w:pBdr>
      </w:pPr>
    </w:p>
    <w:p w:rsidR="002843FF" w:rsidRDefault="004C3B3C" w:rsidP="00037C91">
      <w:pPr>
        <w:pStyle w:val="Ttol"/>
        <w:pBdr>
          <w:bottom w:val="none" w:sz="0" w:space="0" w:color="auto"/>
        </w:pBdr>
      </w:pPr>
      <w:r w:rsidRPr="00CE36AA">
        <w:t>Bases per a</w:t>
      </w:r>
      <w:r w:rsidR="005E2420" w:rsidRPr="00CE36AA">
        <w:t xml:space="preserve"> </w:t>
      </w:r>
      <w:r w:rsidRPr="00CE36AA">
        <w:t>l</w:t>
      </w:r>
      <w:r w:rsidR="005E2420" w:rsidRPr="00CE36AA">
        <w:t>’elaboració del</w:t>
      </w:r>
    </w:p>
    <w:p w:rsidR="00037C91" w:rsidRDefault="004C3B3C" w:rsidP="00037C91">
      <w:pPr>
        <w:pStyle w:val="Ttol"/>
        <w:pBdr>
          <w:bottom w:val="none" w:sz="0" w:space="0" w:color="auto"/>
        </w:pBdr>
        <w:rPr>
          <w:i/>
        </w:rPr>
      </w:pPr>
      <w:r w:rsidRPr="002843FF">
        <w:rPr>
          <w:i/>
        </w:rPr>
        <w:t xml:space="preserve">Llibre </w:t>
      </w:r>
      <w:r w:rsidR="00FA2114" w:rsidRPr="002843FF">
        <w:rPr>
          <w:i/>
        </w:rPr>
        <w:t>b</w:t>
      </w:r>
      <w:r w:rsidRPr="002843FF">
        <w:rPr>
          <w:i/>
        </w:rPr>
        <w:t xml:space="preserve">lanc </w:t>
      </w:r>
    </w:p>
    <w:p w:rsidR="00EB5443" w:rsidRDefault="004C3B3C" w:rsidP="00037C91">
      <w:pPr>
        <w:pStyle w:val="Ttol"/>
        <w:pBdr>
          <w:bottom w:val="none" w:sz="0" w:space="0" w:color="auto"/>
        </w:pBdr>
        <w:rPr>
          <w:i/>
        </w:rPr>
      </w:pPr>
      <w:r w:rsidRPr="002843FF">
        <w:rPr>
          <w:i/>
        </w:rPr>
        <w:t>de</w:t>
      </w:r>
      <w:r w:rsidR="005E2420" w:rsidRPr="002843FF">
        <w:rPr>
          <w:i/>
        </w:rPr>
        <w:t xml:space="preserve"> </w:t>
      </w:r>
      <w:r w:rsidRPr="002843FF">
        <w:rPr>
          <w:i/>
        </w:rPr>
        <w:t>l</w:t>
      </w:r>
      <w:r w:rsidR="005E2420" w:rsidRPr="002843FF">
        <w:rPr>
          <w:i/>
        </w:rPr>
        <w:t>’execució</w:t>
      </w:r>
      <w:r w:rsidR="006F56B1" w:rsidRPr="002843FF">
        <w:rPr>
          <w:i/>
        </w:rPr>
        <w:t xml:space="preserve"> penal</w:t>
      </w:r>
      <w:r w:rsidR="005E2420" w:rsidRPr="002843FF">
        <w:rPr>
          <w:i/>
        </w:rPr>
        <w:t xml:space="preserve"> a Catalunya:</w:t>
      </w:r>
      <w:r w:rsidR="002843FF" w:rsidRPr="002843FF">
        <w:rPr>
          <w:i/>
        </w:rPr>
        <w:t xml:space="preserve"> </w:t>
      </w:r>
    </w:p>
    <w:p w:rsidR="00DB0B6B" w:rsidRPr="002843FF" w:rsidRDefault="005E2420" w:rsidP="00037C91">
      <w:pPr>
        <w:pStyle w:val="Ttol"/>
        <w:pBdr>
          <w:bottom w:val="none" w:sz="0" w:space="0" w:color="auto"/>
        </w:pBdr>
        <w:rPr>
          <w:i/>
        </w:rPr>
      </w:pPr>
      <w:r w:rsidRPr="002843FF">
        <w:rPr>
          <w:i/>
        </w:rPr>
        <w:t xml:space="preserve">la rehabilitació com a </w:t>
      </w:r>
      <w:r w:rsidR="00B0619F" w:rsidRPr="002843FF">
        <w:rPr>
          <w:i/>
        </w:rPr>
        <w:t>missió</w:t>
      </w:r>
    </w:p>
    <w:p w:rsidR="006A4109" w:rsidRDefault="006A4109">
      <w:pPr>
        <w:spacing w:before="0"/>
        <w:jc w:val="left"/>
      </w:pPr>
    </w:p>
    <w:p w:rsidR="00B6083A" w:rsidRDefault="00B6083A">
      <w:pPr>
        <w:spacing w:before="0"/>
        <w:jc w:val="left"/>
      </w:pPr>
      <w:r>
        <w:br w:type="page"/>
      </w:r>
    </w:p>
    <w:p w:rsidR="006A4109" w:rsidRDefault="00AE1078" w:rsidP="00A522BE">
      <w:pPr>
        <w:pStyle w:val="Ttol"/>
        <w:pBdr>
          <w:bottom w:val="single" w:sz="4" w:space="1" w:color="auto"/>
        </w:pBdr>
      </w:pPr>
      <w:r>
        <w:lastRenderedPageBreak/>
        <w:t>Equip col·laborador</w:t>
      </w:r>
    </w:p>
    <w:p w:rsidR="006A4109" w:rsidRDefault="006A4109" w:rsidP="00F546E2"/>
    <w:tbl>
      <w:tblPr>
        <w:tblStyle w:val="Taulaambquadrcula"/>
        <w:tblW w:w="0" w:type="auto"/>
        <w:jc w:val="right"/>
        <w:tblInd w:w="1733" w:type="dxa"/>
        <w:tblLook w:val="04A0" w:firstRow="1" w:lastRow="0" w:firstColumn="1" w:lastColumn="0" w:noHBand="0" w:noVBand="1"/>
      </w:tblPr>
      <w:tblGrid>
        <w:gridCol w:w="851"/>
        <w:gridCol w:w="2551"/>
        <w:gridCol w:w="4076"/>
      </w:tblGrid>
      <w:tr w:rsidR="00BE2F2A" w:rsidRPr="00BE2F2A" w:rsidTr="0006536D">
        <w:trPr>
          <w:jc w:val="right"/>
        </w:trPr>
        <w:tc>
          <w:tcPr>
            <w:tcW w:w="851" w:type="dxa"/>
            <w:tcBorders>
              <w:top w:val="nil"/>
              <w:left w:val="nil"/>
            </w:tcBorders>
          </w:tcPr>
          <w:p w:rsidR="00340820" w:rsidRPr="009A1F67" w:rsidRDefault="00340820" w:rsidP="008F4FDE">
            <w:pPr>
              <w:jc w:val="right"/>
              <w:rPr>
                <w:rFonts w:ascii="Arial Narrow" w:hAnsi="Arial Narrow"/>
                <w:color w:val="4A442A" w:themeColor="background2" w:themeShade="40"/>
              </w:rPr>
            </w:pPr>
          </w:p>
        </w:tc>
        <w:tc>
          <w:tcPr>
            <w:tcW w:w="2551" w:type="dxa"/>
          </w:tcPr>
          <w:p w:rsidR="00340820" w:rsidRPr="009A1F67" w:rsidRDefault="00340820" w:rsidP="008F4FDE">
            <w:pPr>
              <w:jc w:val="left"/>
              <w:rPr>
                <w:rFonts w:ascii="Arial Narrow" w:hAnsi="Arial Narrow"/>
                <w:b/>
                <w:color w:val="4A442A" w:themeColor="background2" w:themeShade="40"/>
              </w:rPr>
            </w:pPr>
            <w:r w:rsidRPr="009A1F67">
              <w:rPr>
                <w:rFonts w:ascii="Arial Narrow" w:hAnsi="Arial Narrow"/>
                <w:b/>
                <w:color w:val="4A442A" w:themeColor="background2" w:themeShade="40"/>
              </w:rPr>
              <w:t>Coordinadors</w:t>
            </w:r>
          </w:p>
        </w:tc>
        <w:tc>
          <w:tcPr>
            <w:tcW w:w="4076" w:type="dxa"/>
          </w:tcPr>
          <w:p w:rsidR="00340820" w:rsidRPr="009A1F67" w:rsidRDefault="00340820" w:rsidP="008F4FDE">
            <w:pPr>
              <w:jc w:val="left"/>
              <w:rPr>
                <w:rFonts w:ascii="Arial Narrow" w:hAnsi="Arial Narrow"/>
                <w:b/>
                <w:color w:val="4A442A" w:themeColor="background2" w:themeShade="40"/>
              </w:rPr>
            </w:pPr>
            <w:r w:rsidRPr="009A1F67">
              <w:rPr>
                <w:rFonts w:ascii="Arial Narrow" w:hAnsi="Arial Narrow"/>
                <w:b/>
                <w:color w:val="4A442A" w:themeColor="background2" w:themeShade="40"/>
              </w:rPr>
              <w:t>Autors</w:t>
            </w:r>
          </w:p>
        </w:tc>
      </w:tr>
      <w:tr w:rsidR="00BE2F2A" w:rsidRPr="00BE2F2A" w:rsidTr="0006536D">
        <w:trPr>
          <w:jc w:val="right"/>
        </w:trPr>
        <w:tc>
          <w:tcPr>
            <w:tcW w:w="851" w:type="dxa"/>
          </w:tcPr>
          <w:p w:rsidR="00340820" w:rsidRPr="009A1F67" w:rsidRDefault="00340820" w:rsidP="008F4FDE">
            <w:pPr>
              <w:jc w:val="right"/>
              <w:rPr>
                <w:rFonts w:ascii="Arial Narrow" w:hAnsi="Arial Narrow"/>
                <w:color w:val="4A442A" w:themeColor="background2" w:themeShade="40"/>
              </w:rPr>
            </w:pPr>
            <w:r w:rsidRPr="009A1F67">
              <w:rPr>
                <w:rFonts w:ascii="Arial Narrow" w:hAnsi="Arial Narrow"/>
                <w:color w:val="4A442A" w:themeColor="background2" w:themeShade="40"/>
              </w:rPr>
              <w:t>Bloc 1</w:t>
            </w:r>
          </w:p>
        </w:tc>
        <w:tc>
          <w:tcPr>
            <w:tcW w:w="2551" w:type="dxa"/>
          </w:tcPr>
          <w:p w:rsidR="00340820" w:rsidRPr="009A1F67" w:rsidRDefault="007E6641" w:rsidP="008F4FDE">
            <w:pPr>
              <w:jc w:val="left"/>
              <w:rPr>
                <w:rFonts w:ascii="Arial Narrow" w:hAnsi="Arial Narrow"/>
                <w:color w:val="4A442A" w:themeColor="background2" w:themeShade="40"/>
              </w:rPr>
            </w:pPr>
            <w:r w:rsidRPr="009A1F67">
              <w:rPr>
                <w:rFonts w:ascii="Arial Narrow" w:hAnsi="Arial Narrow"/>
                <w:color w:val="4A442A" w:themeColor="background2" w:themeShade="40"/>
              </w:rPr>
              <w:t>Mercedes Sanchez</w:t>
            </w:r>
          </w:p>
        </w:tc>
        <w:tc>
          <w:tcPr>
            <w:tcW w:w="4076" w:type="dxa"/>
          </w:tcPr>
          <w:p w:rsidR="00340820" w:rsidRPr="009A1F67" w:rsidRDefault="007E6641" w:rsidP="008F4FDE">
            <w:pPr>
              <w:jc w:val="left"/>
              <w:rPr>
                <w:rFonts w:ascii="Arial Narrow" w:hAnsi="Arial Narrow"/>
                <w:color w:val="4A442A" w:themeColor="background2" w:themeShade="40"/>
              </w:rPr>
            </w:pPr>
            <w:r w:rsidRPr="009A1F67">
              <w:rPr>
                <w:rFonts w:ascii="Arial Narrow" w:hAnsi="Arial Narrow"/>
                <w:color w:val="4A442A" w:themeColor="background2" w:themeShade="40"/>
              </w:rPr>
              <w:t>José Antonio López</w:t>
            </w:r>
          </w:p>
          <w:p w:rsidR="00FA7CE7" w:rsidRPr="009A1F67" w:rsidRDefault="00FA7CE7" w:rsidP="008F4FDE">
            <w:pPr>
              <w:jc w:val="left"/>
              <w:rPr>
                <w:rFonts w:ascii="Arial Narrow" w:hAnsi="Arial Narrow"/>
                <w:color w:val="4A442A" w:themeColor="background2" w:themeShade="40"/>
              </w:rPr>
            </w:pPr>
            <w:r w:rsidRPr="009A1F67">
              <w:rPr>
                <w:rFonts w:ascii="Arial Narrow" w:hAnsi="Arial Narrow"/>
                <w:color w:val="4A442A" w:themeColor="background2" w:themeShade="40"/>
              </w:rPr>
              <w:t>Xavier Hernández</w:t>
            </w:r>
          </w:p>
        </w:tc>
      </w:tr>
      <w:tr w:rsidR="00BE2F2A" w:rsidRPr="00BE2F2A" w:rsidTr="0006536D">
        <w:trPr>
          <w:jc w:val="right"/>
        </w:trPr>
        <w:tc>
          <w:tcPr>
            <w:tcW w:w="851" w:type="dxa"/>
          </w:tcPr>
          <w:p w:rsidR="006A4109" w:rsidRPr="009A1F67" w:rsidRDefault="00340820" w:rsidP="008F4FDE">
            <w:pPr>
              <w:jc w:val="right"/>
              <w:rPr>
                <w:rFonts w:ascii="Arial Narrow" w:hAnsi="Arial Narrow"/>
                <w:color w:val="4A442A" w:themeColor="background2" w:themeShade="40"/>
              </w:rPr>
            </w:pPr>
            <w:r w:rsidRPr="009A1F67">
              <w:rPr>
                <w:rFonts w:ascii="Arial Narrow" w:hAnsi="Arial Narrow"/>
                <w:color w:val="4A442A" w:themeColor="background2" w:themeShade="40"/>
              </w:rPr>
              <w:t>Bloc 2</w:t>
            </w:r>
          </w:p>
        </w:tc>
        <w:tc>
          <w:tcPr>
            <w:tcW w:w="2551" w:type="dxa"/>
          </w:tcPr>
          <w:p w:rsidR="006A4109" w:rsidRPr="009A1F67" w:rsidRDefault="007E6641" w:rsidP="008F4FDE">
            <w:pPr>
              <w:jc w:val="left"/>
              <w:rPr>
                <w:rFonts w:ascii="Arial Narrow" w:hAnsi="Arial Narrow"/>
                <w:color w:val="4A442A" w:themeColor="background2" w:themeShade="40"/>
              </w:rPr>
            </w:pPr>
            <w:r w:rsidRPr="009A1F67">
              <w:rPr>
                <w:rFonts w:ascii="Arial Narrow" w:hAnsi="Arial Narrow"/>
                <w:color w:val="4A442A" w:themeColor="background2" w:themeShade="40"/>
              </w:rPr>
              <w:t>Mercedes Sanchez</w:t>
            </w:r>
          </w:p>
        </w:tc>
        <w:tc>
          <w:tcPr>
            <w:tcW w:w="4076" w:type="dxa"/>
          </w:tcPr>
          <w:p w:rsidR="006A4109" w:rsidRPr="009A1F67" w:rsidRDefault="007E6641" w:rsidP="008F4FDE">
            <w:pPr>
              <w:jc w:val="left"/>
              <w:rPr>
                <w:rFonts w:ascii="Arial Narrow" w:hAnsi="Arial Narrow"/>
                <w:color w:val="4A442A" w:themeColor="background2" w:themeShade="40"/>
              </w:rPr>
            </w:pPr>
            <w:r w:rsidRPr="009A1F67">
              <w:rPr>
                <w:rFonts w:ascii="Arial Narrow" w:hAnsi="Arial Narrow"/>
                <w:color w:val="4A442A" w:themeColor="background2" w:themeShade="40"/>
              </w:rPr>
              <w:t>José Antonio López</w:t>
            </w:r>
          </w:p>
          <w:p w:rsidR="007E6641" w:rsidRPr="009A1F67" w:rsidRDefault="007E6641" w:rsidP="008F4FDE">
            <w:pPr>
              <w:jc w:val="left"/>
              <w:rPr>
                <w:rFonts w:ascii="Arial Narrow" w:hAnsi="Arial Narrow"/>
                <w:color w:val="4A442A" w:themeColor="background2" w:themeShade="40"/>
              </w:rPr>
            </w:pPr>
            <w:r w:rsidRPr="009A1F67">
              <w:rPr>
                <w:rFonts w:ascii="Arial Narrow" w:hAnsi="Arial Narrow"/>
                <w:color w:val="4A442A" w:themeColor="background2" w:themeShade="40"/>
              </w:rPr>
              <w:t>Roser Galtés</w:t>
            </w:r>
          </w:p>
          <w:p w:rsidR="007E6641" w:rsidRPr="009A1F67" w:rsidRDefault="007E6641" w:rsidP="008F4FDE">
            <w:pPr>
              <w:jc w:val="left"/>
              <w:rPr>
                <w:rFonts w:ascii="Arial Narrow" w:hAnsi="Arial Narrow"/>
                <w:color w:val="4A442A" w:themeColor="background2" w:themeShade="40"/>
              </w:rPr>
            </w:pPr>
            <w:r w:rsidRPr="009A1F67">
              <w:rPr>
                <w:rFonts w:ascii="Arial Narrow" w:hAnsi="Arial Narrow"/>
                <w:color w:val="4A442A" w:themeColor="background2" w:themeShade="40"/>
              </w:rPr>
              <w:t>Mercedes Sánchez</w:t>
            </w:r>
          </w:p>
        </w:tc>
      </w:tr>
      <w:tr w:rsidR="00BE2F2A" w:rsidRPr="00BE2F2A" w:rsidTr="0006536D">
        <w:trPr>
          <w:jc w:val="right"/>
        </w:trPr>
        <w:tc>
          <w:tcPr>
            <w:tcW w:w="851" w:type="dxa"/>
          </w:tcPr>
          <w:p w:rsidR="006A4109" w:rsidRPr="009A1F67" w:rsidRDefault="006A4109" w:rsidP="008F4FDE">
            <w:pPr>
              <w:jc w:val="right"/>
              <w:rPr>
                <w:rFonts w:ascii="Arial Narrow" w:hAnsi="Arial Narrow"/>
                <w:color w:val="4A442A" w:themeColor="background2" w:themeShade="40"/>
              </w:rPr>
            </w:pPr>
            <w:r w:rsidRPr="009A1F67">
              <w:rPr>
                <w:rFonts w:ascii="Arial Narrow" w:hAnsi="Arial Narrow"/>
                <w:color w:val="4A442A" w:themeColor="background2" w:themeShade="40"/>
              </w:rPr>
              <w:t>Bloc 3</w:t>
            </w:r>
          </w:p>
        </w:tc>
        <w:tc>
          <w:tcPr>
            <w:tcW w:w="2551" w:type="dxa"/>
          </w:tcPr>
          <w:p w:rsidR="006A4109" w:rsidRPr="009A1F67" w:rsidRDefault="006A4109" w:rsidP="008F4FDE">
            <w:pPr>
              <w:jc w:val="left"/>
              <w:rPr>
                <w:rFonts w:ascii="Arial Narrow" w:hAnsi="Arial Narrow"/>
                <w:color w:val="4A442A" w:themeColor="background2" w:themeShade="40"/>
              </w:rPr>
            </w:pPr>
            <w:r w:rsidRPr="009A1F67">
              <w:rPr>
                <w:rFonts w:ascii="Arial Narrow" w:hAnsi="Arial Narrow"/>
                <w:color w:val="4A442A" w:themeColor="background2" w:themeShade="40"/>
              </w:rPr>
              <w:t>Eulàlia Luque</w:t>
            </w:r>
          </w:p>
        </w:tc>
        <w:tc>
          <w:tcPr>
            <w:tcW w:w="4076" w:type="dxa"/>
          </w:tcPr>
          <w:p w:rsidR="006A4109" w:rsidRPr="009A1F67" w:rsidRDefault="006A4109" w:rsidP="008F4FDE">
            <w:pPr>
              <w:jc w:val="left"/>
              <w:rPr>
                <w:rFonts w:ascii="Arial Narrow" w:hAnsi="Arial Narrow"/>
                <w:color w:val="4A442A" w:themeColor="background2" w:themeShade="40"/>
              </w:rPr>
            </w:pPr>
            <w:r w:rsidRPr="009A1F67">
              <w:rPr>
                <w:rFonts w:ascii="Arial Narrow" w:hAnsi="Arial Narrow"/>
                <w:color w:val="4A442A" w:themeColor="background2" w:themeShade="40"/>
              </w:rPr>
              <w:t>Eulàlia Luque</w:t>
            </w:r>
          </w:p>
        </w:tc>
      </w:tr>
      <w:tr w:rsidR="00BE2F2A" w:rsidRPr="00BE2F2A" w:rsidTr="0006536D">
        <w:trPr>
          <w:jc w:val="right"/>
        </w:trPr>
        <w:tc>
          <w:tcPr>
            <w:tcW w:w="851" w:type="dxa"/>
          </w:tcPr>
          <w:p w:rsidR="006A4109" w:rsidRPr="009A1F67" w:rsidRDefault="006A4109" w:rsidP="008F4FDE">
            <w:pPr>
              <w:jc w:val="right"/>
              <w:rPr>
                <w:rFonts w:ascii="Arial Narrow" w:hAnsi="Arial Narrow"/>
                <w:color w:val="4A442A" w:themeColor="background2" w:themeShade="40"/>
              </w:rPr>
            </w:pPr>
            <w:r w:rsidRPr="009A1F67">
              <w:rPr>
                <w:rFonts w:ascii="Arial Narrow" w:hAnsi="Arial Narrow"/>
                <w:color w:val="4A442A" w:themeColor="background2" w:themeShade="40"/>
              </w:rPr>
              <w:t>Bloc 4</w:t>
            </w:r>
          </w:p>
        </w:tc>
        <w:tc>
          <w:tcPr>
            <w:tcW w:w="2551" w:type="dxa"/>
          </w:tcPr>
          <w:p w:rsidR="006A4109" w:rsidRPr="009A1F67" w:rsidRDefault="006A4109" w:rsidP="008F4FDE">
            <w:pPr>
              <w:spacing w:before="0"/>
              <w:jc w:val="left"/>
              <w:rPr>
                <w:rFonts w:ascii="Arial Narrow" w:hAnsi="Arial Narrow"/>
                <w:color w:val="4A442A" w:themeColor="background2" w:themeShade="40"/>
              </w:rPr>
            </w:pPr>
            <w:r w:rsidRPr="009A1F67">
              <w:rPr>
                <w:rFonts w:ascii="Arial Narrow" w:hAnsi="Arial Narrow"/>
                <w:color w:val="4A442A" w:themeColor="background2" w:themeShade="40"/>
              </w:rPr>
              <w:t>Carlos Soler</w:t>
            </w:r>
          </w:p>
          <w:p w:rsidR="006A4109" w:rsidRPr="009A1F67" w:rsidRDefault="006A4109" w:rsidP="008F4FDE">
            <w:pPr>
              <w:jc w:val="left"/>
              <w:rPr>
                <w:rFonts w:ascii="Arial Narrow" w:hAnsi="Arial Narrow"/>
                <w:color w:val="4A442A" w:themeColor="background2" w:themeShade="40"/>
              </w:rPr>
            </w:pPr>
            <w:r w:rsidRPr="009A1F67">
              <w:rPr>
                <w:rFonts w:ascii="Arial Narrow" w:hAnsi="Arial Narrow"/>
                <w:color w:val="4A442A" w:themeColor="background2" w:themeShade="40"/>
              </w:rPr>
              <w:t>Pedro Domínguez</w:t>
            </w:r>
          </w:p>
        </w:tc>
        <w:tc>
          <w:tcPr>
            <w:tcW w:w="4076" w:type="dxa"/>
          </w:tcPr>
          <w:p w:rsidR="006A4109" w:rsidRPr="009A1F67" w:rsidRDefault="006A4109" w:rsidP="008F4FDE">
            <w:pPr>
              <w:spacing w:before="0"/>
              <w:jc w:val="left"/>
              <w:rPr>
                <w:rFonts w:ascii="Arial Narrow" w:hAnsi="Arial Narrow"/>
                <w:color w:val="4A442A" w:themeColor="background2" w:themeShade="40"/>
              </w:rPr>
            </w:pPr>
            <w:r w:rsidRPr="009A1F67">
              <w:rPr>
                <w:rFonts w:ascii="Arial Narrow" w:hAnsi="Arial Narrow"/>
                <w:color w:val="4A442A" w:themeColor="background2" w:themeShade="40"/>
              </w:rPr>
              <w:t xml:space="preserve">Josep Font </w:t>
            </w:r>
          </w:p>
          <w:p w:rsidR="006A4109" w:rsidRPr="009A1F67" w:rsidRDefault="006A4109" w:rsidP="008F4FDE">
            <w:pPr>
              <w:jc w:val="left"/>
              <w:rPr>
                <w:rFonts w:ascii="Arial Narrow" w:hAnsi="Arial Narrow"/>
                <w:color w:val="4A442A" w:themeColor="background2" w:themeShade="40"/>
              </w:rPr>
            </w:pPr>
            <w:r w:rsidRPr="009A1F67">
              <w:rPr>
                <w:rFonts w:ascii="Arial Narrow" w:hAnsi="Arial Narrow"/>
                <w:color w:val="4A442A" w:themeColor="background2" w:themeShade="40"/>
              </w:rPr>
              <w:t>Juanjo Romero</w:t>
            </w:r>
          </w:p>
        </w:tc>
      </w:tr>
      <w:tr w:rsidR="00BE2F2A" w:rsidRPr="00BE2F2A" w:rsidTr="0006536D">
        <w:trPr>
          <w:jc w:val="right"/>
        </w:trPr>
        <w:tc>
          <w:tcPr>
            <w:tcW w:w="851" w:type="dxa"/>
          </w:tcPr>
          <w:p w:rsidR="00AE0A20" w:rsidRPr="009A1F67" w:rsidRDefault="00AE0A20" w:rsidP="008F4FDE">
            <w:pPr>
              <w:jc w:val="right"/>
              <w:rPr>
                <w:rFonts w:ascii="Arial Narrow" w:hAnsi="Arial Narrow"/>
                <w:color w:val="4A442A" w:themeColor="background2" w:themeShade="40"/>
              </w:rPr>
            </w:pPr>
            <w:r w:rsidRPr="009A1F67">
              <w:rPr>
                <w:rFonts w:ascii="Arial Narrow" w:hAnsi="Arial Narrow"/>
                <w:color w:val="4A442A" w:themeColor="background2" w:themeShade="40"/>
              </w:rPr>
              <w:t>Bloc 5</w:t>
            </w:r>
          </w:p>
        </w:tc>
        <w:tc>
          <w:tcPr>
            <w:tcW w:w="2551" w:type="dxa"/>
          </w:tcPr>
          <w:p w:rsidR="00AE0A20" w:rsidRPr="009A1F67" w:rsidRDefault="00AE0A20" w:rsidP="008F4FDE">
            <w:pPr>
              <w:jc w:val="left"/>
              <w:rPr>
                <w:rFonts w:ascii="Arial Narrow" w:hAnsi="Arial Narrow"/>
                <w:color w:val="4A442A" w:themeColor="background2" w:themeShade="40"/>
              </w:rPr>
            </w:pPr>
            <w:r w:rsidRPr="009A1F67">
              <w:rPr>
                <w:rFonts w:ascii="Arial Narrow" w:hAnsi="Arial Narrow"/>
                <w:color w:val="4A442A" w:themeColor="background2" w:themeShade="40"/>
              </w:rPr>
              <w:t>M</w:t>
            </w:r>
            <w:r w:rsidR="00AE1078" w:rsidRPr="009A1F67">
              <w:rPr>
                <w:rFonts w:ascii="Arial Narrow" w:hAnsi="Arial Narrow"/>
                <w:color w:val="4A442A" w:themeColor="background2" w:themeShade="40"/>
              </w:rPr>
              <w:t>iguel</w:t>
            </w:r>
            <w:r w:rsidRPr="009A1F67">
              <w:rPr>
                <w:rFonts w:ascii="Arial Narrow" w:hAnsi="Arial Narrow"/>
                <w:color w:val="4A442A" w:themeColor="background2" w:themeShade="40"/>
              </w:rPr>
              <w:t xml:space="preserve"> Hernández </w:t>
            </w:r>
          </w:p>
        </w:tc>
        <w:tc>
          <w:tcPr>
            <w:tcW w:w="4076" w:type="dxa"/>
          </w:tcPr>
          <w:p w:rsidR="00AE0A20" w:rsidRPr="009A1F67" w:rsidRDefault="00AE0A20" w:rsidP="008F4FDE">
            <w:pPr>
              <w:jc w:val="left"/>
              <w:rPr>
                <w:rFonts w:ascii="Arial Narrow" w:hAnsi="Arial Narrow"/>
                <w:color w:val="4A442A" w:themeColor="background2" w:themeShade="40"/>
              </w:rPr>
            </w:pPr>
            <w:r w:rsidRPr="009A1F67">
              <w:rPr>
                <w:rFonts w:ascii="Arial Narrow" w:hAnsi="Arial Narrow"/>
                <w:color w:val="4A442A" w:themeColor="background2" w:themeShade="40"/>
              </w:rPr>
              <w:t>R  Galtés</w:t>
            </w:r>
          </w:p>
          <w:p w:rsidR="00AE0A20" w:rsidRPr="009A1F67" w:rsidRDefault="00AE0A20" w:rsidP="008F4FDE">
            <w:pPr>
              <w:jc w:val="left"/>
              <w:rPr>
                <w:rFonts w:ascii="Arial Narrow" w:hAnsi="Arial Narrow"/>
                <w:color w:val="4A442A" w:themeColor="background2" w:themeShade="40"/>
              </w:rPr>
            </w:pPr>
            <w:r w:rsidRPr="009A1F67">
              <w:rPr>
                <w:rFonts w:ascii="Arial Narrow" w:hAnsi="Arial Narrow"/>
                <w:color w:val="4A442A" w:themeColor="background2" w:themeShade="40"/>
              </w:rPr>
              <w:t>JM Montero</w:t>
            </w:r>
          </w:p>
          <w:p w:rsidR="00AE0A20" w:rsidRPr="009A1F67" w:rsidRDefault="00AE0A20" w:rsidP="008F4FDE">
            <w:pPr>
              <w:jc w:val="left"/>
              <w:rPr>
                <w:rFonts w:ascii="Arial Narrow" w:hAnsi="Arial Narrow"/>
                <w:color w:val="4A442A" w:themeColor="background2" w:themeShade="40"/>
              </w:rPr>
            </w:pPr>
            <w:r w:rsidRPr="009A1F67">
              <w:rPr>
                <w:rFonts w:ascii="Arial Narrow" w:hAnsi="Arial Narrow"/>
                <w:color w:val="4A442A" w:themeColor="background2" w:themeShade="40"/>
              </w:rPr>
              <w:t xml:space="preserve">M Hernández  </w:t>
            </w:r>
          </w:p>
        </w:tc>
      </w:tr>
      <w:tr w:rsidR="00BE2F2A" w:rsidRPr="00BE2F2A" w:rsidTr="0006536D">
        <w:trPr>
          <w:jc w:val="right"/>
        </w:trPr>
        <w:tc>
          <w:tcPr>
            <w:tcW w:w="851" w:type="dxa"/>
          </w:tcPr>
          <w:p w:rsidR="00AE0A20" w:rsidRPr="009A1F67" w:rsidRDefault="002A11CD" w:rsidP="008F4FDE">
            <w:pPr>
              <w:jc w:val="right"/>
              <w:rPr>
                <w:rFonts w:ascii="Arial Narrow" w:hAnsi="Arial Narrow"/>
                <w:color w:val="4A442A" w:themeColor="background2" w:themeShade="40"/>
              </w:rPr>
            </w:pPr>
            <w:r w:rsidRPr="009A1F67">
              <w:rPr>
                <w:rFonts w:ascii="Arial Narrow" w:hAnsi="Arial Narrow"/>
                <w:color w:val="4A442A" w:themeColor="background2" w:themeShade="40"/>
              </w:rPr>
              <w:t>Bloc 6</w:t>
            </w:r>
          </w:p>
        </w:tc>
        <w:tc>
          <w:tcPr>
            <w:tcW w:w="2551" w:type="dxa"/>
          </w:tcPr>
          <w:p w:rsidR="00BE2F2A" w:rsidRPr="009A1F67" w:rsidRDefault="00BE2F2A" w:rsidP="00BE2F2A">
            <w:pPr>
              <w:rPr>
                <w:rFonts w:ascii="Arial Narrow" w:hAnsi="Arial Narrow"/>
                <w:color w:val="4A442A" w:themeColor="background2" w:themeShade="40"/>
              </w:rPr>
            </w:pPr>
            <w:r w:rsidRPr="009A1F67">
              <w:rPr>
                <w:rFonts w:ascii="Arial Narrow" w:hAnsi="Arial Narrow"/>
                <w:color w:val="4A442A" w:themeColor="background2" w:themeShade="40"/>
              </w:rPr>
              <w:t>Alfons Rossell i Roig</w:t>
            </w:r>
          </w:p>
          <w:p w:rsidR="00AE0A20" w:rsidRPr="009A1F67" w:rsidRDefault="00BE2F2A" w:rsidP="00BE2F2A">
            <w:pPr>
              <w:jc w:val="left"/>
              <w:rPr>
                <w:rFonts w:ascii="Arial Narrow" w:hAnsi="Arial Narrow"/>
                <w:color w:val="4A442A" w:themeColor="background2" w:themeShade="40"/>
              </w:rPr>
            </w:pPr>
            <w:r w:rsidRPr="009A1F67">
              <w:rPr>
                <w:rFonts w:ascii="Arial Narrow" w:hAnsi="Arial Narrow"/>
                <w:color w:val="4A442A" w:themeColor="background2" w:themeShade="40"/>
              </w:rPr>
              <w:t>Marta Ferrer Puig</w:t>
            </w:r>
          </w:p>
        </w:tc>
        <w:tc>
          <w:tcPr>
            <w:tcW w:w="4076" w:type="dxa"/>
          </w:tcPr>
          <w:p w:rsidR="00BE2F2A" w:rsidRPr="009A1F67" w:rsidRDefault="00BE2F2A" w:rsidP="00BE2F2A">
            <w:pPr>
              <w:rPr>
                <w:rFonts w:ascii="Arial Narrow" w:hAnsi="Arial Narrow"/>
                <w:color w:val="4A442A" w:themeColor="background2" w:themeShade="40"/>
              </w:rPr>
            </w:pPr>
            <w:r w:rsidRPr="009A1F67">
              <w:rPr>
                <w:rFonts w:ascii="Arial Narrow" w:hAnsi="Arial Narrow"/>
                <w:color w:val="4A442A" w:themeColor="background2" w:themeShade="40"/>
              </w:rPr>
              <w:t>Joan Argelagués Serra</w:t>
            </w:r>
          </w:p>
          <w:p w:rsidR="00BE2F2A" w:rsidRPr="009A1F67" w:rsidRDefault="00BE2F2A" w:rsidP="00BE2F2A">
            <w:pPr>
              <w:rPr>
                <w:rFonts w:ascii="Arial Narrow" w:hAnsi="Arial Narrow"/>
                <w:color w:val="4A442A" w:themeColor="background2" w:themeShade="40"/>
              </w:rPr>
            </w:pPr>
            <w:r w:rsidRPr="009A1F67">
              <w:rPr>
                <w:rFonts w:ascii="Arial Narrow" w:hAnsi="Arial Narrow"/>
                <w:color w:val="4A442A" w:themeColor="background2" w:themeShade="40"/>
              </w:rPr>
              <w:t>Roser Martí Muñoz</w:t>
            </w:r>
          </w:p>
          <w:p w:rsidR="00BE2F2A" w:rsidRPr="009A1F67" w:rsidRDefault="00BE2F2A" w:rsidP="00BE2F2A">
            <w:pPr>
              <w:rPr>
                <w:rFonts w:ascii="Arial Narrow" w:hAnsi="Arial Narrow"/>
                <w:color w:val="4A442A" w:themeColor="background2" w:themeShade="40"/>
              </w:rPr>
            </w:pPr>
            <w:r w:rsidRPr="009A1F67">
              <w:rPr>
                <w:rFonts w:ascii="Arial Narrow" w:hAnsi="Arial Narrow"/>
                <w:color w:val="4A442A" w:themeColor="background2" w:themeShade="40"/>
              </w:rPr>
              <w:t>Marta Ferrer Puig</w:t>
            </w:r>
          </w:p>
          <w:p w:rsidR="00BE2F2A" w:rsidRPr="009A1F67" w:rsidRDefault="00BE2F2A" w:rsidP="00BE2F2A">
            <w:pPr>
              <w:rPr>
                <w:rFonts w:ascii="Arial Narrow" w:hAnsi="Arial Narrow"/>
                <w:color w:val="4A442A" w:themeColor="background2" w:themeShade="40"/>
              </w:rPr>
            </w:pPr>
            <w:r w:rsidRPr="009A1F67">
              <w:rPr>
                <w:rFonts w:ascii="Arial Narrow" w:hAnsi="Arial Narrow"/>
                <w:color w:val="4A442A" w:themeColor="background2" w:themeShade="40"/>
              </w:rPr>
              <w:t>Víctor Pelaó Illa</w:t>
            </w:r>
          </w:p>
          <w:p w:rsidR="00AE0A20" w:rsidRPr="009A1F67" w:rsidRDefault="00BE2F2A" w:rsidP="00BE2F2A">
            <w:pPr>
              <w:jc w:val="left"/>
              <w:rPr>
                <w:rFonts w:ascii="Arial Narrow" w:hAnsi="Arial Narrow"/>
                <w:color w:val="4A442A" w:themeColor="background2" w:themeShade="40"/>
              </w:rPr>
            </w:pPr>
            <w:r w:rsidRPr="009A1F67">
              <w:rPr>
                <w:rFonts w:ascii="Arial Narrow" w:hAnsi="Arial Narrow"/>
                <w:color w:val="4A442A" w:themeColor="background2" w:themeShade="40"/>
              </w:rPr>
              <w:t>Patrícia Serrano García</w:t>
            </w:r>
          </w:p>
        </w:tc>
      </w:tr>
      <w:tr w:rsidR="00BE2F2A" w:rsidRPr="00BE2F2A" w:rsidTr="0006536D">
        <w:trPr>
          <w:jc w:val="right"/>
        </w:trPr>
        <w:tc>
          <w:tcPr>
            <w:tcW w:w="851" w:type="dxa"/>
          </w:tcPr>
          <w:p w:rsidR="008F4FDE" w:rsidRPr="009A1F67" w:rsidRDefault="008F4FDE" w:rsidP="008F4FDE">
            <w:pPr>
              <w:jc w:val="right"/>
              <w:rPr>
                <w:rFonts w:ascii="Arial Narrow" w:hAnsi="Arial Narrow"/>
                <w:color w:val="4A442A" w:themeColor="background2" w:themeShade="40"/>
              </w:rPr>
            </w:pPr>
            <w:r w:rsidRPr="009A1F67">
              <w:rPr>
                <w:rFonts w:ascii="Arial Narrow" w:hAnsi="Arial Narrow"/>
                <w:color w:val="4A442A" w:themeColor="background2" w:themeShade="40"/>
              </w:rPr>
              <w:t>Bloc 7</w:t>
            </w:r>
          </w:p>
        </w:tc>
        <w:tc>
          <w:tcPr>
            <w:tcW w:w="2551" w:type="dxa"/>
          </w:tcPr>
          <w:p w:rsidR="008F4FDE" w:rsidRPr="009A1F67" w:rsidRDefault="008F4FDE" w:rsidP="008F4FDE">
            <w:pPr>
              <w:jc w:val="left"/>
              <w:rPr>
                <w:rFonts w:ascii="Arial Narrow" w:hAnsi="Arial Narrow"/>
                <w:color w:val="4A442A" w:themeColor="background2" w:themeShade="40"/>
              </w:rPr>
            </w:pPr>
            <w:r w:rsidRPr="009A1F67">
              <w:rPr>
                <w:rFonts w:ascii="Arial Narrow" w:hAnsi="Arial Narrow"/>
                <w:color w:val="4A442A" w:themeColor="background2" w:themeShade="40"/>
              </w:rPr>
              <w:t>Manel Roca</w:t>
            </w:r>
          </w:p>
          <w:p w:rsidR="008F4FDE" w:rsidRPr="009A1F67" w:rsidRDefault="008F4FDE" w:rsidP="008F4FDE">
            <w:pPr>
              <w:jc w:val="left"/>
              <w:rPr>
                <w:rFonts w:ascii="Arial Narrow" w:hAnsi="Arial Narrow"/>
                <w:color w:val="4A442A" w:themeColor="background2" w:themeShade="40"/>
              </w:rPr>
            </w:pPr>
            <w:r w:rsidRPr="009A1F67">
              <w:rPr>
                <w:rFonts w:ascii="Arial Narrow" w:hAnsi="Arial Narrow"/>
                <w:color w:val="4A442A" w:themeColor="background2" w:themeShade="40"/>
              </w:rPr>
              <w:t>Rafa López</w:t>
            </w:r>
          </w:p>
        </w:tc>
        <w:tc>
          <w:tcPr>
            <w:tcW w:w="4076" w:type="dxa"/>
          </w:tcPr>
          <w:p w:rsidR="008F4FDE" w:rsidRPr="009A1F67" w:rsidRDefault="008F4FDE" w:rsidP="008F4FDE">
            <w:pPr>
              <w:jc w:val="left"/>
              <w:rPr>
                <w:rFonts w:ascii="Arial Narrow" w:hAnsi="Arial Narrow"/>
                <w:color w:val="4A442A" w:themeColor="background2" w:themeShade="40"/>
              </w:rPr>
            </w:pPr>
            <w:r w:rsidRPr="009A1F67">
              <w:rPr>
                <w:rFonts w:ascii="Arial Narrow" w:hAnsi="Arial Narrow"/>
                <w:color w:val="4A442A" w:themeColor="background2" w:themeShade="40"/>
              </w:rPr>
              <w:t>Manel Roca</w:t>
            </w:r>
          </w:p>
          <w:p w:rsidR="008F4FDE" w:rsidRPr="009A1F67" w:rsidRDefault="008F4FDE" w:rsidP="008F4FDE">
            <w:pPr>
              <w:jc w:val="left"/>
              <w:rPr>
                <w:rFonts w:ascii="Arial Narrow" w:hAnsi="Arial Narrow"/>
                <w:color w:val="4A442A" w:themeColor="background2" w:themeShade="40"/>
              </w:rPr>
            </w:pPr>
            <w:r w:rsidRPr="009A1F67">
              <w:rPr>
                <w:rFonts w:ascii="Arial Narrow" w:hAnsi="Arial Narrow"/>
                <w:color w:val="4A442A" w:themeColor="background2" w:themeShade="40"/>
              </w:rPr>
              <w:t>Rafa López</w:t>
            </w:r>
          </w:p>
        </w:tc>
      </w:tr>
      <w:tr w:rsidR="00BE2F2A" w:rsidRPr="00BE2F2A" w:rsidTr="0006536D">
        <w:trPr>
          <w:jc w:val="right"/>
        </w:trPr>
        <w:tc>
          <w:tcPr>
            <w:tcW w:w="851" w:type="dxa"/>
          </w:tcPr>
          <w:p w:rsidR="008F4FDE" w:rsidRPr="009A1F67" w:rsidRDefault="008F4FDE" w:rsidP="008F4FDE">
            <w:pPr>
              <w:jc w:val="right"/>
              <w:rPr>
                <w:rFonts w:ascii="Arial Narrow" w:hAnsi="Arial Narrow"/>
                <w:color w:val="4A442A" w:themeColor="background2" w:themeShade="40"/>
              </w:rPr>
            </w:pPr>
            <w:r w:rsidRPr="009A1F67">
              <w:rPr>
                <w:rFonts w:ascii="Arial Narrow" w:hAnsi="Arial Narrow"/>
                <w:color w:val="4A442A" w:themeColor="background2" w:themeShade="40"/>
              </w:rPr>
              <w:t>Bloc 8</w:t>
            </w:r>
          </w:p>
        </w:tc>
        <w:tc>
          <w:tcPr>
            <w:tcW w:w="2551" w:type="dxa"/>
          </w:tcPr>
          <w:p w:rsidR="008F4FDE" w:rsidRPr="009A1F67" w:rsidRDefault="008F4FDE" w:rsidP="008F4FDE">
            <w:pPr>
              <w:jc w:val="left"/>
              <w:rPr>
                <w:rFonts w:ascii="Arial Narrow" w:hAnsi="Arial Narrow"/>
                <w:color w:val="4A442A" w:themeColor="background2" w:themeShade="40"/>
              </w:rPr>
            </w:pPr>
            <w:r w:rsidRPr="009A1F67">
              <w:rPr>
                <w:rFonts w:ascii="Arial Narrow" w:hAnsi="Arial Narrow"/>
                <w:color w:val="4A442A" w:themeColor="background2" w:themeShade="40"/>
              </w:rPr>
              <w:t>Eulàlia Luque</w:t>
            </w:r>
          </w:p>
          <w:p w:rsidR="008F4FDE" w:rsidRPr="009A1F67" w:rsidRDefault="008F4FDE" w:rsidP="008F4FDE">
            <w:pPr>
              <w:jc w:val="left"/>
              <w:rPr>
                <w:rFonts w:ascii="Arial Narrow" w:hAnsi="Arial Narrow"/>
                <w:color w:val="4A442A" w:themeColor="background2" w:themeShade="40"/>
              </w:rPr>
            </w:pPr>
            <w:r w:rsidRPr="009A1F67">
              <w:rPr>
                <w:rFonts w:ascii="Arial Narrow" w:hAnsi="Arial Narrow"/>
                <w:color w:val="4A442A" w:themeColor="background2" w:themeShade="40"/>
              </w:rPr>
              <w:t>Manuel Peña</w:t>
            </w:r>
          </w:p>
        </w:tc>
        <w:tc>
          <w:tcPr>
            <w:tcW w:w="4076" w:type="dxa"/>
          </w:tcPr>
          <w:p w:rsidR="008F4FDE" w:rsidRPr="009A1F67" w:rsidRDefault="008F4FDE" w:rsidP="008F4FDE">
            <w:pPr>
              <w:jc w:val="left"/>
              <w:rPr>
                <w:rFonts w:ascii="Arial Narrow" w:hAnsi="Arial Narrow"/>
                <w:color w:val="4A442A" w:themeColor="background2" w:themeShade="40"/>
              </w:rPr>
            </w:pPr>
            <w:r w:rsidRPr="009A1F67">
              <w:rPr>
                <w:rFonts w:ascii="Arial Narrow" w:hAnsi="Arial Narrow"/>
                <w:color w:val="4A442A" w:themeColor="background2" w:themeShade="40"/>
              </w:rPr>
              <w:t>Eulàlia Luque</w:t>
            </w:r>
          </w:p>
          <w:p w:rsidR="008F4FDE" w:rsidRPr="009A1F67" w:rsidRDefault="008F4FDE" w:rsidP="008F4FDE">
            <w:pPr>
              <w:jc w:val="left"/>
              <w:rPr>
                <w:rFonts w:ascii="Arial Narrow" w:hAnsi="Arial Narrow"/>
                <w:color w:val="4A442A" w:themeColor="background2" w:themeShade="40"/>
              </w:rPr>
            </w:pPr>
            <w:r w:rsidRPr="009A1F67">
              <w:rPr>
                <w:rFonts w:ascii="Arial Narrow" w:hAnsi="Arial Narrow"/>
                <w:color w:val="4A442A" w:themeColor="background2" w:themeShade="40"/>
              </w:rPr>
              <w:t>Manuel Peña</w:t>
            </w:r>
          </w:p>
          <w:p w:rsidR="008F4FDE" w:rsidRPr="009A1F67" w:rsidRDefault="008F4FDE" w:rsidP="008F4FDE">
            <w:pPr>
              <w:jc w:val="left"/>
              <w:rPr>
                <w:rFonts w:ascii="Arial Narrow" w:hAnsi="Arial Narrow"/>
                <w:color w:val="4A442A" w:themeColor="background2" w:themeShade="40"/>
              </w:rPr>
            </w:pPr>
            <w:r w:rsidRPr="009A1F67">
              <w:rPr>
                <w:rFonts w:ascii="Arial Narrow" w:hAnsi="Arial Narrow"/>
                <w:color w:val="4A442A" w:themeColor="background2" w:themeShade="40"/>
              </w:rPr>
              <w:t>Antoni Pastor</w:t>
            </w:r>
          </w:p>
          <w:p w:rsidR="008F4FDE" w:rsidRPr="009A1F67" w:rsidRDefault="008F4FDE" w:rsidP="008F4FDE">
            <w:pPr>
              <w:jc w:val="left"/>
              <w:rPr>
                <w:rFonts w:ascii="Arial Narrow" w:hAnsi="Arial Narrow"/>
                <w:color w:val="4A442A" w:themeColor="background2" w:themeShade="40"/>
              </w:rPr>
            </w:pPr>
            <w:r w:rsidRPr="009A1F67">
              <w:rPr>
                <w:rFonts w:ascii="Arial Narrow" w:hAnsi="Arial Narrow"/>
                <w:color w:val="4A442A" w:themeColor="background2" w:themeShade="40"/>
              </w:rPr>
              <w:t>Glòria Bladé</w:t>
            </w:r>
          </w:p>
        </w:tc>
      </w:tr>
      <w:tr w:rsidR="00BE2F2A" w:rsidRPr="00BE2F2A" w:rsidTr="0006536D">
        <w:trPr>
          <w:jc w:val="right"/>
        </w:trPr>
        <w:tc>
          <w:tcPr>
            <w:tcW w:w="851" w:type="dxa"/>
          </w:tcPr>
          <w:p w:rsidR="008F4FDE" w:rsidRPr="009A1F67" w:rsidRDefault="008F4FDE" w:rsidP="008F4FDE">
            <w:pPr>
              <w:jc w:val="right"/>
              <w:rPr>
                <w:rFonts w:ascii="Arial Narrow" w:hAnsi="Arial Narrow"/>
                <w:color w:val="4A442A" w:themeColor="background2" w:themeShade="40"/>
              </w:rPr>
            </w:pPr>
            <w:r w:rsidRPr="009A1F67">
              <w:rPr>
                <w:rFonts w:ascii="Arial Narrow" w:hAnsi="Arial Narrow"/>
                <w:color w:val="4A442A" w:themeColor="background2" w:themeShade="40"/>
              </w:rPr>
              <w:t>Bloc 9</w:t>
            </w:r>
          </w:p>
        </w:tc>
        <w:tc>
          <w:tcPr>
            <w:tcW w:w="2551" w:type="dxa"/>
          </w:tcPr>
          <w:p w:rsidR="00A97384" w:rsidRPr="009A1F67" w:rsidRDefault="00A97384" w:rsidP="00A97384">
            <w:pPr>
              <w:rPr>
                <w:rFonts w:ascii="Arial Narrow" w:hAnsi="Arial Narrow"/>
                <w:color w:val="4A442A" w:themeColor="background2" w:themeShade="40"/>
              </w:rPr>
            </w:pPr>
            <w:r w:rsidRPr="009A1F67">
              <w:rPr>
                <w:rFonts w:ascii="Arial Narrow" w:hAnsi="Arial Narrow"/>
                <w:color w:val="4A442A" w:themeColor="background2" w:themeShade="40"/>
              </w:rPr>
              <w:t>Marc Ceron</w:t>
            </w:r>
          </w:p>
          <w:p w:rsidR="008F4FDE" w:rsidRPr="009A1F67" w:rsidRDefault="00A97384" w:rsidP="00A97384">
            <w:pPr>
              <w:jc w:val="left"/>
              <w:rPr>
                <w:rFonts w:ascii="Arial Narrow" w:hAnsi="Arial Narrow"/>
                <w:color w:val="4A442A" w:themeColor="background2" w:themeShade="40"/>
              </w:rPr>
            </w:pPr>
            <w:r w:rsidRPr="009A1F67">
              <w:rPr>
                <w:rFonts w:ascii="Arial Narrow" w:hAnsi="Arial Narrow"/>
                <w:color w:val="4A442A" w:themeColor="background2" w:themeShade="40"/>
              </w:rPr>
              <w:t>Mercedes Sanchez</w:t>
            </w:r>
          </w:p>
        </w:tc>
        <w:tc>
          <w:tcPr>
            <w:tcW w:w="4076" w:type="dxa"/>
          </w:tcPr>
          <w:p w:rsidR="00A97384" w:rsidRPr="009A1F67" w:rsidRDefault="00A97384" w:rsidP="00A97384">
            <w:pPr>
              <w:rPr>
                <w:rFonts w:ascii="Arial Narrow" w:hAnsi="Arial Narrow"/>
                <w:color w:val="4A442A" w:themeColor="background2" w:themeShade="40"/>
              </w:rPr>
            </w:pPr>
            <w:r w:rsidRPr="009A1F67">
              <w:rPr>
                <w:rFonts w:ascii="Arial Narrow" w:hAnsi="Arial Narrow"/>
                <w:color w:val="4A442A" w:themeColor="background2" w:themeShade="40"/>
              </w:rPr>
              <w:t>Joan Pere Queralt</w:t>
            </w:r>
          </w:p>
          <w:p w:rsidR="00A97384" w:rsidRPr="009A1F67" w:rsidRDefault="00A97384" w:rsidP="00A97384">
            <w:pPr>
              <w:rPr>
                <w:rFonts w:ascii="Arial Narrow" w:hAnsi="Arial Narrow"/>
                <w:color w:val="4A442A" w:themeColor="background2" w:themeShade="40"/>
              </w:rPr>
            </w:pPr>
            <w:r w:rsidRPr="009A1F67">
              <w:rPr>
                <w:rFonts w:ascii="Arial Narrow" w:hAnsi="Arial Narrow"/>
                <w:color w:val="4A442A" w:themeColor="background2" w:themeShade="40"/>
              </w:rPr>
              <w:t>JM Montero</w:t>
            </w:r>
          </w:p>
          <w:p w:rsidR="008F4FDE" w:rsidRPr="009A1F67" w:rsidRDefault="00A97384" w:rsidP="00A97384">
            <w:pPr>
              <w:jc w:val="left"/>
              <w:rPr>
                <w:rFonts w:ascii="Arial Narrow" w:hAnsi="Arial Narrow"/>
                <w:color w:val="4A442A" w:themeColor="background2" w:themeShade="40"/>
              </w:rPr>
            </w:pPr>
            <w:r w:rsidRPr="009A1F67">
              <w:rPr>
                <w:rFonts w:ascii="Arial Narrow" w:hAnsi="Arial Narrow"/>
                <w:color w:val="4A442A" w:themeColor="background2" w:themeShade="40"/>
              </w:rPr>
              <w:t>Alex Oriol</w:t>
            </w:r>
          </w:p>
        </w:tc>
      </w:tr>
      <w:tr w:rsidR="00BE2F2A" w:rsidRPr="00BE2F2A" w:rsidTr="0006536D">
        <w:trPr>
          <w:jc w:val="right"/>
        </w:trPr>
        <w:tc>
          <w:tcPr>
            <w:tcW w:w="851" w:type="dxa"/>
          </w:tcPr>
          <w:p w:rsidR="008F4FDE" w:rsidRPr="009A1F67" w:rsidRDefault="008F4FDE" w:rsidP="008F4FDE">
            <w:pPr>
              <w:jc w:val="right"/>
              <w:rPr>
                <w:rFonts w:ascii="Arial Narrow" w:hAnsi="Arial Narrow"/>
                <w:color w:val="4A442A" w:themeColor="background2" w:themeShade="40"/>
              </w:rPr>
            </w:pPr>
            <w:r w:rsidRPr="009A1F67">
              <w:rPr>
                <w:rFonts w:ascii="Arial Narrow" w:hAnsi="Arial Narrow"/>
                <w:color w:val="4A442A" w:themeColor="background2" w:themeShade="40"/>
              </w:rPr>
              <w:t>Bloc 10</w:t>
            </w:r>
          </w:p>
        </w:tc>
        <w:tc>
          <w:tcPr>
            <w:tcW w:w="2551" w:type="dxa"/>
          </w:tcPr>
          <w:p w:rsidR="00A97384" w:rsidRPr="009A1F67" w:rsidRDefault="00A97384" w:rsidP="00A97384">
            <w:pPr>
              <w:rPr>
                <w:rFonts w:ascii="Arial Narrow" w:hAnsi="Arial Narrow"/>
                <w:color w:val="4A442A" w:themeColor="background2" w:themeShade="40"/>
              </w:rPr>
            </w:pPr>
            <w:r w:rsidRPr="009A1F67">
              <w:rPr>
                <w:rFonts w:ascii="Arial Narrow" w:hAnsi="Arial Narrow"/>
                <w:color w:val="4A442A" w:themeColor="background2" w:themeShade="40"/>
              </w:rPr>
              <w:t>Mercedes Sánchez</w:t>
            </w:r>
          </w:p>
          <w:p w:rsidR="008F4FDE" w:rsidRPr="009A1F67" w:rsidRDefault="00A97384" w:rsidP="00A97384">
            <w:pPr>
              <w:jc w:val="left"/>
              <w:rPr>
                <w:rFonts w:ascii="Arial Narrow" w:hAnsi="Arial Narrow"/>
                <w:color w:val="4A442A" w:themeColor="background2" w:themeShade="40"/>
              </w:rPr>
            </w:pPr>
            <w:r w:rsidRPr="009A1F67">
              <w:rPr>
                <w:rFonts w:ascii="Arial Narrow" w:hAnsi="Arial Narrow"/>
                <w:color w:val="4A442A" w:themeColor="background2" w:themeShade="40"/>
              </w:rPr>
              <w:t>Montse Vintró</w:t>
            </w:r>
          </w:p>
        </w:tc>
        <w:tc>
          <w:tcPr>
            <w:tcW w:w="4076" w:type="dxa"/>
          </w:tcPr>
          <w:p w:rsidR="00A97384" w:rsidRPr="009A1F67" w:rsidRDefault="00A97384" w:rsidP="00A97384">
            <w:pPr>
              <w:rPr>
                <w:rFonts w:ascii="Arial Narrow" w:hAnsi="Arial Narrow"/>
                <w:color w:val="4A442A" w:themeColor="background2" w:themeShade="40"/>
              </w:rPr>
            </w:pPr>
            <w:r w:rsidRPr="009A1F67">
              <w:rPr>
                <w:rFonts w:ascii="Arial Narrow" w:hAnsi="Arial Narrow"/>
                <w:color w:val="4A442A" w:themeColor="background2" w:themeShade="40"/>
              </w:rPr>
              <w:t>Bernat Sánchez</w:t>
            </w:r>
          </w:p>
          <w:p w:rsidR="008F4FDE" w:rsidRPr="009A1F67" w:rsidRDefault="00A97384" w:rsidP="00A97384">
            <w:pPr>
              <w:jc w:val="left"/>
              <w:rPr>
                <w:rFonts w:ascii="Arial Narrow" w:hAnsi="Arial Narrow"/>
                <w:color w:val="4A442A" w:themeColor="background2" w:themeShade="40"/>
              </w:rPr>
            </w:pPr>
            <w:r w:rsidRPr="009A1F67">
              <w:rPr>
                <w:rFonts w:ascii="Arial Narrow" w:hAnsi="Arial Narrow"/>
                <w:color w:val="4A442A" w:themeColor="background2" w:themeShade="40"/>
              </w:rPr>
              <w:t>Sergi Alegre</w:t>
            </w:r>
          </w:p>
        </w:tc>
      </w:tr>
      <w:tr w:rsidR="00BE2F2A" w:rsidRPr="00BE2F2A" w:rsidTr="00190598">
        <w:trPr>
          <w:trHeight w:val="247"/>
          <w:jc w:val="right"/>
        </w:trPr>
        <w:tc>
          <w:tcPr>
            <w:tcW w:w="851" w:type="dxa"/>
          </w:tcPr>
          <w:p w:rsidR="008F4FDE" w:rsidRPr="009A1F67" w:rsidRDefault="008F4FDE" w:rsidP="008F4FDE">
            <w:pPr>
              <w:jc w:val="right"/>
              <w:rPr>
                <w:rFonts w:ascii="Arial Narrow" w:hAnsi="Arial Narrow"/>
                <w:color w:val="4A442A" w:themeColor="background2" w:themeShade="40"/>
              </w:rPr>
            </w:pPr>
            <w:r w:rsidRPr="009A1F67">
              <w:rPr>
                <w:rFonts w:ascii="Arial Narrow" w:hAnsi="Arial Narrow"/>
                <w:color w:val="4A442A" w:themeColor="background2" w:themeShade="40"/>
              </w:rPr>
              <w:t>Bloc 11</w:t>
            </w:r>
          </w:p>
        </w:tc>
        <w:tc>
          <w:tcPr>
            <w:tcW w:w="2551" w:type="dxa"/>
          </w:tcPr>
          <w:p w:rsidR="008F4FDE" w:rsidRPr="009A1F67" w:rsidRDefault="00A97384" w:rsidP="008F4FDE">
            <w:pPr>
              <w:jc w:val="left"/>
              <w:rPr>
                <w:rFonts w:ascii="Arial Narrow" w:hAnsi="Arial Narrow"/>
                <w:color w:val="4A442A" w:themeColor="background2" w:themeShade="40"/>
              </w:rPr>
            </w:pPr>
            <w:r w:rsidRPr="009A1F67">
              <w:rPr>
                <w:rFonts w:ascii="Arial Narrow" w:hAnsi="Arial Narrow"/>
                <w:color w:val="4A442A" w:themeColor="background2" w:themeShade="40"/>
              </w:rPr>
              <w:t>Marc Cerón</w:t>
            </w:r>
          </w:p>
        </w:tc>
        <w:tc>
          <w:tcPr>
            <w:tcW w:w="4076" w:type="dxa"/>
          </w:tcPr>
          <w:p w:rsidR="00A97384" w:rsidRPr="009A1F67" w:rsidRDefault="00A97384" w:rsidP="00A97384">
            <w:pPr>
              <w:rPr>
                <w:rFonts w:ascii="Arial Narrow" w:hAnsi="Arial Narrow"/>
                <w:color w:val="4A442A" w:themeColor="background2" w:themeShade="40"/>
              </w:rPr>
            </w:pPr>
            <w:r w:rsidRPr="009A1F67">
              <w:rPr>
                <w:rFonts w:ascii="Arial Narrow" w:hAnsi="Arial Narrow"/>
                <w:color w:val="4A442A" w:themeColor="background2" w:themeShade="40"/>
              </w:rPr>
              <w:t>Pius Fransoy</w:t>
            </w:r>
          </w:p>
          <w:p w:rsidR="008F4FDE" w:rsidRPr="009A1F67" w:rsidRDefault="00A97384" w:rsidP="00A97384">
            <w:pPr>
              <w:jc w:val="left"/>
              <w:rPr>
                <w:rFonts w:ascii="Arial Narrow" w:hAnsi="Arial Narrow"/>
                <w:color w:val="4A442A" w:themeColor="background2" w:themeShade="40"/>
              </w:rPr>
            </w:pPr>
            <w:r w:rsidRPr="009A1F67">
              <w:rPr>
                <w:rFonts w:ascii="Arial Narrow" w:hAnsi="Arial Narrow"/>
                <w:color w:val="4A442A" w:themeColor="background2" w:themeShade="40"/>
              </w:rPr>
              <w:t>Jaume Martín</w:t>
            </w:r>
          </w:p>
        </w:tc>
      </w:tr>
    </w:tbl>
    <w:p w:rsidR="00190598" w:rsidRPr="009A1F67" w:rsidRDefault="00190598" w:rsidP="009A1F67">
      <w:pPr>
        <w:spacing w:after="0"/>
        <w:jc w:val="right"/>
        <w:rPr>
          <w:rFonts w:ascii="Arial Narrow" w:hAnsi="Arial Narrow"/>
          <w:color w:val="4A442A" w:themeColor="background2" w:themeShade="40"/>
        </w:rPr>
      </w:pPr>
      <w:r w:rsidRPr="009A1F67">
        <w:rPr>
          <w:rFonts w:ascii="Arial Narrow" w:hAnsi="Arial Narrow"/>
          <w:color w:val="4A442A" w:themeColor="background2" w:themeShade="40"/>
        </w:rPr>
        <w:t>Coordinació general: Anna Rubio i Mercedes Sanchez</w:t>
      </w:r>
    </w:p>
    <w:p w:rsidR="00055E6C" w:rsidRPr="00190598" w:rsidRDefault="00F546E2" w:rsidP="00190598">
      <w:pPr>
        <w:rPr>
          <w:sz w:val="18"/>
          <w:szCs w:val="18"/>
        </w:rPr>
      </w:pPr>
      <w:r w:rsidRPr="00CE36AA">
        <w:br w:type="page"/>
      </w:r>
    </w:p>
    <w:p w:rsidR="00190598" w:rsidRDefault="00190598" w:rsidP="00F546E2"/>
    <w:p w:rsidR="00752E4C" w:rsidRDefault="002A4649">
      <w:pPr>
        <w:pStyle w:val="IDC1"/>
        <w:tabs>
          <w:tab w:val="left" w:pos="332"/>
          <w:tab w:val="right" w:pos="9061"/>
        </w:tabs>
        <w:rPr>
          <w:rFonts w:eastAsiaTheme="minorEastAsia"/>
          <w:b w:val="0"/>
          <w:bCs w:val="0"/>
          <w:caps w:val="0"/>
          <w:noProof/>
          <w:u w:val="none"/>
          <w:lang w:eastAsia="ca-ES"/>
        </w:rPr>
      </w:pPr>
      <w:r>
        <w:fldChar w:fldCharType="begin"/>
      </w:r>
      <w:r>
        <w:instrText xml:space="preserve"> TOC \o "1-3" \h \z \u </w:instrText>
      </w:r>
      <w:r>
        <w:fldChar w:fldCharType="separate"/>
      </w:r>
      <w:hyperlink w:anchor="_Toc465293328" w:history="1">
        <w:r w:rsidR="00752E4C" w:rsidRPr="00D0406E">
          <w:rPr>
            <w:rStyle w:val="Enlla"/>
            <w:noProof/>
            <w14:cntxtAlts/>
          </w:rPr>
          <w:t>1</w:t>
        </w:r>
        <w:r w:rsidR="00752E4C">
          <w:rPr>
            <w:rFonts w:eastAsiaTheme="minorEastAsia"/>
            <w:b w:val="0"/>
            <w:bCs w:val="0"/>
            <w:caps w:val="0"/>
            <w:noProof/>
            <w:u w:val="none"/>
            <w:lang w:eastAsia="ca-ES"/>
          </w:rPr>
          <w:tab/>
        </w:r>
        <w:r w:rsidR="00752E4C" w:rsidRPr="00D0406E">
          <w:rPr>
            <w:rStyle w:val="Enlla"/>
            <w:noProof/>
          </w:rPr>
          <w:t>presentació</w:t>
        </w:r>
        <w:r w:rsidR="00752E4C">
          <w:rPr>
            <w:noProof/>
            <w:webHidden/>
          </w:rPr>
          <w:tab/>
        </w:r>
        <w:r w:rsidR="00752E4C">
          <w:rPr>
            <w:noProof/>
            <w:webHidden/>
          </w:rPr>
          <w:fldChar w:fldCharType="begin"/>
        </w:r>
        <w:r w:rsidR="00752E4C">
          <w:rPr>
            <w:noProof/>
            <w:webHidden/>
          </w:rPr>
          <w:instrText xml:space="preserve"> PAGEREF _Toc465293328 \h </w:instrText>
        </w:r>
        <w:r w:rsidR="00752E4C">
          <w:rPr>
            <w:noProof/>
            <w:webHidden/>
          </w:rPr>
        </w:r>
        <w:r w:rsidR="00752E4C">
          <w:rPr>
            <w:noProof/>
            <w:webHidden/>
          </w:rPr>
          <w:fldChar w:fldCharType="separate"/>
        </w:r>
        <w:r w:rsidR="00752E4C">
          <w:rPr>
            <w:noProof/>
            <w:webHidden/>
          </w:rPr>
          <w:t>8</w:t>
        </w:r>
        <w:r w:rsidR="00752E4C">
          <w:rPr>
            <w:noProof/>
            <w:webHidden/>
          </w:rPr>
          <w:fldChar w:fldCharType="end"/>
        </w:r>
      </w:hyperlink>
    </w:p>
    <w:p w:rsidR="00752E4C" w:rsidRDefault="00DB496B">
      <w:pPr>
        <w:pStyle w:val="IDC1"/>
        <w:tabs>
          <w:tab w:val="left" w:pos="332"/>
          <w:tab w:val="right" w:pos="9061"/>
        </w:tabs>
        <w:rPr>
          <w:rFonts w:eastAsiaTheme="minorEastAsia"/>
          <w:b w:val="0"/>
          <w:bCs w:val="0"/>
          <w:caps w:val="0"/>
          <w:noProof/>
          <w:u w:val="none"/>
          <w:lang w:eastAsia="ca-ES"/>
        </w:rPr>
      </w:pPr>
      <w:hyperlink w:anchor="_Toc465293329" w:history="1">
        <w:r w:rsidR="00752E4C" w:rsidRPr="00D0406E">
          <w:rPr>
            <w:rStyle w:val="Enlla"/>
            <w:noProof/>
            <w14:cntxtAlts/>
          </w:rPr>
          <w:t>2</w:t>
        </w:r>
        <w:r w:rsidR="00752E4C">
          <w:rPr>
            <w:rFonts w:eastAsiaTheme="minorEastAsia"/>
            <w:b w:val="0"/>
            <w:bCs w:val="0"/>
            <w:caps w:val="0"/>
            <w:noProof/>
            <w:u w:val="none"/>
            <w:lang w:eastAsia="ca-ES"/>
          </w:rPr>
          <w:tab/>
        </w:r>
        <w:r w:rsidR="00752E4C" w:rsidRPr="00D0406E">
          <w:rPr>
            <w:rStyle w:val="Enlla"/>
            <w:noProof/>
          </w:rPr>
          <w:t>INTRODUCCIÓ</w:t>
        </w:r>
        <w:r w:rsidR="00752E4C">
          <w:rPr>
            <w:noProof/>
            <w:webHidden/>
          </w:rPr>
          <w:tab/>
        </w:r>
        <w:r w:rsidR="00752E4C">
          <w:rPr>
            <w:noProof/>
            <w:webHidden/>
          </w:rPr>
          <w:fldChar w:fldCharType="begin"/>
        </w:r>
        <w:r w:rsidR="00752E4C">
          <w:rPr>
            <w:noProof/>
            <w:webHidden/>
          </w:rPr>
          <w:instrText xml:space="preserve"> PAGEREF _Toc465293329 \h </w:instrText>
        </w:r>
        <w:r w:rsidR="00752E4C">
          <w:rPr>
            <w:noProof/>
            <w:webHidden/>
          </w:rPr>
        </w:r>
        <w:r w:rsidR="00752E4C">
          <w:rPr>
            <w:noProof/>
            <w:webHidden/>
          </w:rPr>
          <w:fldChar w:fldCharType="separate"/>
        </w:r>
        <w:r w:rsidR="00752E4C">
          <w:rPr>
            <w:noProof/>
            <w:webHidden/>
          </w:rPr>
          <w:t>9</w:t>
        </w:r>
        <w:r w:rsidR="00752E4C">
          <w:rPr>
            <w:noProof/>
            <w:webHidden/>
          </w:rPr>
          <w:fldChar w:fldCharType="end"/>
        </w:r>
      </w:hyperlink>
    </w:p>
    <w:p w:rsidR="00752E4C" w:rsidRDefault="00DB496B">
      <w:pPr>
        <w:pStyle w:val="IDC1"/>
        <w:tabs>
          <w:tab w:val="left" w:pos="332"/>
          <w:tab w:val="right" w:pos="9061"/>
        </w:tabs>
        <w:rPr>
          <w:rFonts w:eastAsiaTheme="minorEastAsia"/>
          <w:b w:val="0"/>
          <w:bCs w:val="0"/>
          <w:caps w:val="0"/>
          <w:noProof/>
          <w:u w:val="none"/>
          <w:lang w:eastAsia="ca-ES"/>
        </w:rPr>
      </w:pPr>
      <w:hyperlink w:anchor="_Toc465293330" w:history="1">
        <w:r w:rsidR="00752E4C" w:rsidRPr="00D0406E">
          <w:rPr>
            <w:rStyle w:val="Enlla"/>
            <w:noProof/>
            <w14:cntxtAlts/>
          </w:rPr>
          <w:t>3</w:t>
        </w:r>
        <w:r w:rsidR="00752E4C">
          <w:rPr>
            <w:rFonts w:eastAsiaTheme="minorEastAsia"/>
            <w:b w:val="0"/>
            <w:bCs w:val="0"/>
            <w:caps w:val="0"/>
            <w:noProof/>
            <w:u w:val="none"/>
            <w:lang w:eastAsia="ca-ES"/>
          </w:rPr>
          <w:tab/>
        </w:r>
        <w:r w:rsidR="00752E4C" w:rsidRPr="00D0406E">
          <w:rPr>
            <w:rStyle w:val="Enlla"/>
            <w:noProof/>
          </w:rPr>
          <w:t>Context històric i marc normatiu</w:t>
        </w:r>
        <w:r w:rsidR="00752E4C">
          <w:rPr>
            <w:noProof/>
            <w:webHidden/>
          </w:rPr>
          <w:tab/>
        </w:r>
        <w:r w:rsidR="00752E4C">
          <w:rPr>
            <w:noProof/>
            <w:webHidden/>
          </w:rPr>
          <w:fldChar w:fldCharType="begin"/>
        </w:r>
        <w:r w:rsidR="00752E4C">
          <w:rPr>
            <w:noProof/>
            <w:webHidden/>
          </w:rPr>
          <w:instrText xml:space="preserve"> PAGEREF _Toc465293330 \h </w:instrText>
        </w:r>
        <w:r w:rsidR="00752E4C">
          <w:rPr>
            <w:noProof/>
            <w:webHidden/>
          </w:rPr>
        </w:r>
        <w:r w:rsidR="00752E4C">
          <w:rPr>
            <w:noProof/>
            <w:webHidden/>
          </w:rPr>
          <w:fldChar w:fldCharType="separate"/>
        </w:r>
        <w:r w:rsidR="00752E4C">
          <w:rPr>
            <w:noProof/>
            <w:webHidden/>
          </w:rPr>
          <w:t>12</w:t>
        </w:r>
        <w:r w:rsidR="00752E4C">
          <w:rPr>
            <w:noProof/>
            <w:webHidden/>
          </w:rPr>
          <w:fldChar w:fldCharType="end"/>
        </w:r>
      </w:hyperlink>
    </w:p>
    <w:p w:rsidR="00752E4C" w:rsidRDefault="00DB496B">
      <w:pPr>
        <w:pStyle w:val="IDC2"/>
        <w:tabs>
          <w:tab w:val="left" w:pos="502"/>
          <w:tab w:val="right" w:pos="9061"/>
        </w:tabs>
        <w:rPr>
          <w:rFonts w:eastAsiaTheme="minorEastAsia"/>
          <w:b w:val="0"/>
          <w:bCs w:val="0"/>
          <w:smallCaps w:val="0"/>
          <w:noProof/>
          <w:lang w:eastAsia="ca-ES"/>
        </w:rPr>
      </w:pPr>
      <w:hyperlink w:anchor="_Toc465293331" w:history="1">
        <w:r w:rsidR="00752E4C" w:rsidRPr="00D0406E">
          <w:rPr>
            <w:rStyle w:val="Enlla"/>
            <w:noProof/>
          </w:rPr>
          <w:t>3.1</w:t>
        </w:r>
        <w:r w:rsidR="00752E4C">
          <w:rPr>
            <w:rFonts w:eastAsiaTheme="minorEastAsia"/>
            <w:b w:val="0"/>
            <w:bCs w:val="0"/>
            <w:smallCaps w:val="0"/>
            <w:noProof/>
            <w:lang w:eastAsia="ca-ES"/>
          </w:rPr>
          <w:tab/>
        </w:r>
        <w:r w:rsidR="00752E4C" w:rsidRPr="00D0406E">
          <w:rPr>
            <w:rStyle w:val="Enlla"/>
            <w:noProof/>
          </w:rPr>
          <w:t>L’evolució del sistema penitenciari</w:t>
        </w:r>
        <w:r w:rsidR="00752E4C">
          <w:rPr>
            <w:noProof/>
            <w:webHidden/>
          </w:rPr>
          <w:tab/>
        </w:r>
        <w:r w:rsidR="00752E4C">
          <w:rPr>
            <w:noProof/>
            <w:webHidden/>
          </w:rPr>
          <w:fldChar w:fldCharType="begin"/>
        </w:r>
        <w:r w:rsidR="00752E4C">
          <w:rPr>
            <w:noProof/>
            <w:webHidden/>
          </w:rPr>
          <w:instrText xml:space="preserve"> PAGEREF _Toc465293331 \h </w:instrText>
        </w:r>
        <w:r w:rsidR="00752E4C">
          <w:rPr>
            <w:noProof/>
            <w:webHidden/>
          </w:rPr>
        </w:r>
        <w:r w:rsidR="00752E4C">
          <w:rPr>
            <w:noProof/>
            <w:webHidden/>
          </w:rPr>
          <w:fldChar w:fldCharType="separate"/>
        </w:r>
        <w:r w:rsidR="00752E4C">
          <w:rPr>
            <w:noProof/>
            <w:webHidden/>
          </w:rPr>
          <w:t>12</w:t>
        </w:r>
        <w:r w:rsidR="00752E4C">
          <w:rPr>
            <w:noProof/>
            <w:webHidden/>
          </w:rPr>
          <w:fldChar w:fldCharType="end"/>
        </w:r>
      </w:hyperlink>
    </w:p>
    <w:p w:rsidR="00752E4C" w:rsidRDefault="00DB496B">
      <w:pPr>
        <w:pStyle w:val="IDC2"/>
        <w:tabs>
          <w:tab w:val="left" w:pos="502"/>
          <w:tab w:val="right" w:pos="9061"/>
        </w:tabs>
        <w:rPr>
          <w:rFonts w:eastAsiaTheme="minorEastAsia"/>
          <w:b w:val="0"/>
          <w:bCs w:val="0"/>
          <w:smallCaps w:val="0"/>
          <w:noProof/>
          <w:lang w:eastAsia="ca-ES"/>
        </w:rPr>
      </w:pPr>
      <w:hyperlink w:anchor="_Toc465293332" w:history="1">
        <w:r w:rsidR="00752E4C" w:rsidRPr="00D0406E">
          <w:rPr>
            <w:rStyle w:val="Enlla"/>
            <w:noProof/>
          </w:rPr>
          <w:t>3.2</w:t>
        </w:r>
        <w:r w:rsidR="00752E4C">
          <w:rPr>
            <w:rFonts w:eastAsiaTheme="minorEastAsia"/>
            <w:b w:val="0"/>
            <w:bCs w:val="0"/>
            <w:smallCaps w:val="0"/>
            <w:noProof/>
            <w:lang w:eastAsia="ca-ES"/>
          </w:rPr>
          <w:tab/>
        </w:r>
        <w:r w:rsidR="00752E4C" w:rsidRPr="00D0406E">
          <w:rPr>
            <w:rStyle w:val="Enlla"/>
            <w:noProof/>
          </w:rPr>
          <w:t>l’execució penal a catalunya: des de les transferències fins avui. Elements diferenciadors i incidència de l’entorn</w:t>
        </w:r>
        <w:r w:rsidR="00752E4C">
          <w:rPr>
            <w:noProof/>
            <w:webHidden/>
          </w:rPr>
          <w:tab/>
        </w:r>
        <w:r w:rsidR="00752E4C">
          <w:rPr>
            <w:noProof/>
            <w:webHidden/>
          </w:rPr>
          <w:fldChar w:fldCharType="begin"/>
        </w:r>
        <w:r w:rsidR="00752E4C">
          <w:rPr>
            <w:noProof/>
            <w:webHidden/>
          </w:rPr>
          <w:instrText xml:space="preserve"> PAGEREF _Toc465293332 \h </w:instrText>
        </w:r>
        <w:r w:rsidR="00752E4C">
          <w:rPr>
            <w:noProof/>
            <w:webHidden/>
          </w:rPr>
        </w:r>
        <w:r w:rsidR="00752E4C">
          <w:rPr>
            <w:noProof/>
            <w:webHidden/>
          </w:rPr>
          <w:fldChar w:fldCharType="separate"/>
        </w:r>
        <w:r w:rsidR="00752E4C">
          <w:rPr>
            <w:noProof/>
            <w:webHidden/>
          </w:rPr>
          <w:t>13</w:t>
        </w:r>
        <w:r w:rsidR="00752E4C">
          <w:rPr>
            <w:noProof/>
            <w:webHidden/>
          </w:rPr>
          <w:fldChar w:fldCharType="end"/>
        </w:r>
      </w:hyperlink>
    </w:p>
    <w:p w:rsidR="00752E4C" w:rsidRDefault="00DB496B">
      <w:pPr>
        <w:pStyle w:val="IDC3"/>
        <w:tabs>
          <w:tab w:val="left" w:pos="666"/>
          <w:tab w:val="right" w:pos="9061"/>
        </w:tabs>
        <w:rPr>
          <w:rFonts w:eastAsiaTheme="minorEastAsia"/>
          <w:smallCaps w:val="0"/>
          <w:noProof/>
          <w:lang w:eastAsia="ca-ES"/>
        </w:rPr>
      </w:pPr>
      <w:hyperlink w:anchor="_Toc465293333" w:history="1">
        <w:r w:rsidR="00752E4C" w:rsidRPr="00D0406E">
          <w:rPr>
            <w:rStyle w:val="Enlla"/>
            <w:noProof/>
          </w:rPr>
          <w:t>3.2.1</w:t>
        </w:r>
        <w:r w:rsidR="00752E4C">
          <w:rPr>
            <w:rFonts w:eastAsiaTheme="minorEastAsia"/>
            <w:smallCaps w:val="0"/>
            <w:noProof/>
            <w:lang w:eastAsia="ca-ES"/>
          </w:rPr>
          <w:tab/>
        </w:r>
        <w:r w:rsidR="00752E4C" w:rsidRPr="00D0406E">
          <w:rPr>
            <w:rStyle w:val="Enlla"/>
            <w:noProof/>
          </w:rPr>
          <w:t>Panoràmica en el moment de les transferències i elements potenciadors del canvi</w:t>
        </w:r>
        <w:r w:rsidR="00752E4C">
          <w:rPr>
            <w:noProof/>
            <w:webHidden/>
          </w:rPr>
          <w:tab/>
        </w:r>
        <w:r w:rsidR="00752E4C">
          <w:rPr>
            <w:noProof/>
            <w:webHidden/>
          </w:rPr>
          <w:fldChar w:fldCharType="begin"/>
        </w:r>
        <w:r w:rsidR="00752E4C">
          <w:rPr>
            <w:noProof/>
            <w:webHidden/>
          </w:rPr>
          <w:instrText xml:space="preserve"> PAGEREF _Toc465293333 \h </w:instrText>
        </w:r>
        <w:r w:rsidR="00752E4C">
          <w:rPr>
            <w:noProof/>
            <w:webHidden/>
          </w:rPr>
        </w:r>
        <w:r w:rsidR="00752E4C">
          <w:rPr>
            <w:noProof/>
            <w:webHidden/>
          </w:rPr>
          <w:fldChar w:fldCharType="separate"/>
        </w:r>
        <w:r w:rsidR="00752E4C">
          <w:rPr>
            <w:noProof/>
            <w:webHidden/>
          </w:rPr>
          <w:t>14</w:t>
        </w:r>
        <w:r w:rsidR="00752E4C">
          <w:rPr>
            <w:noProof/>
            <w:webHidden/>
          </w:rPr>
          <w:fldChar w:fldCharType="end"/>
        </w:r>
      </w:hyperlink>
    </w:p>
    <w:p w:rsidR="00752E4C" w:rsidRDefault="00DB496B">
      <w:pPr>
        <w:pStyle w:val="IDC3"/>
        <w:tabs>
          <w:tab w:val="left" w:pos="666"/>
          <w:tab w:val="right" w:pos="9061"/>
        </w:tabs>
        <w:rPr>
          <w:rFonts w:eastAsiaTheme="minorEastAsia"/>
          <w:smallCaps w:val="0"/>
          <w:noProof/>
          <w:lang w:eastAsia="ca-ES"/>
        </w:rPr>
      </w:pPr>
      <w:hyperlink w:anchor="_Toc465293334" w:history="1">
        <w:r w:rsidR="00752E4C" w:rsidRPr="00D0406E">
          <w:rPr>
            <w:rStyle w:val="Enlla"/>
            <w:noProof/>
          </w:rPr>
          <w:t>3.2.2</w:t>
        </w:r>
        <w:r w:rsidR="00752E4C">
          <w:rPr>
            <w:rFonts w:eastAsiaTheme="minorEastAsia"/>
            <w:smallCaps w:val="0"/>
            <w:noProof/>
            <w:lang w:eastAsia="ca-ES"/>
          </w:rPr>
          <w:tab/>
        </w:r>
        <w:r w:rsidR="00752E4C" w:rsidRPr="00D0406E">
          <w:rPr>
            <w:rStyle w:val="Enlla"/>
            <w:noProof/>
          </w:rPr>
          <w:t>L’entorn facilitador de la transformació del sistema penitenciari en l’àmbit de Catalunya</w:t>
        </w:r>
        <w:r w:rsidR="00752E4C">
          <w:rPr>
            <w:noProof/>
            <w:webHidden/>
          </w:rPr>
          <w:tab/>
        </w:r>
        <w:r w:rsidR="00752E4C">
          <w:rPr>
            <w:noProof/>
            <w:webHidden/>
          </w:rPr>
          <w:fldChar w:fldCharType="begin"/>
        </w:r>
        <w:r w:rsidR="00752E4C">
          <w:rPr>
            <w:noProof/>
            <w:webHidden/>
          </w:rPr>
          <w:instrText xml:space="preserve"> PAGEREF _Toc465293334 \h </w:instrText>
        </w:r>
        <w:r w:rsidR="00752E4C">
          <w:rPr>
            <w:noProof/>
            <w:webHidden/>
          </w:rPr>
        </w:r>
        <w:r w:rsidR="00752E4C">
          <w:rPr>
            <w:noProof/>
            <w:webHidden/>
          </w:rPr>
          <w:fldChar w:fldCharType="separate"/>
        </w:r>
        <w:r w:rsidR="00752E4C">
          <w:rPr>
            <w:noProof/>
            <w:webHidden/>
          </w:rPr>
          <w:t>17</w:t>
        </w:r>
        <w:r w:rsidR="00752E4C">
          <w:rPr>
            <w:noProof/>
            <w:webHidden/>
          </w:rPr>
          <w:fldChar w:fldCharType="end"/>
        </w:r>
      </w:hyperlink>
    </w:p>
    <w:p w:rsidR="00752E4C" w:rsidRDefault="00DB496B">
      <w:pPr>
        <w:pStyle w:val="IDC2"/>
        <w:tabs>
          <w:tab w:val="left" w:pos="502"/>
          <w:tab w:val="right" w:pos="9061"/>
        </w:tabs>
        <w:rPr>
          <w:rFonts w:eastAsiaTheme="minorEastAsia"/>
          <w:b w:val="0"/>
          <w:bCs w:val="0"/>
          <w:smallCaps w:val="0"/>
          <w:noProof/>
          <w:lang w:eastAsia="ca-ES"/>
        </w:rPr>
      </w:pPr>
      <w:hyperlink w:anchor="_Toc465293335" w:history="1">
        <w:r w:rsidR="00752E4C" w:rsidRPr="00D0406E">
          <w:rPr>
            <w:rStyle w:val="Enlla"/>
            <w:noProof/>
          </w:rPr>
          <w:t>3.3</w:t>
        </w:r>
        <w:r w:rsidR="00752E4C">
          <w:rPr>
            <w:rFonts w:eastAsiaTheme="minorEastAsia"/>
            <w:b w:val="0"/>
            <w:bCs w:val="0"/>
            <w:smallCaps w:val="0"/>
            <w:noProof/>
            <w:lang w:eastAsia="ca-ES"/>
          </w:rPr>
          <w:tab/>
        </w:r>
        <w:r w:rsidR="00752E4C" w:rsidRPr="00D0406E">
          <w:rPr>
            <w:rStyle w:val="Enlla"/>
            <w:noProof/>
          </w:rPr>
          <w:t>Marc normatiu i orientacions generals de la intervenció penitenciària</w:t>
        </w:r>
        <w:r w:rsidR="00752E4C">
          <w:rPr>
            <w:noProof/>
            <w:webHidden/>
          </w:rPr>
          <w:tab/>
        </w:r>
        <w:r w:rsidR="00752E4C">
          <w:rPr>
            <w:noProof/>
            <w:webHidden/>
          </w:rPr>
          <w:fldChar w:fldCharType="begin"/>
        </w:r>
        <w:r w:rsidR="00752E4C">
          <w:rPr>
            <w:noProof/>
            <w:webHidden/>
          </w:rPr>
          <w:instrText xml:space="preserve"> PAGEREF _Toc465293335 \h </w:instrText>
        </w:r>
        <w:r w:rsidR="00752E4C">
          <w:rPr>
            <w:noProof/>
            <w:webHidden/>
          </w:rPr>
        </w:r>
        <w:r w:rsidR="00752E4C">
          <w:rPr>
            <w:noProof/>
            <w:webHidden/>
          </w:rPr>
          <w:fldChar w:fldCharType="separate"/>
        </w:r>
        <w:r w:rsidR="00752E4C">
          <w:rPr>
            <w:noProof/>
            <w:webHidden/>
          </w:rPr>
          <w:t>17</w:t>
        </w:r>
        <w:r w:rsidR="00752E4C">
          <w:rPr>
            <w:noProof/>
            <w:webHidden/>
          </w:rPr>
          <w:fldChar w:fldCharType="end"/>
        </w:r>
      </w:hyperlink>
    </w:p>
    <w:p w:rsidR="00752E4C" w:rsidRDefault="00DB496B">
      <w:pPr>
        <w:pStyle w:val="IDC3"/>
        <w:tabs>
          <w:tab w:val="left" w:pos="666"/>
          <w:tab w:val="right" w:pos="9061"/>
        </w:tabs>
        <w:rPr>
          <w:rFonts w:eastAsiaTheme="minorEastAsia"/>
          <w:smallCaps w:val="0"/>
          <w:noProof/>
          <w:lang w:eastAsia="ca-ES"/>
        </w:rPr>
      </w:pPr>
      <w:hyperlink w:anchor="_Toc465293336" w:history="1">
        <w:r w:rsidR="00752E4C" w:rsidRPr="00D0406E">
          <w:rPr>
            <w:rStyle w:val="Enlla"/>
            <w:noProof/>
          </w:rPr>
          <w:t>3.3.1</w:t>
        </w:r>
        <w:r w:rsidR="00752E4C">
          <w:rPr>
            <w:rFonts w:eastAsiaTheme="minorEastAsia"/>
            <w:smallCaps w:val="0"/>
            <w:noProof/>
            <w:lang w:eastAsia="ca-ES"/>
          </w:rPr>
          <w:tab/>
        </w:r>
        <w:r w:rsidR="00752E4C" w:rsidRPr="00D0406E">
          <w:rPr>
            <w:rStyle w:val="Enlla"/>
            <w:noProof/>
          </w:rPr>
          <w:t>La funció constitucional i la competència estatutària</w:t>
        </w:r>
        <w:r w:rsidR="00752E4C">
          <w:rPr>
            <w:noProof/>
            <w:webHidden/>
          </w:rPr>
          <w:tab/>
        </w:r>
        <w:r w:rsidR="00752E4C">
          <w:rPr>
            <w:noProof/>
            <w:webHidden/>
          </w:rPr>
          <w:fldChar w:fldCharType="begin"/>
        </w:r>
        <w:r w:rsidR="00752E4C">
          <w:rPr>
            <w:noProof/>
            <w:webHidden/>
          </w:rPr>
          <w:instrText xml:space="preserve"> PAGEREF _Toc465293336 \h </w:instrText>
        </w:r>
        <w:r w:rsidR="00752E4C">
          <w:rPr>
            <w:noProof/>
            <w:webHidden/>
          </w:rPr>
        </w:r>
        <w:r w:rsidR="00752E4C">
          <w:rPr>
            <w:noProof/>
            <w:webHidden/>
          </w:rPr>
          <w:fldChar w:fldCharType="separate"/>
        </w:r>
        <w:r w:rsidR="00752E4C">
          <w:rPr>
            <w:noProof/>
            <w:webHidden/>
          </w:rPr>
          <w:t>17</w:t>
        </w:r>
        <w:r w:rsidR="00752E4C">
          <w:rPr>
            <w:noProof/>
            <w:webHidden/>
          </w:rPr>
          <w:fldChar w:fldCharType="end"/>
        </w:r>
      </w:hyperlink>
    </w:p>
    <w:p w:rsidR="00752E4C" w:rsidRDefault="00DB496B">
      <w:pPr>
        <w:pStyle w:val="IDC2"/>
        <w:tabs>
          <w:tab w:val="left" w:pos="502"/>
          <w:tab w:val="right" w:pos="9061"/>
        </w:tabs>
        <w:rPr>
          <w:rFonts w:eastAsiaTheme="minorEastAsia"/>
          <w:b w:val="0"/>
          <w:bCs w:val="0"/>
          <w:smallCaps w:val="0"/>
          <w:noProof/>
          <w:lang w:eastAsia="ca-ES"/>
        </w:rPr>
      </w:pPr>
      <w:hyperlink w:anchor="_Toc465293337" w:history="1">
        <w:r w:rsidR="00752E4C" w:rsidRPr="00D0406E">
          <w:rPr>
            <w:rStyle w:val="Enlla"/>
            <w:noProof/>
          </w:rPr>
          <w:t>3.4</w:t>
        </w:r>
        <w:r w:rsidR="00752E4C">
          <w:rPr>
            <w:rFonts w:eastAsiaTheme="minorEastAsia"/>
            <w:b w:val="0"/>
            <w:bCs w:val="0"/>
            <w:smallCaps w:val="0"/>
            <w:noProof/>
            <w:lang w:eastAsia="ca-ES"/>
          </w:rPr>
          <w:tab/>
        </w:r>
        <w:r w:rsidR="00752E4C" w:rsidRPr="00D0406E">
          <w:rPr>
            <w:rStyle w:val="Enlla"/>
            <w:noProof/>
          </w:rPr>
          <w:t>Les regles penitenciàries europees i les recomanacions del Consell d’Europa</w:t>
        </w:r>
        <w:r w:rsidR="00752E4C">
          <w:rPr>
            <w:noProof/>
            <w:webHidden/>
          </w:rPr>
          <w:tab/>
        </w:r>
        <w:r w:rsidR="00752E4C">
          <w:rPr>
            <w:noProof/>
            <w:webHidden/>
          </w:rPr>
          <w:fldChar w:fldCharType="begin"/>
        </w:r>
        <w:r w:rsidR="00752E4C">
          <w:rPr>
            <w:noProof/>
            <w:webHidden/>
          </w:rPr>
          <w:instrText xml:space="preserve"> PAGEREF _Toc465293337 \h </w:instrText>
        </w:r>
        <w:r w:rsidR="00752E4C">
          <w:rPr>
            <w:noProof/>
            <w:webHidden/>
          </w:rPr>
        </w:r>
        <w:r w:rsidR="00752E4C">
          <w:rPr>
            <w:noProof/>
            <w:webHidden/>
          </w:rPr>
          <w:fldChar w:fldCharType="separate"/>
        </w:r>
        <w:r w:rsidR="00752E4C">
          <w:rPr>
            <w:noProof/>
            <w:webHidden/>
          </w:rPr>
          <w:t>18</w:t>
        </w:r>
        <w:r w:rsidR="00752E4C">
          <w:rPr>
            <w:noProof/>
            <w:webHidden/>
          </w:rPr>
          <w:fldChar w:fldCharType="end"/>
        </w:r>
      </w:hyperlink>
    </w:p>
    <w:p w:rsidR="00752E4C" w:rsidRDefault="00DB496B">
      <w:pPr>
        <w:pStyle w:val="IDC2"/>
        <w:tabs>
          <w:tab w:val="left" w:pos="502"/>
          <w:tab w:val="right" w:pos="9061"/>
        </w:tabs>
        <w:rPr>
          <w:rFonts w:eastAsiaTheme="minorEastAsia"/>
          <w:b w:val="0"/>
          <w:bCs w:val="0"/>
          <w:smallCaps w:val="0"/>
          <w:noProof/>
          <w:lang w:eastAsia="ca-ES"/>
        </w:rPr>
      </w:pPr>
      <w:hyperlink w:anchor="_Toc465293338" w:history="1">
        <w:r w:rsidR="00752E4C" w:rsidRPr="00D0406E">
          <w:rPr>
            <w:rStyle w:val="Enlla"/>
            <w:noProof/>
          </w:rPr>
          <w:t>3.5</w:t>
        </w:r>
        <w:r w:rsidR="00752E4C">
          <w:rPr>
            <w:rFonts w:eastAsiaTheme="minorEastAsia"/>
            <w:b w:val="0"/>
            <w:bCs w:val="0"/>
            <w:smallCaps w:val="0"/>
            <w:noProof/>
            <w:lang w:eastAsia="ca-ES"/>
          </w:rPr>
          <w:tab/>
        </w:r>
        <w:r w:rsidR="00752E4C" w:rsidRPr="00D0406E">
          <w:rPr>
            <w:rStyle w:val="Enlla"/>
            <w:noProof/>
          </w:rPr>
          <w:t>Rellevància de la Declaració de Barcelona 2006 del Primer Congrés Internacional sobre la Funció Social de la Política Penitenciària</w:t>
        </w:r>
        <w:r w:rsidR="00752E4C">
          <w:rPr>
            <w:noProof/>
            <w:webHidden/>
          </w:rPr>
          <w:tab/>
        </w:r>
        <w:r w:rsidR="00752E4C">
          <w:rPr>
            <w:noProof/>
            <w:webHidden/>
          </w:rPr>
          <w:fldChar w:fldCharType="begin"/>
        </w:r>
        <w:r w:rsidR="00752E4C">
          <w:rPr>
            <w:noProof/>
            <w:webHidden/>
          </w:rPr>
          <w:instrText xml:space="preserve"> PAGEREF _Toc465293338 \h </w:instrText>
        </w:r>
        <w:r w:rsidR="00752E4C">
          <w:rPr>
            <w:noProof/>
            <w:webHidden/>
          </w:rPr>
        </w:r>
        <w:r w:rsidR="00752E4C">
          <w:rPr>
            <w:noProof/>
            <w:webHidden/>
          </w:rPr>
          <w:fldChar w:fldCharType="separate"/>
        </w:r>
        <w:r w:rsidR="00752E4C">
          <w:rPr>
            <w:noProof/>
            <w:webHidden/>
          </w:rPr>
          <w:t>19</w:t>
        </w:r>
        <w:r w:rsidR="00752E4C">
          <w:rPr>
            <w:noProof/>
            <w:webHidden/>
          </w:rPr>
          <w:fldChar w:fldCharType="end"/>
        </w:r>
      </w:hyperlink>
    </w:p>
    <w:p w:rsidR="00752E4C" w:rsidRDefault="00DB496B">
      <w:pPr>
        <w:pStyle w:val="IDC1"/>
        <w:tabs>
          <w:tab w:val="left" w:pos="332"/>
          <w:tab w:val="right" w:pos="9061"/>
        </w:tabs>
        <w:rPr>
          <w:rFonts w:eastAsiaTheme="minorEastAsia"/>
          <w:b w:val="0"/>
          <w:bCs w:val="0"/>
          <w:caps w:val="0"/>
          <w:noProof/>
          <w:u w:val="none"/>
          <w:lang w:eastAsia="ca-ES"/>
        </w:rPr>
      </w:pPr>
      <w:hyperlink w:anchor="_Toc465293339" w:history="1">
        <w:r w:rsidR="00752E4C" w:rsidRPr="00D0406E">
          <w:rPr>
            <w:rStyle w:val="Enlla"/>
            <w:noProof/>
            <w14:cntxtAlts/>
          </w:rPr>
          <w:t>4</w:t>
        </w:r>
        <w:r w:rsidR="00752E4C">
          <w:rPr>
            <w:rFonts w:eastAsiaTheme="minorEastAsia"/>
            <w:b w:val="0"/>
            <w:bCs w:val="0"/>
            <w:caps w:val="0"/>
            <w:noProof/>
            <w:u w:val="none"/>
            <w:lang w:eastAsia="ca-ES"/>
          </w:rPr>
          <w:tab/>
        </w:r>
        <w:r w:rsidR="00752E4C" w:rsidRPr="00D0406E">
          <w:rPr>
            <w:rStyle w:val="Enlla"/>
            <w:noProof/>
          </w:rPr>
          <w:t>Model de l’execució penal a Catalunya: de la definició a la visió operativa</w:t>
        </w:r>
        <w:r w:rsidR="00752E4C">
          <w:rPr>
            <w:noProof/>
            <w:webHidden/>
          </w:rPr>
          <w:tab/>
        </w:r>
        <w:r w:rsidR="00752E4C">
          <w:rPr>
            <w:noProof/>
            <w:webHidden/>
          </w:rPr>
          <w:fldChar w:fldCharType="begin"/>
        </w:r>
        <w:r w:rsidR="00752E4C">
          <w:rPr>
            <w:noProof/>
            <w:webHidden/>
          </w:rPr>
          <w:instrText xml:space="preserve"> PAGEREF _Toc465293339 \h </w:instrText>
        </w:r>
        <w:r w:rsidR="00752E4C">
          <w:rPr>
            <w:noProof/>
            <w:webHidden/>
          </w:rPr>
        </w:r>
        <w:r w:rsidR="00752E4C">
          <w:rPr>
            <w:noProof/>
            <w:webHidden/>
          </w:rPr>
          <w:fldChar w:fldCharType="separate"/>
        </w:r>
        <w:r w:rsidR="00752E4C">
          <w:rPr>
            <w:noProof/>
            <w:webHidden/>
          </w:rPr>
          <w:t>21</w:t>
        </w:r>
        <w:r w:rsidR="00752E4C">
          <w:rPr>
            <w:noProof/>
            <w:webHidden/>
          </w:rPr>
          <w:fldChar w:fldCharType="end"/>
        </w:r>
      </w:hyperlink>
    </w:p>
    <w:p w:rsidR="00752E4C" w:rsidRDefault="00DB496B">
      <w:pPr>
        <w:pStyle w:val="IDC2"/>
        <w:tabs>
          <w:tab w:val="left" w:pos="502"/>
          <w:tab w:val="right" w:pos="9061"/>
        </w:tabs>
        <w:rPr>
          <w:rFonts w:eastAsiaTheme="minorEastAsia"/>
          <w:b w:val="0"/>
          <w:bCs w:val="0"/>
          <w:smallCaps w:val="0"/>
          <w:noProof/>
          <w:lang w:eastAsia="ca-ES"/>
        </w:rPr>
      </w:pPr>
      <w:hyperlink w:anchor="_Toc465293340" w:history="1">
        <w:r w:rsidR="00752E4C" w:rsidRPr="00D0406E">
          <w:rPr>
            <w:rStyle w:val="Enlla"/>
            <w:noProof/>
          </w:rPr>
          <w:t>4.1</w:t>
        </w:r>
        <w:r w:rsidR="00752E4C">
          <w:rPr>
            <w:rFonts w:eastAsiaTheme="minorEastAsia"/>
            <w:b w:val="0"/>
            <w:bCs w:val="0"/>
            <w:smallCaps w:val="0"/>
            <w:noProof/>
            <w:lang w:eastAsia="ca-ES"/>
          </w:rPr>
          <w:tab/>
        </w:r>
        <w:r w:rsidR="00752E4C" w:rsidRPr="00D0406E">
          <w:rPr>
            <w:rStyle w:val="Enlla"/>
            <w:noProof/>
          </w:rPr>
          <w:t>La missió i la visió dels serveis d’execució penal</w:t>
        </w:r>
        <w:r w:rsidR="00752E4C">
          <w:rPr>
            <w:noProof/>
            <w:webHidden/>
          </w:rPr>
          <w:tab/>
        </w:r>
        <w:r w:rsidR="00752E4C">
          <w:rPr>
            <w:noProof/>
            <w:webHidden/>
          </w:rPr>
          <w:fldChar w:fldCharType="begin"/>
        </w:r>
        <w:r w:rsidR="00752E4C">
          <w:rPr>
            <w:noProof/>
            <w:webHidden/>
          </w:rPr>
          <w:instrText xml:space="preserve"> PAGEREF _Toc465293340 \h </w:instrText>
        </w:r>
        <w:r w:rsidR="00752E4C">
          <w:rPr>
            <w:noProof/>
            <w:webHidden/>
          </w:rPr>
        </w:r>
        <w:r w:rsidR="00752E4C">
          <w:rPr>
            <w:noProof/>
            <w:webHidden/>
          </w:rPr>
          <w:fldChar w:fldCharType="separate"/>
        </w:r>
        <w:r w:rsidR="00752E4C">
          <w:rPr>
            <w:noProof/>
            <w:webHidden/>
          </w:rPr>
          <w:t>21</w:t>
        </w:r>
        <w:r w:rsidR="00752E4C">
          <w:rPr>
            <w:noProof/>
            <w:webHidden/>
          </w:rPr>
          <w:fldChar w:fldCharType="end"/>
        </w:r>
      </w:hyperlink>
    </w:p>
    <w:p w:rsidR="00752E4C" w:rsidRDefault="00DB496B">
      <w:pPr>
        <w:pStyle w:val="IDC3"/>
        <w:tabs>
          <w:tab w:val="left" w:pos="666"/>
          <w:tab w:val="right" w:pos="9061"/>
        </w:tabs>
        <w:rPr>
          <w:rFonts w:eastAsiaTheme="minorEastAsia"/>
          <w:smallCaps w:val="0"/>
          <w:noProof/>
          <w:lang w:eastAsia="ca-ES"/>
        </w:rPr>
      </w:pPr>
      <w:hyperlink w:anchor="_Toc465293341" w:history="1">
        <w:r w:rsidR="00752E4C" w:rsidRPr="00D0406E">
          <w:rPr>
            <w:rStyle w:val="Enlla"/>
            <w:noProof/>
          </w:rPr>
          <w:t>4.1.1</w:t>
        </w:r>
        <w:r w:rsidR="00752E4C">
          <w:rPr>
            <w:rFonts w:eastAsiaTheme="minorEastAsia"/>
            <w:smallCaps w:val="0"/>
            <w:noProof/>
            <w:lang w:eastAsia="ca-ES"/>
          </w:rPr>
          <w:tab/>
        </w:r>
        <w:r w:rsidR="00752E4C" w:rsidRPr="00D0406E">
          <w:rPr>
            <w:rStyle w:val="Enlla"/>
            <w:noProof/>
          </w:rPr>
          <w:t>Missió dels serveis d’execució penal</w:t>
        </w:r>
        <w:r w:rsidR="00752E4C">
          <w:rPr>
            <w:noProof/>
            <w:webHidden/>
          </w:rPr>
          <w:tab/>
        </w:r>
        <w:r w:rsidR="00752E4C">
          <w:rPr>
            <w:noProof/>
            <w:webHidden/>
          </w:rPr>
          <w:fldChar w:fldCharType="begin"/>
        </w:r>
        <w:r w:rsidR="00752E4C">
          <w:rPr>
            <w:noProof/>
            <w:webHidden/>
          </w:rPr>
          <w:instrText xml:space="preserve"> PAGEREF _Toc465293341 \h </w:instrText>
        </w:r>
        <w:r w:rsidR="00752E4C">
          <w:rPr>
            <w:noProof/>
            <w:webHidden/>
          </w:rPr>
        </w:r>
        <w:r w:rsidR="00752E4C">
          <w:rPr>
            <w:noProof/>
            <w:webHidden/>
          </w:rPr>
          <w:fldChar w:fldCharType="separate"/>
        </w:r>
        <w:r w:rsidR="00752E4C">
          <w:rPr>
            <w:noProof/>
            <w:webHidden/>
          </w:rPr>
          <w:t>21</w:t>
        </w:r>
        <w:r w:rsidR="00752E4C">
          <w:rPr>
            <w:noProof/>
            <w:webHidden/>
          </w:rPr>
          <w:fldChar w:fldCharType="end"/>
        </w:r>
      </w:hyperlink>
    </w:p>
    <w:p w:rsidR="00752E4C" w:rsidRDefault="00DB496B">
      <w:pPr>
        <w:pStyle w:val="IDC3"/>
        <w:tabs>
          <w:tab w:val="left" w:pos="666"/>
          <w:tab w:val="right" w:pos="9061"/>
        </w:tabs>
        <w:rPr>
          <w:rFonts w:eastAsiaTheme="minorEastAsia"/>
          <w:smallCaps w:val="0"/>
          <w:noProof/>
          <w:lang w:eastAsia="ca-ES"/>
        </w:rPr>
      </w:pPr>
      <w:hyperlink w:anchor="_Toc465293342" w:history="1">
        <w:r w:rsidR="00752E4C" w:rsidRPr="00D0406E">
          <w:rPr>
            <w:rStyle w:val="Enlla"/>
            <w:noProof/>
          </w:rPr>
          <w:t>4.1.2</w:t>
        </w:r>
        <w:r w:rsidR="00752E4C">
          <w:rPr>
            <w:rFonts w:eastAsiaTheme="minorEastAsia"/>
            <w:smallCaps w:val="0"/>
            <w:noProof/>
            <w:lang w:eastAsia="ca-ES"/>
          </w:rPr>
          <w:tab/>
        </w:r>
        <w:r w:rsidR="00752E4C" w:rsidRPr="00D0406E">
          <w:rPr>
            <w:rStyle w:val="Enlla"/>
            <w:noProof/>
          </w:rPr>
          <w:t>Visió dels serveis d’execució penal</w:t>
        </w:r>
        <w:r w:rsidR="00752E4C">
          <w:rPr>
            <w:noProof/>
            <w:webHidden/>
          </w:rPr>
          <w:tab/>
        </w:r>
        <w:r w:rsidR="00752E4C">
          <w:rPr>
            <w:noProof/>
            <w:webHidden/>
          </w:rPr>
          <w:fldChar w:fldCharType="begin"/>
        </w:r>
        <w:r w:rsidR="00752E4C">
          <w:rPr>
            <w:noProof/>
            <w:webHidden/>
          </w:rPr>
          <w:instrText xml:space="preserve"> PAGEREF _Toc465293342 \h </w:instrText>
        </w:r>
        <w:r w:rsidR="00752E4C">
          <w:rPr>
            <w:noProof/>
            <w:webHidden/>
          </w:rPr>
        </w:r>
        <w:r w:rsidR="00752E4C">
          <w:rPr>
            <w:noProof/>
            <w:webHidden/>
          </w:rPr>
          <w:fldChar w:fldCharType="separate"/>
        </w:r>
        <w:r w:rsidR="00752E4C">
          <w:rPr>
            <w:noProof/>
            <w:webHidden/>
          </w:rPr>
          <w:t>21</w:t>
        </w:r>
        <w:r w:rsidR="00752E4C">
          <w:rPr>
            <w:noProof/>
            <w:webHidden/>
          </w:rPr>
          <w:fldChar w:fldCharType="end"/>
        </w:r>
      </w:hyperlink>
    </w:p>
    <w:p w:rsidR="00752E4C" w:rsidRDefault="00DB496B">
      <w:pPr>
        <w:pStyle w:val="IDC2"/>
        <w:tabs>
          <w:tab w:val="left" w:pos="502"/>
          <w:tab w:val="right" w:pos="9061"/>
        </w:tabs>
        <w:rPr>
          <w:rFonts w:eastAsiaTheme="minorEastAsia"/>
          <w:b w:val="0"/>
          <w:bCs w:val="0"/>
          <w:smallCaps w:val="0"/>
          <w:noProof/>
          <w:lang w:eastAsia="ca-ES"/>
        </w:rPr>
      </w:pPr>
      <w:hyperlink w:anchor="_Toc465293343" w:history="1">
        <w:r w:rsidR="00752E4C" w:rsidRPr="00D0406E">
          <w:rPr>
            <w:rStyle w:val="Enlla"/>
            <w:noProof/>
          </w:rPr>
          <w:t>4.2</w:t>
        </w:r>
        <w:r w:rsidR="00752E4C">
          <w:rPr>
            <w:rFonts w:eastAsiaTheme="minorEastAsia"/>
            <w:b w:val="0"/>
            <w:bCs w:val="0"/>
            <w:smallCaps w:val="0"/>
            <w:noProof/>
            <w:lang w:eastAsia="ca-ES"/>
          </w:rPr>
          <w:tab/>
        </w:r>
        <w:r w:rsidR="00752E4C" w:rsidRPr="00D0406E">
          <w:rPr>
            <w:rStyle w:val="Enlla"/>
            <w:noProof/>
          </w:rPr>
          <w:t>Els valors de l’organització</w:t>
        </w:r>
        <w:r w:rsidR="00752E4C">
          <w:rPr>
            <w:noProof/>
            <w:webHidden/>
          </w:rPr>
          <w:tab/>
        </w:r>
        <w:r w:rsidR="00752E4C">
          <w:rPr>
            <w:noProof/>
            <w:webHidden/>
          </w:rPr>
          <w:fldChar w:fldCharType="begin"/>
        </w:r>
        <w:r w:rsidR="00752E4C">
          <w:rPr>
            <w:noProof/>
            <w:webHidden/>
          </w:rPr>
          <w:instrText xml:space="preserve"> PAGEREF _Toc465293343 \h </w:instrText>
        </w:r>
        <w:r w:rsidR="00752E4C">
          <w:rPr>
            <w:noProof/>
            <w:webHidden/>
          </w:rPr>
        </w:r>
        <w:r w:rsidR="00752E4C">
          <w:rPr>
            <w:noProof/>
            <w:webHidden/>
          </w:rPr>
          <w:fldChar w:fldCharType="separate"/>
        </w:r>
        <w:r w:rsidR="00752E4C">
          <w:rPr>
            <w:noProof/>
            <w:webHidden/>
          </w:rPr>
          <w:t>21</w:t>
        </w:r>
        <w:r w:rsidR="00752E4C">
          <w:rPr>
            <w:noProof/>
            <w:webHidden/>
          </w:rPr>
          <w:fldChar w:fldCharType="end"/>
        </w:r>
      </w:hyperlink>
    </w:p>
    <w:p w:rsidR="00752E4C" w:rsidRDefault="00DB496B">
      <w:pPr>
        <w:pStyle w:val="IDC3"/>
        <w:tabs>
          <w:tab w:val="left" w:pos="666"/>
          <w:tab w:val="right" w:pos="9061"/>
        </w:tabs>
        <w:rPr>
          <w:rFonts w:eastAsiaTheme="minorEastAsia"/>
          <w:smallCaps w:val="0"/>
          <w:noProof/>
          <w:lang w:eastAsia="ca-ES"/>
        </w:rPr>
      </w:pPr>
      <w:hyperlink w:anchor="_Toc465293344" w:history="1">
        <w:r w:rsidR="00752E4C" w:rsidRPr="00D0406E">
          <w:rPr>
            <w:rStyle w:val="Enlla"/>
            <w:noProof/>
          </w:rPr>
          <w:t>4.2.1</w:t>
        </w:r>
        <w:r w:rsidR="00752E4C">
          <w:rPr>
            <w:rFonts w:eastAsiaTheme="minorEastAsia"/>
            <w:smallCaps w:val="0"/>
            <w:noProof/>
            <w:lang w:eastAsia="ca-ES"/>
          </w:rPr>
          <w:tab/>
        </w:r>
        <w:r w:rsidR="00752E4C" w:rsidRPr="00D0406E">
          <w:rPr>
            <w:rStyle w:val="Enlla"/>
            <w:noProof/>
          </w:rPr>
          <w:t>El Codi ètic dels professionals de l’execució penal</w:t>
        </w:r>
        <w:r w:rsidR="00752E4C">
          <w:rPr>
            <w:noProof/>
            <w:webHidden/>
          </w:rPr>
          <w:tab/>
        </w:r>
        <w:r w:rsidR="00752E4C">
          <w:rPr>
            <w:noProof/>
            <w:webHidden/>
          </w:rPr>
          <w:fldChar w:fldCharType="begin"/>
        </w:r>
        <w:r w:rsidR="00752E4C">
          <w:rPr>
            <w:noProof/>
            <w:webHidden/>
          </w:rPr>
          <w:instrText xml:space="preserve"> PAGEREF _Toc465293344 \h </w:instrText>
        </w:r>
        <w:r w:rsidR="00752E4C">
          <w:rPr>
            <w:noProof/>
            <w:webHidden/>
          </w:rPr>
        </w:r>
        <w:r w:rsidR="00752E4C">
          <w:rPr>
            <w:noProof/>
            <w:webHidden/>
          </w:rPr>
          <w:fldChar w:fldCharType="separate"/>
        </w:r>
        <w:r w:rsidR="00752E4C">
          <w:rPr>
            <w:noProof/>
            <w:webHidden/>
          </w:rPr>
          <w:t>22</w:t>
        </w:r>
        <w:r w:rsidR="00752E4C">
          <w:rPr>
            <w:noProof/>
            <w:webHidden/>
          </w:rPr>
          <w:fldChar w:fldCharType="end"/>
        </w:r>
      </w:hyperlink>
    </w:p>
    <w:p w:rsidR="00752E4C" w:rsidRDefault="00DB496B">
      <w:pPr>
        <w:pStyle w:val="IDC2"/>
        <w:tabs>
          <w:tab w:val="left" w:pos="502"/>
          <w:tab w:val="right" w:pos="9061"/>
        </w:tabs>
        <w:rPr>
          <w:rFonts w:eastAsiaTheme="minorEastAsia"/>
          <w:b w:val="0"/>
          <w:bCs w:val="0"/>
          <w:smallCaps w:val="0"/>
          <w:noProof/>
          <w:lang w:eastAsia="ca-ES"/>
        </w:rPr>
      </w:pPr>
      <w:hyperlink w:anchor="_Toc465293345" w:history="1">
        <w:r w:rsidR="00752E4C" w:rsidRPr="00D0406E">
          <w:rPr>
            <w:rStyle w:val="Enlla"/>
            <w:noProof/>
          </w:rPr>
          <w:t>4.3</w:t>
        </w:r>
        <w:r w:rsidR="00752E4C">
          <w:rPr>
            <w:rFonts w:eastAsiaTheme="minorEastAsia"/>
            <w:b w:val="0"/>
            <w:bCs w:val="0"/>
            <w:smallCaps w:val="0"/>
            <w:noProof/>
            <w:lang w:eastAsia="ca-ES"/>
          </w:rPr>
          <w:tab/>
        </w:r>
        <w:r w:rsidR="00752E4C" w:rsidRPr="00D0406E">
          <w:rPr>
            <w:rStyle w:val="Enlla"/>
            <w:noProof/>
          </w:rPr>
          <w:t>Els principis orientadors de les polítiques d’execució penal</w:t>
        </w:r>
        <w:r w:rsidR="00752E4C">
          <w:rPr>
            <w:noProof/>
            <w:webHidden/>
          </w:rPr>
          <w:tab/>
        </w:r>
        <w:r w:rsidR="00752E4C">
          <w:rPr>
            <w:noProof/>
            <w:webHidden/>
          </w:rPr>
          <w:fldChar w:fldCharType="begin"/>
        </w:r>
        <w:r w:rsidR="00752E4C">
          <w:rPr>
            <w:noProof/>
            <w:webHidden/>
          </w:rPr>
          <w:instrText xml:space="preserve"> PAGEREF _Toc465293345 \h </w:instrText>
        </w:r>
        <w:r w:rsidR="00752E4C">
          <w:rPr>
            <w:noProof/>
            <w:webHidden/>
          </w:rPr>
        </w:r>
        <w:r w:rsidR="00752E4C">
          <w:rPr>
            <w:noProof/>
            <w:webHidden/>
          </w:rPr>
          <w:fldChar w:fldCharType="separate"/>
        </w:r>
        <w:r w:rsidR="00752E4C">
          <w:rPr>
            <w:noProof/>
            <w:webHidden/>
          </w:rPr>
          <w:t>23</w:t>
        </w:r>
        <w:r w:rsidR="00752E4C">
          <w:rPr>
            <w:noProof/>
            <w:webHidden/>
          </w:rPr>
          <w:fldChar w:fldCharType="end"/>
        </w:r>
      </w:hyperlink>
    </w:p>
    <w:p w:rsidR="00752E4C" w:rsidRDefault="00DB496B">
      <w:pPr>
        <w:pStyle w:val="IDC2"/>
        <w:tabs>
          <w:tab w:val="left" w:pos="502"/>
          <w:tab w:val="right" w:pos="9061"/>
        </w:tabs>
        <w:rPr>
          <w:rFonts w:eastAsiaTheme="minorEastAsia"/>
          <w:b w:val="0"/>
          <w:bCs w:val="0"/>
          <w:smallCaps w:val="0"/>
          <w:noProof/>
          <w:lang w:eastAsia="ca-ES"/>
        </w:rPr>
      </w:pPr>
      <w:hyperlink w:anchor="_Toc465293346" w:history="1">
        <w:r w:rsidR="00752E4C" w:rsidRPr="00D0406E">
          <w:rPr>
            <w:rStyle w:val="Enlla"/>
            <w:noProof/>
          </w:rPr>
          <w:t>4.4</w:t>
        </w:r>
        <w:r w:rsidR="00752E4C">
          <w:rPr>
            <w:rFonts w:eastAsiaTheme="minorEastAsia"/>
            <w:b w:val="0"/>
            <w:bCs w:val="0"/>
            <w:smallCaps w:val="0"/>
            <w:noProof/>
            <w:lang w:eastAsia="ca-ES"/>
          </w:rPr>
          <w:tab/>
        </w:r>
        <w:r w:rsidR="00752E4C" w:rsidRPr="00D0406E">
          <w:rPr>
            <w:rStyle w:val="Enlla"/>
            <w:noProof/>
          </w:rPr>
          <w:t>Línies estratègiques de les polítiques d’execució penal</w:t>
        </w:r>
        <w:r w:rsidR="00752E4C">
          <w:rPr>
            <w:noProof/>
            <w:webHidden/>
          </w:rPr>
          <w:tab/>
        </w:r>
        <w:r w:rsidR="00752E4C">
          <w:rPr>
            <w:noProof/>
            <w:webHidden/>
          </w:rPr>
          <w:fldChar w:fldCharType="begin"/>
        </w:r>
        <w:r w:rsidR="00752E4C">
          <w:rPr>
            <w:noProof/>
            <w:webHidden/>
          </w:rPr>
          <w:instrText xml:space="preserve"> PAGEREF _Toc465293346 \h </w:instrText>
        </w:r>
        <w:r w:rsidR="00752E4C">
          <w:rPr>
            <w:noProof/>
            <w:webHidden/>
          </w:rPr>
        </w:r>
        <w:r w:rsidR="00752E4C">
          <w:rPr>
            <w:noProof/>
            <w:webHidden/>
          </w:rPr>
          <w:fldChar w:fldCharType="separate"/>
        </w:r>
        <w:r w:rsidR="00752E4C">
          <w:rPr>
            <w:noProof/>
            <w:webHidden/>
          </w:rPr>
          <w:t>24</w:t>
        </w:r>
        <w:r w:rsidR="00752E4C">
          <w:rPr>
            <w:noProof/>
            <w:webHidden/>
          </w:rPr>
          <w:fldChar w:fldCharType="end"/>
        </w:r>
      </w:hyperlink>
    </w:p>
    <w:p w:rsidR="00752E4C" w:rsidRDefault="00DB496B">
      <w:pPr>
        <w:pStyle w:val="IDC3"/>
        <w:tabs>
          <w:tab w:val="left" w:pos="666"/>
          <w:tab w:val="right" w:pos="9061"/>
        </w:tabs>
        <w:rPr>
          <w:rFonts w:eastAsiaTheme="minorEastAsia"/>
          <w:smallCaps w:val="0"/>
          <w:noProof/>
          <w:lang w:eastAsia="ca-ES"/>
        </w:rPr>
      </w:pPr>
      <w:hyperlink w:anchor="_Toc465293347" w:history="1">
        <w:r w:rsidR="00752E4C" w:rsidRPr="00D0406E">
          <w:rPr>
            <w:rStyle w:val="Enlla"/>
            <w:noProof/>
          </w:rPr>
          <w:t>4.4.1</w:t>
        </w:r>
        <w:r w:rsidR="00752E4C">
          <w:rPr>
            <w:rFonts w:eastAsiaTheme="minorEastAsia"/>
            <w:smallCaps w:val="0"/>
            <w:noProof/>
            <w:lang w:eastAsia="ca-ES"/>
          </w:rPr>
          <w:tab/>
        </w:r>
        <w:r w:rsidR="00752E4C" w:rsidRPr="00D0406E">
          <w:rPr>
            <w:rStyle w:val="Enlla"/>
            <w:noProof/>
          </w:rPr>
          <w:t>La recerca i la investigació</w:t>
        </w:r>
        <w:r w:rsidR="00752E4C">
          <w:rPr>
            <w:noProof/>
            <w:webHidden/>
          </w:rPr>
          <w:tab/>
        </w:r>
        <w:r w:rsidR="00752E4C">
          <w:rPr>
            <w:noProof/>
            <w:webHidden/>
          </w:rPr>
          <w:fldChar w:fldCharType="begin"/>
        </w:r>
        <w:r w:rsidR="00752E4C">
          <w:rPr>
            <w:noProof/>
            <w:webHidden/>
          </w:rPr>
          <w:instrText xml:space="preserve"> PAGEREF _Toc465293347 \h </w:instrText>
        </w:r>
        <w:r w:rsidR="00752E4C">
          <w:rPr>
            <w:noProof/>
            <w:webHidden/>
          </w:rPr>
        </w:r>
        <w:r w:rsidR="00752E4C">
          <w:rPr>
            <w:noProof/>
            <w:webHidden/>
          </w:rPr>
          <w:fldChar w:fldCharType="separate"/>
        </w:r>
        <w:r w:rsidR="00752E4C">
          <w:rPr>
            <w:noProof/>
            <w:webHidden/>
          </w:rPr>
          <w:t>25</w:t>
        </w:r>
        <w:r w:rsidR="00752E4C">
          <w:rPr>
            <w:noProof/>
            <w:webHidden/>
          </w:rPr>
          <w:fldChar w:fldCharType="end"/>
        </w:r>
      </w:hyperlink>
    </w:p>
    <w:p w:rsidR="00752E4C" w:rsidRDefault="00DB496B">
      <w:pPr>
        <w:pStyle w:val="IDC3"/>
        <w:tabs>
          <w:tab w:val="left" w:pos="666"/>
          <w:tab w:val="right" w:pos="9061"/>
        </w:tabs>
        <w:rPr>
          <w:rFonts w:eastAsiaTheme="minorEastAsia"/>
          <w:smallCaps w:val="0"/>
          <w:noProof/>
          <w:lang w:eastAsia="ca-ES"/>
        </w:rPr>
      </w:pPr>
      <w:hyperlink w:anchor="_Toc465293348" w:history="1">
        <w:r w:rsidR="00752E4C" w:rsidRPr="00D0406E">
          <w:rPr>
            <w:rStyle w:val="Enlla"/>
            <w:noProof/>
          </w:rPr>
          <w:t>4.4.2</w:t>
        </w:r>
        <w:r w:rsidR="00752E4C">
          <w:rPr>
            <w:rFonts w:eastAsiaTheme="minorEastAsia"/>
            <w:smallCaps w:val="0"/>
            <w:noProof/>
            <w:lang w:eastAsia="ca-ES"/>
          </w:rPr>
          <w:tab/>
        </w:r>
        <w:r w:rsidR="00752E4C" w:rsidRPr="00D0406E">
          <w:rPr>
            <w:rStyle w:val="Enlla"/>
            <w:noProof/>
          </w:rPr>
          <w:t>La col·laboració continuada i sinèrgica amb la Universitat</w:t>
        </w:r>
        <w:r w:rsidR="00752E4C">
          <w:rPr>
            <w:noProof/>
            <w:webHidden/>
          </w:rPr>
          <w:tab/>
        </w:r>
        <w:r w:rsidR="00752E4C">
          <w:rPr>
            <w:noProof/>
            <w:webHidden/>
          </w:rPr>
          <w:fldChar w:fldCharType="begin"/>
        </w:r>
        <w:r w:rsidR="00752E4C">
          <w:rPr>
            <w:noProof/>
            <w:webHidden/>
          </w:rPr>
          <w:instrText xml:space="preserve"> PAGEREF _Toc465293348 \h </w:instrText>
        </w:r>
        <w:r w:rsidR="00752E4C">
          <w:rPr>
            <w:noProof/>
            <w:webHidden/>
          </w:rPr>
        </w:r>
        <w:r w:rsidR="00752E4C">
          <w:rPr>
            <w:noProof/>
            <w:webHidden/>
          </w:rPr>
          <w:fldChar w:fldCharType="separate"/>
        </w:r>
        <w:r w:rsidR="00752E4C">
          <w:rPr>
            <w:noProof/>
            <w:webHidden/>
          </w:rPr>
          <w:t>25</w:t>
        </w:r>
        <w:r w:rsidR="00752E4C">
          <w:rPr>
            <w:noProof/>
            <w:webHidden/>
          </w:rPr>
          <w:fldChar w:fldCharType="end"/>
        </w:r>
      </w:hyperlink>
    </w:p>
    <w:p w:rsidR="00752E4C" w:rsidRDefault="00DB496B">
      <w:pPr>
        <w:pStyle w:val="IDC3"/>
        <w:tabs>
          <w:tab w:val="left" w:pos="666"/>
          <w:tab w:val="right" w:pos="9061"/>
        </w:tabs>
        <w:rPr>
          <w:rFonts w:eastAsiaTheme="minorEastAsia"/>
          <w:smallCaps w:val="0"/>
          <w:noProof/>
          <w:lang w:eastAsia="ca-ES"/>
        </w:rPr>
      </w:pPr>
      <w:hyperlink w:anchor="_Toc465293349" w:history="1">
        <w:r w:rsidR="00752E4C" w:rsidRPr="00D0406E">
          <w:rPr>
            <w:rStyle w:val="Enlla"/>
            <w:noProof/>
          </w:rPr>
          <w:t>4.4.3</w:t>
        </w:r>
        <w:r w:rsidR="00752E4C">
          <w:rPr>
            <w:rFonts w:eastAsiaTheme="minorEastAsia"/>
            <w:smallCaps w:val="0"/>
            <w:noProof/>
            <w:lang w:eastAsia="ca-ES"/>
          </w:rPr>
          <w:tab/>
        </w:r>
        <w:r w:rsidR="00752E4C" w:rsidRPr="00D0406E">
          <w:rPr>
            <w:rStyle w:val="Enlla"/>
            <w:noProof/>
          </w:rPr>
          <w:t>La col·laboració amb administracions penitenciàries d’altres estats i amb organismes internacionals relacionats amb l’execució penal</w:t>
        </w:r>
        <w:r w:rsidR="00752E4C">
          <w:rPr>
            <w:noProof/>
            <w:webHidden/>
          </w:rPr>
          <w:tab/>
        </w:r>
        <w:r w:rsidR="00752E4C">
          <w:rPr>
            <w:noProof/>
            <w:webHidden/>
          </w:rPr>
          <w:fldChar w:fldCharType="begin"/>
        </w:r>
        <w:r w:rsidR="00752E4C">
          <w:rPr>
            <w:noProof/>
            <w:webHidden/>
          </w:rPr>
          <w:instrText xml:space="preserve"> PAGEREF _Toc465293349 \h </w:instrText>
        </w:r>
        <w:r w:rsidR="00752E4C">
          <w:rPr>
            <w:noProof/>
            <w:webHidden/>
          </w:rPr>
        </w:r>
        <w:r w:rsidR="00752E4C">
          <w:rPr>
            <w:noProof/>
            <w:webHidden/>
          </w:rPr>
          <w:fldChar w:fldCharType="separate"/>
        </w:r>
        <w:r w:rsidR="00752E4C">
          <w:rPr>
            <w:noProof/>
            <w:webHidden/>
          </w:rPr>
          <w:t>26</w:t>
        </w:r>
        <w:r w:rsidR="00752E4C">
          <w:rPr>
            <w:noProof/>
            <w:webHidden/>
          </w:rPr>
          <w:fldChar w:fldCharType="end"/>
        </w:r>
      </w:hyperlink>
    </w:p>
    <w:p w:rsidR="00752E4C" w:rsidRDefault="00DB496B">
      <w:pPr>
        <w:pStyle w:val="IDC2"/>
        <w:tabs>
          <w:tab w:val="left" w:pos="502"/>
          <w:tab w:val="right" w:pos="9061"/>
        </w:tabs>
        <w:rPr>
          <w:rFonts w:eastAsiaTheme="minorEastAsia"/>
          <w:b w:val="0"/>
          <w:bCs w:val="0"/>
          <w:smallCaps w:val="0"/>
          <w:noProof/>
          <w:lang w:eastAsia="ca-ES"/>
        </w:rPr>
      </w:pPr>
      <w:hyperlink w:anchor="_Toc465293350" w:history="1">
        <w:r w:rsidR="00752E4C" w:rsidRPr="00D0406E">
          <w:rPr>
            <w:rStyle w:val="Enlla"/>
            <w:noProof/>
          </w:rPr>
          <w:t>4.5</w:t>
        </w:r>
        <w:r w:rsidR="00752E4C">
          <w:rPr>
            <w:rFonts w:eastAsiaTheme="minorEastAsia"/>
            <w:b w:val="0"/>
            <w:bCs w:val="0"/>
            <w:smallCaps w:val="0"/>
            <w:noProof/>
            <w:lang w:eastAsia="ca-ES"/>
          </w:rPr>
          <w:tab/>
        </w:r>
        <w:r w:rsidR="00752E4C" w:rsidRPr="00D0406E">
          <w:rPr>
            <w:rStyle w:val="Enlla"/>
            <w:noProof/>
          </w:rPr>
          <w:t>De les línies estratègiques al Pla d’acció i a l’avaluació de resultats: la responsabilitat en la gestió</w:t>
        </w:r>
        <w:r w:rsidR="00752E4C">
          <w:rPr>
            <w:noProof/>
            <w:webHidden/>
          </w:rPr>
          <w:tab/>
        </w:r>
        <w:r w:rsidR="00752E4C">
          <w:rPr>
            <w:noProof/>
            <w:webHidden/>
          </w:rPr>
          <w:fldChar w:fldCharType="begin"/>
        </w:r>
        <w:r w:rsidR="00752E4C">
          <w:rPr>
            <w:noProof/>
            <w:webHidden/>
          </w:rPr>
          <w:instrText xml:space="preserve"> PAGEREF _Toc465293350 \h </w:instrText>
        </w:r>
        <w:r w:rsidR="00752E4C">
          <w:rPr>
            <w:noProof/>
            <w:webHidden/>
          </w:rPr>
        </w:r>
        <w:r w:rsidR="00752E4C">
          <w:rPr>
            <w:noProof/>
            <w:webHidden/>
          </w:rPr>
          <w:fldChar w:fldCharType="separate"/>
        </w:r>
        <w:r w:rsidR="00752E4C">
          <w:rPr>
            <w:noProof/>
            <w:webHidden/>
          </w:rPr>
          <w:t>26</w:t>
        </w:r>
        <w:r w:rsidR="00752E4C">
          <w:rPr>
            <w:noProof/>
            <w:webHidden/>
          </w:rPr>
          <w:fldChar w:fldCharType="end"/>
        </w:r>
      </w:hyperlink>
    </w:p>
    <w:p w:rsidR="00752E4C" w:rsidRDefault="00DB496B">
      <w:pPr>
        <w:pStyle w:val="IDC3"/>
        <w:tabs>
          <w:tab w:val="left" w:pos="666"/>
          <w:tab w:val="right" w:pos="9061"/>
        </w:tabs>
        <w:rPr>
          <w:rFonts w:eastAsiaTheme="minorEastAsia"/>
          <w:smallCaps w:val="0"/>
          <w:noProof/>
          <w:lang w:eastAsia="ca-ES"/>
        </w:rPr>
      </w:pPr>
      <w:hyperlink w:anchor="_Toc465293351" w:history="1">
        <w:r w:rsidR="00752E4C" w:rsidRPr="00D0406E">
          <w:rPr>
            <w:rStyle w:val="Enlla"/>
            <w:noProof/>
          </w:rPr>
          <w:t>4.5.1</w:t>
        </w:r>
        <w:r w:rsidR="00752E4C">
          <w:rPr>
            <w:rFonts w:eastAsiaTheme="minorEastAsia"/>
            <w:smallCaps w:val="0"/>
            <w:noProof/>
            <w:lang w:eastAsia="ca-ES"/>
          </w:rPr>
          <w:tab/>
        </w:r>
        <w:r w:rsidR="00752E4C" w:rsidRPr="00D0406E">
          <w:rPr>
            <w:rStyle w:val="Enlla"/>
            <w:noProof/>
          </w:rPr>
          <w:t>Objectius</w:t>
        </w:r>
        <w:r w:rsidR="00752E4C">
          <w:rPr>
            <w:noProof/>
            <w:webHidden/>
          </w:rPr>
          <w:tab/>
        </w:r>
        <w:r w:rsidR="00752E4C">
          <w:rPr>
            <w:noProof/>
            <w:webHidden/>
          </w:rPr>
          <w:fldChar w:fldCharType="begin"/>
        </w:r>
        <w:r w:rsidR="00752E4C">
          <w:rPr>
            <w:noProof/>
            <w:webHidden/>
          </w:rPr>
          <w:instrText xml:space="preserve"> PAGEREF _Toc465293351 \h </w:instrText>
        </w:r>
        <w:r w:rsidR="00752E4C">
          <w:rPr>
            <w:noProof/>
            <w:webHidden/>
          </w:rPr>
        </w:r>
        <w:r w:rsidR="00752E4C">
          <w:rPr>
            <w:noProof/>
            <w:webHidden/>
          </w:rPr>
          <w:fldChar w:fldCharType="separate"/>
        </w:r>
        <w:r w:rsidR="00752E4C">
          <w:rPr>
            <w:noProof/>
            <w:webHidden/>
          </w:rPr>
          <w:t>26</w:t>
        </w:r>
        <w:r w:rsidR="00752E4C">
          <w:rPr>
            <w:noProof/>
            <w:webHidden/>
          </w:rPr>
          <w:fldChar w:fldCharType="end"/>
        </w:r>
      </w:hyperlink>
    </w:p>
    <w:p w:rsidR="00752E4C" w:rsidRDefault="00DB496B">
      <w:pPr>
        <w:pStyle w:val="IDC3"/>
        <w:tabs>
          <w:tab w:val="left" w:pos="666"/>
          <w:tab w:val="right" w:pos="9061"/>
        </w:tabs>
        <w:rPr>
          <w:rFonts w:eastAsiaTheme="minorEastAsia"/>
          <w:smallCaps w:val="0"/>
          <w:noProof/>
          <w:lang w:eastAsia="ca-ES"/>
        </w:rPr>
      </w:pPr>
      <w:hyperlink w:anchor="_Toc465293352" w:history="1">
        <w:r w:rsidR="00752E4C" w:rsidRPr="00D0406E">
          <w:rPr>
            <w:rStyle w:val="Enlla"/>
            <w:noProof/>
          </w:rPr>
          <w:t>4.5.2</w:t>
        </w:r>
        <w:r w:rsidR="00752E4C">
          <w:rPr>
            <w:rFonts w:eastAsiaTheme="minorEastAsia"/>
            <w:smallCaps w:val="0"/>
            <w:noProof/>
            <w:lang w:eastAsia="ca-ES"/>
          </w:rPr>
          <w:tab/>
        </w:r>
        <w:r w:rsidR="00752E4C" w:rsidRPr="00D0406E">
          <w:rPr>
            <w:rStyle w:val="Enlla"/>
            <w:noProof/>
          </w:rPr>
          <w:t>El projecte Justícia innova</w:t>
        </w:r>
        <w:r w:rsidR="00752E4C">
          <w:rPr>
            <w:noProof/>
            <w:webHidden/>
          </w:rPr>
          <w:tab/>
        </w:r>
        <w:r w:rsidR="00752E4C">
          <w:rPr>
            <w:noProof/>
            <w:webHidden/>
          </w:rPr>
          <w:fldChar w:fldCharType="begin"/>
        </w:r>
        <w:r w:rsidR="00752E4C">
          <w:rPr>
            <w:noProof/>
            <w:webHidden/>
          </w:rPr>
          <w:instrText xml:space="preserve"> PAGEREF _Toc465293352 \h </w:instrText>
        </w:r>
        <w:r w:rsidR="00752E4C">
          <w:rPr>
            <w:noProof/>
            <w:webHidden/>
          </w:rPr>
        </w:r>
        <w:r w:rsidR="00752E4C">
          <w:rPr>
            <w:noProof/>
            <w:webHidden/>
          </w:rPr>
          <w:fldChar w:fldCharType="separate"/>
        </w:r>
        <w:r w:rsidR="00752E4C">
          <w:rPr>
            <w:noProof/>
            <w:webHidden/>
          </w:rPr>
          <w:t>27</w:t>
        </w:r>
        <w:r w:rsidR="00752E4C">
          <w:rPr>
            <w:noProof/>
            <w:webHidden/>
          </w:rPr>
          <w:fldChar w:fldCharType="end"/>
        </w:r>
      </w:hyperlink>
    </w:p>
    <w:p w:rsidR="00752E4C" w:rsidRDefault="00DB496B">
      <w:pPr>
        <w:pStyle w:val="IDC1"/>
        <w:tabs>
          <w:tab w:val="left" w:pos="332"/>
          <w:tab w:val="right" w:pos="9061"/>
        </w:tabs>
        <w:rPr>
          <w:rFonts w:eastAsiaTheme="minorEastAsia"/>
          <w:b w:val="0"/>
          <w:bCs w:val="0"/>
          <w:caps w:val="0"/>
          <w:noProof/>
          <w:u w:val="none"/>
          <w:lang w:eastAsia="ca-ES"/>
        </w:rPr>
      </w:pPr>
      <w:hyperlink w:anchor="_Toc465293353" w:history="1">
        <w:r w:rsidR="00752E4C" w:rsidRPr="00D0406E">
          <w:rPr>
            <w:rStyle w:val="Enlla"/>
            <w:noProof/>
            <w14:cntxtAlts/>
          </w:rPr>
          <w:t>5</w:t>
        </w:r>
        <w:r w:rsidR="00752E4C">
          <w:rPr>
            <w:rFonts w:eastAsiaTheme="minorEastAsia"/>
            <w:b w:val="0"/>
            <w:bCs w:val="0"/>
            <w:caps w:val="0"/>
            <w:noProof/>
            <w:u w:val="none"/>
            <w:lang w:eastAsia="ca-ES"/>
          </w:rPr>
          <w:tab/>
        </w:r>
        <w:r w:rsidR="00752E4C" w:rsidRPr="00D0406E">
          <w:rPr>
            <w:rStyle w:val="Enlla"/>
            <w:noProof/>
          </w:rPr>
          <w:t>La població penitenciària</w:t>
        </w:r>
        <w:r w:rsidR="00752E4C">
          <w:rPr>
            <w:noProof/>
            <w:webHidden/>
          </w:rPr>
          <w:tab/>
        </w:r>
        <w:r w:rsidR="00752E4C">
          <w:rPr>
            <w:noProof/>
            <w:webHidden/>
          </w:rPr>
          <w:fldChar w:fldCharType="begin"/>
        </w:r>
        <w:r w:rsidR="00752E4C">
          <w:rPr>
            <w:noProof/>
            <w:webHidden/>
          </w:rPr>
          <w:instrText xml:space="preserve"> PAGEREF _Toc465293353 \h </w:instrText>
        </w:r>
        <w:r w:rsidR="00752E4C">
          <w:rPr>
            <w:noProof/>
            <w:webHidden/>
          </w:rPr>
        </w:r>
        <w:r w:rsidR="00752E4C">
          <w:rPr>
            <w:noProof/>
            <w:webHidden/>
          </w:rPr>
          <w:fldChar w:fldCharType="separate"/>
        </w:r>
        <w:r w:rsidR="00752E4C">
          <w:rPr>
            <w:noProof/>
            <w:webHidden/>
          </w:rPr>
          <w:t>31</w:t>
        </w:r>
        <w:r w:rsidR="00752E4C">
          <w:rPr>
            <w:noProof/>
            <w:webHidden/>
          </w:rPr>
          <w:fldChar w:fldCharType="end"/>
        </w:r>
      </w:hyperlink>
    </w:p>
    <w:p w:rsidR="00752E4C" w:rsidRDefault="00DB496B">
      <w:pPr>
        <w:pStyle w:val="IDC2"/>
        <w:tabs>
          <w:tab w:val="left" w:pos="502"/>
          <w:tab w:val="right" w:pos="9061"/>
        </w:tabs>
        <w:rPr>
          <w:rFonts w:eastAsiaTheme="minorEastAsia"/>
          <w:b w:val="0"/>
          <w:bCs w:val="0"/>
          <w:smallCaps w:val="0"/>
          <w:noProof/>
          <w:lang w:eastAsia="ca-ES"/>
        </w:rPr>
      </w:pPr>
      <w:hyperlink w:anchor="_Toc465293354" w:history="1">
        <w:r w:rsidR="00752E4C" w:rsidRPr="00D0406E">
          <w:rPr>
            <w:rStyle w:val="Enlla"/>
            <w:noProof/>
          </w:rPr>
          <w:t>5.1</w:t>
        </w:r>
        <w:r w:rsidR="00752E4C">
          <w:rPr>
            <w:rFonts w:eastAsiaTheme="minorEastAsia"/>
            <w:b w:val="0"/>
            <w:bCs w:val="0"/>
            <w:smallCaps w:val="0"/>
            <w:noProof/>
            <w:lang w:eastAsia="ca-ES"/>
          </w:rPr>
          <w:tab/>
        </w:r>
        <w:r w:rsidR="00752E4C" w:rsidRPr="00D0406E">
          <w:rPr>
            <w:rStyle w:val="Enlla"/>
            <w:noProof/>
          </w:rPr>
          <w:t>La població penitenciària quan es van traspassar les competències</w:t>
        </w:r>
        <w:r w:rsidR="00752E4C">
          <w:rPr>
            <w:noProof/>
            <w:webHidden/>
          </w:rPr>
          <w:tab/>
        </w:r>
        <w:r w:rsidR="00752E4C">
          <w:rPr>
            <w:noProof/>
            <w:webHidden/>
          </w:rPr>
          <w:fldChar w:fldCharType="begin"/>
        </w:r>
        <w:r w:rsidR="00752E4C">
          <w:rPr>
            <w:noProof/>
            <w:webHidden/>
          </w:rPr>
          <w:instrText xml:space="preserve"> PAGEREF _Toc465293354 \h </w:instrText>
        </w:r>
        <w:r w:rsidR="00752E4C">
          <w:rPr>
            <w:noProof/>
            <w:webHidden/>
          </w:rPr>
        </w:r>
        <w:r w:rsidR="00752E4C">
          <w:rPr>
            <w:noProof/>
            <w:webHidden/>
          </w:rPr>
          <w:fldChar w:fldCharType="separate"/>
        </w:r>
        <w:r w:rsidR="00752E4C">
          <w:rPr>
            <w:noProof/>
            <w:webHidden/>
          </w:rPr>
          <w:t>31</w:t>
        </w:r>
        <w:r w:rsidR="00752E4C">
          <w:rPr>
            <w:noProof/>
            <w:webHidden/>
          </w:rPr>
          <w:fldChar w:fldCharType="end"/>
        </w:r>
      </w:hyperlink>
    </w:p>
    <w:p w:rsidR="00752E4C" w:rsidRDefault="00DB496B">
      <w:pPr>
        <w:pStyle w:val="IDC2"/>
        <w:tabs>
          <w:tab w:val="left" w:pos="502"/>
          <w:tab w:val="right" w:pos="9061"/>
        </w:tabs>
        <w:rPr>
          <w:rFonts w:eastAsiaTheme="minorEastAsia"/>
          <w:b w:val="0"/>
          <w:bCs w:val="0"/>
          <w:smallCaps w:val="0"/>
          <w:noProof/>
          <w:lang w:eastAsia="ca-ES"/>
        </w:rPr>
      </w:pPr>
      <w:hyperlink w:anchor="_Toc465293355" w:history="1">
        <w:r w:rsidR="00752E4C" w:rsidRPr="00D0406E">
          <w:rPr>
            <w:rStyle w:val="Enlla"/>
            <w:noProof/>
          </w:rPr>
          <w:t>5.2</w:t>
        </w:r>
        <w:r w:rsidR="00752E4C">
          <w:rPr>
            <w:rFonts w:eastAsiaTheme="minorEastAsia"/>
            <w:b w:val="0"/>
            <w:bCs w:val="0"/>
            <w:smallCaps w:val="0"/>
            <w:noProof/>
            <w:lang w:eastAsia="ca-ES"/>
          </w:rPr>
          <w:tab/>
        </w:r>
        <w:r w:rsidR="00752E4C" w:rsidRPr="00D0406E">
          <w:rPr>
            <w:rStyle w:val="Enlla"/>
            <w:noProof/>
          </w:rPr>
          <w:t>L’evolució de la població penitenciària</w:t>
        </w:r>
        <w:r w:rsidR="00752E4C">
          <w:rPr>
            <w:noProof/>
            <w:webHidden/>
          </w:rPr>
          <w:tab/>
        </w:r>
        <w:r w:rsidR="00752E4C">
          <w:rPr>
            <w:noProof/>
            <w:webHidden/>
          </w:rPr>
          <w:fldChar w:fldCharType="begin"/>
        </w:r>
        <w:r w:rsidR="00752E4C">
          <w:rPr>
            <w:noProof/>
            <w:webHidden/>
          </w:rPr>
          <w:instrText xml:space="preserve"> PAGEREF _Toc465293355 \h </w:instrText>
        </w:r>
        <w:r w:rsidR="00752E4C">
          <w:rPr>
            <w:noProof/>
            <w:webHidden/>
          </w:rPr>
        </w:r>
        <w:r w:rsidR="00752E4C">
          <w:rPr>
            <w:noProof/>
            <w:webHidden/>
          </w:rPr>
          <w:fldChar w:fldCharType="separate"/>
        </w:r>
        <w:r w:rsidR="00752E4C">
          <w:rPr>
            <w:noProof/>
            <w:webHidden/>
          </w:rPr>
          <w:t>31</w:t>
        </w:r>
        <w:r w:rsidR="00752E4C">
          <w:rPr>
            <w:noProof/>
            <w:webHidden/>
          </w:rPr>
          <w:fldChar w:fldCharType="end"/>
        </w:r>
      </w:hyperlink>
    </w:p>
    <w:p w:rsidR="00752E4C" w:rsidRDefault="00DB496B">
      <w:pPr>
        <w:pStyle w:val="IDC3"/>
        <w:tabs>
          <w:tab w:val="left" w:pos="666"/>
          <w:tab w:val="right" w:pos="9061"/>
        </w:tabs>
        <w:rPr>
          <w:rFonts w:eastAsiaTheme="minorEastAsia"/>
          <w:smallCaps w:val="0"/>
          <w:noProof/>
          <w:lang w:eastAsia="ca-ES"/>
        </w:rPr>
      </w:pPr>
      <w:hyperlink w:anchor="_Toc465293356" w:history="1">
        <w:r w:rsidR="00752E4C" w:rsidRPr="00D0406E">
          <w:rPr>
            <w:rStyle w:val="Enlla"/>
            <w:noProof/>
          </w:rPr>
          <w:t>5.2.1</w:t>
        </w:r>
        <w:r w:rsidR="00752E4C">
          <w:rPr>
            <w:rFonts w:eastAsiaTheme="minorEastAsia"/>
            <w:smallCaps w:val="0"/>
            <w:noProof/>
            <w:lang w:eastAsia="ca-ES"/>
          </w:rPr>
          <w:tab/>
        </w:r>
        <w:r w:rsidR="00752E4C" w:rsidRPr="00D0406E">
          <w:rPr>
            <w:rStyle w:val="Enlla"/>
            <w:noProof/>
          </w:rPr>
          <w:t>De 1984 a 1994: nous equipaments i estímul olímpic</w:t>
        </w:r>
        <w:r w:rsidR="00752E4C">
          <w:rPr>
            <w:noProof/>
            <w:webHidden/>
          </w:rPr>
          <w:tab/>
        </w:r>
        <w:r w:rsidR="00752E4C">
          <w:rPr>
            <w:noProof/>
            <w:webHidden/>
          </w:rPr>
          <w:fldChar w:fldCharType="begin"/>
        </w:r>
        <w:r w:rsidR="00752E4C">
          <w:rPr>
            <w:noProof/>
            <w:webHidden/>
          </w:rPr>
          <w:instrText xml:space="preserve"> PAGEREF _Toc465293356 \h </w:instrText>
        </w:r>
        <w:r w:rsidR="00752E4C">
          <w:rPr>
            <w:noProof/>
            <w:webHidden/>
          </w:rPr>
        </w:r>
        <w:r w:rsidR="00752E4C">
          <w:rPr>
            <w:noProof/>
            <w:webHidden/>
          </w:rPr>
          <w:fldChar w:fldCharType="separate"/>
        </w:r>
        <w:r w:rsidR="00752E4C">
          <w:rPr>
            <w:noProof/>
            <w:webHidden/>
          </w:rPr>
          <w:t>39</w:t>
        </w:r>
        <w:r w:rsidR="00752E4C">
          <w:rPr>
            <w:noProof/>
            <w:webHidden/>
          </w:rPr>
          <w:fldChar w:fldCharType="end"/>
        </w:r>
      </w:hyperlink>
    </w:p>
    <w:p w:rsidR="00752E4C" w:rsidRDefault="00DB496B">
      <w:pPr>
        <w:pStyle w:val="IDC3"/>
        <w:tabs>
          <w:tab w:val="left" w:pos="666"/>
          <w:tab w:val="right" w:pos="9061"/>
        </w:tabs>
        <w:rPr>
          <w:rFonts w:eastAsiaTheme="minorEastAsia"/>
          <w:smallCaps w:val="0"/>
          <w:noProof/>
          <w:lang w:eastAsia="ca-ES"/>
        </w:rPr>
      </w:pPr>
      <w:hyperlink w:anchor="_Toc465293357" w:history="1">
        <w:r w:rsidR="00752E4C" w:rsidRPr="00D0406E">
          <w:rPr>
            <w:rStyle w:val="Enlla"/>
            <w:noProof/>
          </w:rPr>
          <w:t>5.2.2</w:t>
        </w:r>
        <w:r w:rsidR="00752E4C">
          <w:rPr>
            <w:rFonts w:eastAsiaTheme="minorEastAsia"/>
            <w:smallCaps w:val="0"/>
            <w:noProof/>
            <w:lang w:eastAsia="ca-ES"/>
          </w:rPr>
          <w:tab/>
        </w:r>
        <w:r w:rsidR="00752E4C" w:rsidRPr="00D0406E">
          <w:rPr>
            <w:rStyle w:val="Enlla"/>
            <w:noProof/>
          </w:rPr>
          <w:t>De 1995 a 2000: revisió de penes i excarceracions</w:t>
        </w:r>
        <w:r w:rsidR="00752E4C">
          <w:rPr>
            <w:noProof/>
            <w:webHidden/>
          </w:rPr>
          <w:tab/>
        </w:r>
        <w:r w:rsidR="00752E4C">
          <w:rPr>
            <w:noProof/>
            <w:webHidden/>
          </w:rPr>
          <w:fldChar w:fldCharType="begin"/>
        </w:r>
        <w:r w:rsidR="00752E4C">
          <w:rPr>
            <w:noProof/>
            <w:webHidden/>
          </w:rPr>
          <w:instrText xml:space="preserve"> PAGEREF _Toc465293357 \h </w:instrText>
        </w:r>
        <w:r w:rsidR="00752E4C">
          <w:rPr>
            <w:noProof/>
            <w:webHidden/>
          </w:rPr>
        </w:r>
        <w:r w:rsidR="00752E4C">
          <w:rPr>
            <w:noProof/>
            <w:webHidden/>
          </w:rPr>
          <w:fldChar w:fldCharType="separate"/>
        </w:r>
        <w:r w:rsidR="00752E4C">
          <w:rPr>
            <w:noProof/>
            <w:webHidden/>
          </w:rPr>
          <w:t>40</w:t>
        </w:r>
        <w:r w:rsidR="00752E4C">
          <w:rPr>
            <w:noProof/>
            <w:webHidden/>
          </w:rPr>
          <w:fldChar w:fldCharType="end"/>
        </w:r>
      </w:hyperlink>
    </w:p>
    <w:p w:rsidR="00752E4C" w:rsidRDefault="00DB496B">
      <w:pPr>
        <w:pStyle w:val="IDC3"/>
        <w:tabs>
          <w:tab w:val="left" w:pos="666"/>
          <w:tab w:val="right" w:pos="9061"/>
        </w:tabs>
        <w:rPr>
          <w:rFonts w:eastAsiaTheme="minorEastAsia"/>
          <w:smallCaps w:val="0"/>
          <w:noProof/>
          <w:lang w:eastAsia="ca-ES"/>
        </w:rPr>
      </w:pPr>
      <w:hyperlink w:anchor="_Toc465293358" w:history="1">
        <w:r w:rsidR="00752E4C" w:rsidRPr="00D0406E">
          <w:rPr>
            <w:rStyle w:val="Enlla"/>
            <w:noProof/>
          </w:rPr>
          <w:t>5.2.3</w:t>
        </w:r>
        <w:r w:rsidR="00752E4C">
          <w:rPr>
            <w:rFonts w:eastAsiaTheme="minorEastAsia"/>
            <w:smallCaps w:val="0"/>
            <w:noProof/>
            <w:lang w:eastAsia="ca-ES"/>
          </w:rPr>
          <w:tab/>
        </w:r>
        <w:r w:rsidR="00752E4C" w:rsidRPr="00D0406E">
          <w:rPr>
            <w:rStyle w:val="Enlla"/>
            <w:noProof/>
          </w:rPr>
          <w:t>De 2001 a 2009: creixement i impacte del Codi penal de 1995</w:t>
        </w:r>
        <w:r w:rsidR="00752E4C">
          <w:rPr>
            <w:noProof/>
            <w:webHidden/>
          </w:rPr>
          <w:tab/>
        </w:r>
        <w:r w:rsidR="00752E4C">
          <w:rPr>
            <w:noProof/>
            <w:webHidden/>
          </w:rPr>
          <w:fldChar w:fldCharType="begin"/>
        </w:r>
        <w:r w:rsidR="00752E4C">
          <w:rPr>
            <w:noProof/>
            <w:webHidden/>
          </w:rPr>
          <w:instrText xml:space="preserve"> PAGEREF _Toc465293358 \h </w:instrText>
        </w:r>
        <w:r w:rsidR="00752E4C">
          <w:rPr>
            <w:noProof/>
            <w:webHidden/>
          </w:rPr>
        </w:r>
        <w:r w:rsidR="00752E4C">
          <w:rPr>
            <w:noProof/>
            <w:webHidden/>
          </w:rPr>
          <w:fldChar w:fldCharType="separate"/>
        </w:r>
        <w:r w:rsidR="00752E4C">
          <w:rPr>
            <w:noProof/>
            <w:webHidden/>
          </w:rPr>
          <w:t>40</w:t>
        </w:r>
        <w:r w:rsidR="00752E4C">
          <w:rPr>
            <w:noProof/>
            <w:webHidden/>
          </w:rPr>
          <w:fldChar w:fldCharType="end"/>
        </w:r>
      </w:hyperlink>
    </w:p>
    <w:p w:rsidR="00752E4C" w:rsidRDefault="00DB496B">
      <w:pPr>
        <w:pStyle w:val="IDC3"/>
        <w:tabs>
          <w:tab w:val="left" w:pos="666"/>
          <w:tab w:val="right" w:pos="9061"/>
        </w:tabs>
        <w:rPr>
          <w:rFonts w:eastAsiaTheme="minorEastAsia"/>
          <w:smallCaps w:val="0"/>
          <w:noProof/>
          <w:lang w:eastAsia="ca-ES"/>
        </w:rPr>
      </w:pPr>
      <w:hyperlink w:anchor="_Toc465293359" w:history="1">
        <w:r w:rsidR="00752E4C" w:rsidRPr="00D0406E">
          <w:rPr>
            <w:rStyle w:val="Enlla"/>
            <w:noProof/>
          </w:rPr>
          <w:t>5.2.4</w:t>
        </w:r>
        <w:r w:rsidR="00752E4C">
          <w:rPr>
            <w:rFonts w:eastAsiaTheme="minorEastAsia"/>
            <w:smallCaps w:val="0"/>
            <w:noProof/>
            <w:lang w:eastAsia="ca-ES"/>
          </w:rPr>
          <w:tab/>
        </w:r>
        <w:r w:rsidR="00752E4C" w:rsidRPr="00D0406E">
          <w:rPr>
            <w:rStyle w:val="Enlla"/>
            <w:noProof/>
          </w:rPr>
          <w:t>Des de 2010: decreixement multifactorial</w:t>
        </w:r>
        <w:r w:rsidR="00752E4C">
          <w:rPr>
            <w:noProof/>
            <w:webHidden/>
          </w:rPr>
          <w:tab/>
        </w:r>
        <w:r w:rsidR="00752E4C">
          <w:rPr>
            <w:noProof/>
            <w:webHidden/>
          </w:rPr>
          <w:fldChar w:fldCharType="begin"/>
        </w:r>
        <w:r w:rsidR="00752E4C">
          <w:rPr>
            <w:noProof/>
            <w:webHidden/>
          </w:rPr>
          <w:instrText xml:space="preserve"> PAGEREF _Toc465293359 \h </w:instrText>
        </w:r>
        <w:r w:rsidR="00752E4C">
          <w:rPr>
            <w:noProof/>
            <w:webHidden/>
          </w:rPr>
        </w:r>
        <w:r w:rsidR="00752E4C">
          <w:rPr>
            <w:noProof/>
            <w:webHidden/>
          </w:rPr>
          <w:fldChar w:fldCharType="separate"/>
        </w:r>
        <w:r w:rsidR="00752E4C">
          <w:rPr>
            <w:noProof/>
            <w:webHidden/>
          </w:rPr>
          <w:t>41</w:t>
        </w:r>
        <w:r w:rsidR="00752E4C">
          <w:rPr>
            <w:noProof/>
            <w:webHidden/>
          </w:rPr>
          <w:fldChar w:fldCharType="end"/>
        </w:r>
      </w:hyperlink>
    </w:p>
    <w:p w:rsidR="00752E4C" w:rsidRDefault="00DB496B">
      <w:pPr>
        <w:pStyle w:val="IDC2"/>
        <w:tabs>
          <w:tab w:val="left" w:pos="502"/>
          <w:tab w:val="right" w:pos="9061"/>
        </w:tabs>
        <w:rPr>
          <w:rFonts w:eastAsiaTheme="minorEastAsia"/>
          <w:b w:val="0"/>
          <w:bCs w:val="0"/>
          <w:smallCaps w:val="0"/>
          <w:noProof/>
          <w:lang w:eastAsia="ca-ES"/>
        </w:rPr>
      </w:pPr>
      <w:hyperlink w:anchor="_Toc465293360" w:history="1">
        <w:r w:rsidR="00752E4C" w:rsidRPr="00D0406E">
          <w:rPr>
            <w:rStyle w:val="Enlla"/>
            <w:noProof/>
          </w:rPr>
          <w:t>5.3</w:t>
        </w:r>
        <w:r w:rsidR="00752E4C">
          <w:rPr>
            <w:rFonts w:eastAsiaTheme="minorEastAsia"/>
            <w:b w:val="0"/>
            <w:bCs w:val="0"/>
            <w:smallCaps w:val="0"/>
            <w:noProof/>
            <w:lang w:eastAsia="ca-ES"/>
          </w:rPr>
          <w:tab/>
        </w:r>
        <w:r w:rsidR="00752E4C" w:rsidRPr="00D0406E">
          <w:rPr>
            <w:rStyle w:val="Enlla"/>
            <w:noProof/>
          </w:rPr>
          <w:t>L’actualitat comparada</w:t>
        </w:r>
        <w:r w:rsidR="00752E4C">
          <w:rPr>
            <w:noProof/>
            <w:webHidden/>
          </w:rPr>
          <w:tab/>
        </w:r>
        <w:r w:rsidR="00752E4C">
          <w:rPr>
            <w:noProof/>
            <w:webHidden/>
          </w:rPr>
          <w:fldChar w:fldCharType="begin"/>
        </w:r>
        <w:r w:rsidR="00752E4C">
          <w:rPr>
            <w:noProof/>
            <w:webHidden/>
          </w:rPr>
          <w:instrText xml:space="preserve"> PAGEREF _Toc465293360 \h </w:instrText>
        </w:r>
        <w:r w:rsidR="00752E4C">
          <w:rPr>
            <w:noProof/>
            <w:webHidden/>
          </w:rPr>
        </w:r>
        <w:r w:rsidR="00752E4C">
          <w:rPr>
            <w:noProof/>
            <w:webHidden/>
          </w:rPr>
          <w:fldChar w:fldCharType="separate"/>
        </w:r>
        <w:r w:rsidR="00752E4C">
          <w:rPr>
            <w:noProof/>
            <w:webHidden/>
          </w:rPr>
          <w:t>41</w:t>
        </w:r>
        <w:r w:rsidR="00752E4C">
          <w:rPr>
            <w:noProof/>
            <w:webHidden/>
          </w:rPr>
          <w:fldChar w:fldCharType="end"/>
        </w:r>
      </w:hyperlink>
    </w:p>
    <w:p w:rsidR="00752E4C" w:rsidRDefault="00DB496B">
      <w:pPr>
        <w:pStyle w:val="IDC2"/>
        <w:tabs>
          <w:tab w:val="left" w:pos="502"/>
          <w:tab w:val="right" w:pos="9061"/>
        </w:tabs>
        <w:rPr>
          <w:rFonts w:eastAsiaTheme="minorEastAsia"/>
          <w:b w:val="0"/>
          <w:bCs w:val="0"/>
          <w:smallCaps w:val="0"/>
          <w:noProof/>
          <w:lang w:eastAsia="ca-ES"/>
        </w:rPr>
      </w:pPr>
      <w:hyperlink w:anchor="_Toc465293361" w:history="1">
        <w:r w:rsidR="00752E4C" w:rsidRPr="00D0406E">
          <w:rPr>
            <w:rStyle w:val="Enlla"/>
            <w:noProof/>
          </w:rPr>
          <w:t>5.4</w:t>
        </w:r>
        <w:r w:rsidR="00752E4C">
          <w:rPr>
            <w:rFonts w:eastAsiaTheme="minorEastAsia"/>
            <w:b w:val="0"/>
            <w:bCs w:val="0"/>
            <w:smallCaps w:val="0"/>
            <w:noProof/>
            <w:lang w:eastAsia="ca-ES"/>
          </w:rPr>
          <w:tab/>
        </w:r>
        <w:r w:rsidR="00752E4C" w:rsidRPr="00D0406E">
          <w:rPr>
            <w:rStyle w:val="Enlla"/>
            <w:noProof/>
          </w:rPr>
          <w:t>El perfil actual de la població penitenciària</w:t>
        </w:r>
        <w:r w:rsidR="00752E4C">
          <w:rPr>
            <w:noProof/>
            <w:webHidden/>
          </w:rPr>
          <w:tab/>
        </w:r>
        <w:r w:rsidR="00752E4C">
          <w:rPr>
            <w:noProof/>
            <w:webHidden/>
          </w:rPr>
          <w:fldChar w:fldCharType="begin"/>
        </w:r>
        <w:r w:rsidR="00752E4C">
          <w:rPr>
            <w:noProof/>
            <w:webHidden/>
          </w:rPr>
          <w:instrText xml:space="preserve"> PAGEREF _Toc465293361 \h </w:instrText>
        </w:r>
        <w:r w:rsidR="00752E4C">
          <w:rPr>
            <w:noProof/>
            <w:webHidden/>
          </w:rPr>
        </w:r>
        <w:r w:rsidR="00752E4C">
          <w:rPr>
            <w:noProof/>
            <w:webHidden/>
          </w:rPr>
          <w:fldChar w:fldCharType="separate"/>
        </w:r>
        <w:r w:rsidR="00752E4C">
          <w:rPr>
            <w:noProof/>
            <w:webHidden/>
          </w:rPr>
          <w:t>42</w:t>
        </w:r>
        <w:r w:rsidR="00752E4C">
          <w:rPr>
            <w:noProof/>
            <w:webHidden/>
          </w:rPr>
          <w:fldChar w:fldCharType="end"/>
        </w:r>
      </w:hyperlink>
    </w:p>
    <w:p w:rsidR="00752E4C" w:rsidRDefault="00DB496B">
      <w:pPr>
        <w:pStyle w:val="IDC3"/>
        <w:tabs>
          <w:tab w:val="left" w:pos="666"/>
          <w:tab w:val="right" w:pos="9061"/>
        </w:tabs>
        <w:rPr>
          <w:rFonts w:eastAsiaTheme="minorEastAsia"/>
          <w:smallCaps w:val="0"/>
          <w:noProof/>
          <w:lang w:eastAsia="ca-ES"/>
        </w:rPr>
      </w:pPr>
      <w:hyperlink w:anchor="_Toc465293362" w:history="1">
        <w:r w:rsidR="00752E4C" w:rsidRPr="00D0406E">
          <w:rPr>
            <w:rStyle w:val="Enlla"/>
            <w:noProof/>
          </w:rPr>
          <w:t>5.4.1</w:t>
        </w:r>
        <w:r w:rsidR="00752E4C">
          <w:rPr>
            <w:rFonts w:eastAsiaTheme="minorEastAsia"/>
            <w:smallCaps w:val="0"/>
            <w:noProof/>
            <w:lang w:eastAsia="ca-ES"/>
          </w:rPr>
          <w:tab/>
        </w:r>
        <w:r w:rsidR="00752E4C" w:rsidRPr="00D0406E">
          <w:rPr>
            <w:rStyle w:val="Enlla"/>
            <w:noProof/>
          </w:rPr>
          <w:t>Dades sociodemogràfiques</w:t>
        </w:r>
        <w:r w:rsidR="00752E4C">
          <w:rPr>
            <w:noProof/>
            <w:webHidden/>
          </w:rPr>
          <w:tab/>
        </w:r>
        <w:r w:rsidR="00752E4C">
          <w:rPr>
            <w:noProof/>
            <w:webHidden/>
          </w:rPr>
          <w:fldChar w:fldCharType="begin"/>
        </w:r>
        <w:r w:rsidR="00752E4C">
          <w:rPr>
            <w:noProof/>
            <w:webHidden/>
          </w:rPr>
          <w:instrText xml:space="preserve"> PAGEREF _Toc465293362 \h </w:instrText>
        </w:r>
        <w:r w:rsidR="00752E4C">
          <w:rPr>
            <w:noProof/>
            <w:webHidden/>
          </w:rPr>
        </w:r>
        <w:r w:rsidR="00752E4C">
          <w:rPr>
            <w:noProof/>
            <w:webHidden/>
          </w:rPr>
          <w:fldChar w:fldCharType="separate"/>
        </w:r>
        <w:r w:rsidR="00752E4C">
          <w:rPr>
            <w:noProof/>
            <w:webHidden/>
          </w:rPr>
          <w:t>42</w:t>
        </w:r>
        <w:r w:rsidR="00752E4C">
          <w:rPr>
            <w:noProof/>
            <w:webHidden/>
          </w:rPr>
          <w:fldChar w:fldCharType="end"/>
        </w:r>
      </w:hyperlink>
    </w:p>
    <w:p w:rsidR="00752E4C" w:rsidRDefault="00DB496B">
      <w:pPr>
        <w:pStyle w:val="IDC3"/>
        <w:tabs>
          <w:tab w:val="left" w:pos="666"/>
          <w:tab w:val="right" w:pos="9061"/>
        </w:tabs>
        <w:rPr>
          <w:rFonts w:eastAsiaTheme="minorEastAsia"/>
          <w:smallCaps w:val="0"/>
          <w:noProof/>
          <w:lang w:eastAsia="ca-ES"/>
        </w:rPr>
      </w:pPr>
      <w:hyperlink w:anchor="_Toc465293363" w:history="1">
        <w:r w:rsidR="00752E4C" w:rsidRPr="00D0406E">
          <w:rPr>
            <w:rStyle w:val="Enlla"/>
            <w:noProof/>
          </w:rPr>
          <w:t>5.4.2</w:t>
        </w:r>
        <w:r w:rsidR="00752E4C">
          <w:rPr>
            <w:rFonts w:eastAsiaTheme="minorEastAsia"/>
            <w:smallCaps w:val="0"/>
            <w:noProof/>
            <w:lang w:eastAsia="ca-ES"/>
          </w:rPr>
          <w:tab/>
        </w:r>
        <w:r w:rsidR="00752E4C" w:rsidRPr="00D0406E">
          <w:rPr>
            <w:rStyle w:val="Enlla"/>
            <w:noProof/>
          </w:rPr>
          <w:t>Dades relacionades amb la reeducació i la reinserció</w:t>
        </w:r>
        <w:r w:rsidR="00752E4C">
          <w:rPr>
            <w:noProof/>
            <w:webHidden/>
          </w:rPr>
          <w:tab/>
        </w:r>
        <w:r w:rsidR="00752E4C">
          <w:rPr>
            <w:noProof/>
            <w:webHidden/>
          </w:rPr>
          <w:fldChar w:fldCharType="begin"/>
        </w:r>
        <w:r w:rsidR="00752E4C">
          <w:rPr>
            <w:noProof/>
            <w:webHidden/>
          </w:rPr>
          <w:instrText xml:space="preserve"> PAGEREF _Toc465293363 \h </w:instrText>
        </w:r>
        <w:r w:rsidR="00752E4C">
          <w:rPr>
            <w:noProof/>
            <w:webHidden/>
          </w:rPr>
        </w:r>
        <w:r w:rsidR="00752E4C">
          <w:rPr>
            <w:noProof/>
            <w:webHidden/>
          </w:rPr>
          <w:fldChar w:fldCharType="separate"/>
        </w:r>
        <w:r w:rsidR="00752E4C">
          <w:rPr>
            <w:noProof/>
            <w:webHidden/>
          </w:rPr>
          <w:t>43</w:t>
        </w:r>
        <w:r w:rsidR="00752E4C">
          <w:rPr>
            <w:noProof/>
            <w:webHidden/>
          </w:rPr>
          <w:fldChar w:fldCharType="end"/>
        </w:r>
      </w:hyperlink>
    </w:p>
    <w:p w:rsidR="00752E4C" w:rsidRDefault="00DB496B">
      <w:pPr>
        <w:pStyle w:val="IDC2"/>
        <w:tabs>
          <w:tab w:val="left" w:pos="502"/>
          <w:tab w:val="right" w:pos="9061"/>
        </w:tabs>
        <w:rPr>
          <w:rFonts w:eastAsiaTheme="minorEastAsia"/>
          <w:b w:val="0"/>
          <w:bCs w:val="0"/>
          <w:smallCaps w:val="0"/>
          <w:noProof/>
          <w:lang w:eastAsia="ca-ES"/>
        </w:rPr>
      </w:pPr>
      <w:hyperlink w:anchor="_Toc465293364" w:history="1">
        <w:r w:rsidR="00752E4C" w:rsidRPr="00D0406E">
          <w:rPr>
            <w:rStyle w:val="Enlla"/>
            <w:noProof/>
          </w:rPr>
          <w:t>5.5</w:t>
        </w:r>
        <w:r w:rsidR="00752E4C">
          <w:rPr>
            <w:rFonts w:eastAsiaTheme="minorEastAsia"/>
            <w:b w:val="0"/>
            <w:bCs w:val="0"/>
            <w:smallCaps w:val="0"/>
            <w:noProof/>
            <w:lang w:eastAsia="ca-ES"/>
          </w:rPr>
          <w:tab/>
        </w:r>
        <w:r w:rsidR="00752E4C" w:rsidRPr="00D0406E">
          <w:rPr>
            <w:rStyle w:val="Enlla"/>
            <w:noProof/>
          </w:rPr>
          <w:t>L’evolució de la reincidència</w:t>
        </w:r>
        <w:r w:rsidR="00752E4C">
          <w:rPr>
            <w:noProof/>
            <w:webHidden/>
          </w:rPr>
          <w:tab/>
        </w:r>
        <w:r w:rsidR="00752E4C">
          <w:rPr>
            <w:noProof/>
            <w:webHidden/>
          </w:rPr>
          <w:fldChar w:fldCharType="begin"/>
        </w:r>
        <w:r w:rsidR="00752E4C">
          <w:rPr>
            <w:noProof/>
            <w:webHidden/>
          </w:rPr>
          <w:instrText xml:space="preserve"> PAGEREF _Toc465293364 \h </w:instrText>
        </w:r>
        <w:r w:rsidR="00752E4C">
          <w:rPr>
            <w:noProof/>
            <w:webHidden/>
          </w:rPr>
        </w:r>
        <w:r w:rsidR="00752E4C">
          <w:rPr>
            <w:noProof/>
            <w:webHidden/>
          </w:rPr>
          <w:fldChar w:fldCharType="separate"/>
        </w:r>
        <w:r w:rsidR="00752E4C">
          <w:rPr>
            <w:noProof/>
            <w:webHidden/>
          </w:rPr>
          <w:t>44</w:t>
        </w:r>
        <w:r w:rsidR="00752E4C">
          <w:rPr>
            <w:noProof/>
            <w:webHidden/>
          </w:rPr>
          <w:fldChar w:fldCharType="end"/>
        </w:r>
      </w:hyperlink>
    </w:p>
    <w:p w:rsidR="00752E4C" w:rsidRDefault="00DB496B">
      <w:pPr>
        <w:pStyle w:val="IDC2"/>
        <w:tabs>
          <w:tab w:val="left" w:pos="502"/>
          <w:tab w:val="right" w:pos="9061"/>
        </w:tabs>
        <w:rPr>
          <w:rFonts w:eastAsiaTheme="minorEastAsia"/>
          <w:b w:val="0"/>
          <w:bCs w:val="0"/>
          <w:smallCaps w:val="0"/>
          <w:noProof/>
          <w:lang w:eastAsia="ca-ES"/>
        </w:rPr>
      </w:pPr>
      <w:hyperlink w:anchor="_Toc465293365" w:history="1">
        <w:r w:rsidR="00752E4C" w:rsidRPr="00D0406E">
          <w:rPr>
            <w:rStyle w:val="Enlla"/>
            <w:noProof/>
          </w:rPr>
          <w:t>5.6</w:t>
        </w:r>
        <w:r w:rsidR="00752E4C">
          <w:rPr>
            <w:rFonts w:eastAsiaTheme="minorEastAsia"/>
            <w:b w:val="0"/>
            <w:bCs w:val="0"/>
            <w:smallCaps w:val="0"/>
            <w:noProof/>
            <w:lang w:eastAsia="ca-ES"/>
          </w:rPr>
          <w:tab/>
        </w:r>
        <w:r w:rsidR="00752E4C" w:rsidRPr="00D0406E">
          <w:rPr>
            <w:rStyle w:val="Enlla"/>
            <w:noProof/>
          </w:rPr>
          <w:t>La predicció de la població penitenciària</w:t>
        </w:r>
        <w:r w:rsidR="00752E4C">
          <w:rPr>
            <w:noProof/>
            <w:webHidden/>
          </w:rPr>
          <w:tab/>
        </w:r>
        <w:r w:rsidR="00752E4C">
          <w:rPr>
            <w:noProof/>
            <w:webHidden/>
          </w:rPr>
          <w:fldChar w:fldCharType="begin"/>
        </w:r>
        <w:r w:rsidR="00752E4C">
          <w:rPr>
            <w:noProof/>
            <w:webHidden/>
          </w:rPr>
          <w:instrText xml:space="preserve"> PAGEREF _Toc465293365 \h </w:instrText>
        </w:r>
        <w:r w:rsidR="00752E4C">
          <w:rPr>
            <w:noProof/>
            <w:webHidden/>
          </w:rPr>
        </w:r>
        <w:r w:rsidR="00752E4C">
          <w:rPr>
            <w:noProof/>
            <w:webHidden/>
          </w:rPr>
          <w:fldChar w:fldCharType="separate"/>
        </w:r>
        <w:r w:rsidR="00752E4C">
          <w:rPr>
            <w:noProof/>
            <w:webHidden/>
          </w:rPr>
          <w:t>45</w:t>
        </w:r>
        <w:r w:rsidR="00752E4C">
          <w:rPr>
            <w:noProof/>
            <w:webHidden/>
          </w:rPr>
          <w:fldChar w:fldCharType="end"/>
        </w:r>
      </w:hyperlink>
    </w:p>
    <w:p w:rsidR="00752E4C" w:rsidRDefault="00DB496B">
      <w:pPr>
        <w:pStyle w:val="IDC1"/>
        <w:tabs>
          <w:tab w:val="left" w:pos="332"/>
          <w:tab w:val="right" w:pos="9061"/>
        </w:tabs>
        <w:rPr>
          <w:rFonts w:eastAsiaTheme="minorEastAsia"/>
          <w:b w:val="0"/>
          <w:bCs w:val="0"/>
          <w:caps w:val="0"/>
          <w:noProof/>
          <w:u w:val="none"/>
          <w:lang w:eastAsia="ca-ES"/>
        </w:rPr>
      </w:pPr>
      <w:hyperlink w:anchor="_Toc465293366" w:history="1">
        <w:r w:rsidR="00752E4C" w:rsidRPr="00D0406E">
          <w:rPr>
            <w:rStyle w:val="Enlla"/>
            <w:noProof/>
            <w14:cntxtAlts/>
          </w:rPr>
          <w:t>6</w:t>
        </w:r>
        <w:r w:rsidR="00752E4C">
          <w:rPr>
            <w:rFonts w:eastAsiaTheme="minorEastAsia"/>
            <w:b w:val="0"/>
            <w:bCs w:val="0"/>
            <w:caps w:val="0"/>
            <w:noProof/>
            <w:u w:val="none"/>
            <w:lang w:eastAsia="ca-ES"/>
          </w:rPr>
          <w:tab/>
        </w:r>
        <w:r w:rsidR="00752E4C" w:rsidRPr="00D0406E">
          <w:rPr>
            <w:rStyle w:val="Enlla"/>
            <w:noProof/>
          </w:rPr>
          <w:t>El model d’intervenció</w:t>
        </w:r>
        <w:r w:rsidR="00752E4C">
          <w:rPr>
            <w:noProof/>
            <w:webHidden/>
          </w:rPr>
          <w:tab/>
        </w:r>
        <w:r w:rsidR="00752E4C">
          <w:rPr>
            <w:noProof/>
            <w:webHidden/>
          </w:rPr>
          <w:fldChar w:fldCharType="begin"/>
        </w:r>
        <w:r w:rsidR="00752E4C">
          <w:rPr>
            <w:noProof/>
            <w:webHidden/>
          </w:rPr>
          <w:instrText xml:space="preserve"> PAGEREF _Toc465293366 \h </w:instrText>
        </w:r>
        <w:r w:rsidR="00752E4C">
          <w:rPr>
            <w:noProof/>
            <w:webHidden/>
          </w:rPr>
        </w:r>
        <w:r w:rsidR="00752E4C">
          <w:rPr>
            <w:noProof/>
            <w:webHidden/>
          </w:rPr>
          <w:fldChar w:fldCharType="separate"/>
        </w:r>
        <w:r w:rsidR="00752E4C">
          <w:rPr>
            <w:noProof/>
            <w:webHidden/>
          </w:rPr>
          <w:t>47</w:t>
        </w:r>
        <w:r w:rsidR="00752E4C">
          <w:rPr>
            <w:noProof/>
            <w:webHidden/>
          </w:rPr>
          <w:fldChar w:fldCharType="end"/>
        </w:r>
      </w:hyperlink>
    </w:p>
    <w:p w:rsidR="00752E4C" w:rsidRDefault="00DB496B">
      <w:pPr>
        <w:pStyle w:val="IDC2"/>
        <w:tabs>
          <w:tab w:val="left" w:pos="502"/>
          <w:tab w:val="right" w:pos="9061"/>
        </w:tabs>
        <w:rPr>
          <w:rFonts w:eastAsiaTheme="minorEastAsia"/>
          <w:b w:val="0"/>
          <w:bCs w:val="0"/>
          <w:smallCaps w:val="0"/>
          <w:noProof/>
          <w:lang w:eastAsia="ca-ES"/>
        </w:rPr>
      </w:pPr>
      <w:hyperlink w:anchor="_Toc465293367" w:history="1">
        <w:r w:rsidR="00752E4C" w:rsidRPr="00D0406E">
          <w:rPr>
            <w:rStyle w:val="Enlla"/>
            <w:noProof/>
          </w:rPr>
          <w:t>6.1</w:t>
        </w:r>
        <w:r w:rsidR="00752E4C">
          <w:rPr>
            <w:rFonts w:eastAsiaTheme="minorEastAsia"/>
            <w:b w:val="0"/>
            <w:bCs w:val="0"/>
            <w:smallCaps w:val="0"/>
            <w:noProof/>
            <w:lang w:eastAsia="ca-ES"/>
          </w:rPr>
          <w:tab/>
        </w:r>
        <w:r w:rsidR="00752E4C" w:rsidRPr="00D0406E">
          <w:rPr>
            <w:rStyle w:val="Enlla"/>
            <w:noProof/>
          </w:rPr>
          <w:t>Bases explicatives del model i desplegament dels serveis de rehabilitació (1984-1990)</w:t>
        </w:r>
        <w:r w:rsidR="00752E4C">
          <w:rPr>
            <w:noProof/>
            <w:webHidden/>
          </w:rPr>
          <w:tab/>
        </w:r>
        <w:r w:rsidR="00752E4C">
          <w:rPr>
            <w:noProof/>
            <w:webHidden/>
          </w:rPr>
          <w:fldChar w:fldCharType="begin"/>
        </w:r>
        <w:r w:rsidR="00752E4C">
          <w:rPr>
            <w:noProof/>
            <w:webHidden/>
          </w:rPr>
          <w:instrText xml:space="preserve"> PAGEREF _Toc465293367 \h </w:instrText>
        </w:r>
        <w:r w:rsidR="00752E4C">
          <w:rPr>
            <w:noProof/>
            <w:webHidden/>
          </w:rPr>
        </w:r>
        <w:r w:rsidR="00752E4C">
          <w:rPr>
            <w:noProof/>
            <w:webHidden/>
          </w:rPr>
          <w:fldChar w:fldCharType="separate"/>
        </w:r>
        <w:r w:rsidR="00752E4C">
          <w:rPr>
            <w:noProof/>
            <w:webHidden/>
          </w:rPr>
          <w:t>47</w:t>
        </w:r>
        <w:r w:rsidR="00752E4C">
          <w:rPr>
            <w:noProof/>
            <w:webHidden/>
          </w:rPr>
          <w:fldChar w:fldCharType="end"/>
        </w:r>
      </w:hyperlink>
    </w:p>
    <w:p w:rsidR="00752E4C" w:rsidRDefault="00DB496B">
      <w:pPr>
        <w:pStyle w:val="IDC2"/>
        <w:tabs>
          <w:tab w:val="left" w:pos="502"/>
          <w:tab w:val="right" w:pos="9061"/>
        </w:tabs>
        <w:rPr>
          <w:rFonts w:eastAsiaTheme="minorEastAsia"/>
          <w:b w:val="0"/>
          <w:bCs w:val="0"/>
          <w:smallCaps w:val="0"/>
          <w:noProof/>
          <w:lang w:eastAsia="ca-ES"/>
        </w:rPr>
      </w:pPr>
      <w:hyperlink w:anchor="_Toc465293368" w:history="1">
        <w:r w:rsidR="00752E4C" w:rsidRPr="00D0406E">
          <w:rPr>
            <w:rStyle w:val="Enlla"/>
            <w:noProof/>
          </w:rPr>
          <w:t>6.2</w:t>
        </w:r>
        <w:r w:rsidR="00752E4C">
          <w:rPr>
            <w:rFonts w:eastAsiaTheme="minorEastAsia"/>
            <w:b w:val="0"/>
            <w:bCs w:val="0"/>
            <w:smallCaps w:val="0"/>
            <w:noProof/>
            <w:lang w:eastAsia="ca-ES"/>
          </w:rPr>
          <w:tab/>
        </w:r>
        <w:r w:rsidR="00752E4C" w:rsidRPr="00D0406E">
          <w:rPr>
            <w:rStyle w:val="Enlla"/>
            <w:noProof/>
          </w:rPr>
          <w:t>La intervenció individual</w:t>
        </w:r>
        <w:r w:rsidR="00752E4C">
          <w:rPr>
            <w:noProof/>
            <w:webHidden/>
          </w:rPr>
          <w:tab/>
        </w:r>
        <w:r w:rsidR="00752E4C">
          <w:rPr>
            <w:noProof/>
            <w:webHidden/>
          </w:rPr>
          <w:fldChar w:fldCharType="begin"/>
        </w:r>
        <w:r w:rsidR="00752E4C">
          <w:rPr>
            <w:noProof/>
            <w:webHidden/>
          </w:rPr>
          <w:instrText xml:space="preserve"> PAGEREF _Toc465293368 \h </w:instrText>
        </w:r>
        <w:r w:rsidR="00752E4C">
          <w:rPr>
            <w:noProof/>
            <w:webHidden/>
          </w:rPr>
        </w:r>
        <w:r w:rsidR="00752E4C">
          <w:rPr>
            <w:noProof/>
            <w:webHidden/>
          </w:rPr>
          <w:fldChar w:fldCharType="separate"/>
        </w:r>
        <w:r w:rsidR="00752E4C">
          <w:rPr>
            <w:noProof/>
            <w:webHidden/>
          </w:rPr>
          <w:t>48</w:t>
        </w:r>
        <w:r w:rsidR="00752E4C">
          <w:rPr>
            <w:noProof/>
            <w:webHidden/>
          </w:rPr>
          <w:fldChar w:fldCharType="end"/>
        </w:r>
      </w:hyperlink>
    </w:p>
    <w:p w:rsidR="00752E4C" w:rsidRDefault="00DB496B">
      <w:pPr>
        <w:pStyle w:val="IDC3"/>
        <w:tabs>
          <w:tab w:val="left" w:pos="666"/>
          <w:tab w:val="right" w:pos="9061"/>
        </w:tabs>
        <w:rPr>
          <w:rFonts w:eastAsiaTheme="minorEastAsia"/>
          <w:smallCaps w:val="0"/>
          <w:noProof/>
          <w:lang w:eastAsia="ca-ES"/>
        </w:rPr>
      </w:pPr>
      <w:hyperlink w:anchor="_Toc465293369" w:history="1">
        <w:r w:rsidR="00752E4C" w:rsidRPr="00D0406E">
          <w:rPr>
            <w:rStyle w:val="Enlla"/>
            <w:noProof/>
          </w:rPr>
          <w:t>6.2.1</w:t>
        </w:r>
        <w:r w:rsidR="00752E4C">
          <w:rPr>
            <w:rFonts w:eastAsiaTheme="minorEastAsia"/>
            <w:smallCaps w:val="0"/>
            <w:noProof/>
            <w:lang w:eastAsia="ca-ES"/>
          </w:rPr>
          <w:tab/>
        </w:r>
        <w:r w:rsidR="00752E4C" w:rsidRPr="00D0406E">
          <w:rPr>
            <w:rStyle w:val="Enlla"/>
            <w:noProof/>
          </w:rPr>
          <w:t>El Programa marc d’atenció individualitzada (PIT)</w:t>
        </w:r>
        <w:r w:rsidR="00752E4C">
          <w:rPr>
            <w:noProof/>
            <w:webHidden/>
          </w:rPr>
          <w:tab/>
        </w:r>
        <w:r w:rsidR="00752E4C">
          <w:rPr>
            <w:noProof/>
            <w:webHidden/>
          </w:rPr>
          <w:fldChar w:fldCharType="begin"/>
        </w:r>
        <w:r w:rsidR="00752E4C">
          <w:rPr>
            <w:noProof/>
            <w:webHidden/>
          </w:rPr>
          <w:instrText xml:space="preserve"> PAGEREF _Toc465293369 \h </w:instrText>
        </w:r>
        <w:r w:rsidR="00752E4C">
          <w:rPr>
            <w:noProof/>
            <w:webHidden/>
          </w:rPr>
        </w:r>
        <w:r w:rsidR="00752E4C">
          <w:rPr>
            <w:noProof/>
            <w:webHidden/>
          </w:rPr>
          <w:fldChar w:fldCharType="separate"/>
        </w:r>
        <w:r w:rsidR="00752E4C">
          <w:rPr>
            <w:noProof/>
            <w:webHidden/>
          </w:rPr>
          <w:t>49</w:t>
        </w:r>
        <w:r w:rsidR="00752E4C">
          <w:rPr>
            <w:noProof/>
            <w:webHidden/>
          </w:rPr>
          <w:fldChar w:fldCharType="end"/>
        </w:r>
      </w:hyperlink>
    </w:p>
    <w:p w:rsidR="00752E4C" w:rsidRDefault="00DB496B">
      <w:pPr>
        <w:pStyle w:val="IDC3"/>
        <w:tabs>
          <w:tab w:val="left" w:pos="666"/>
          <w:tab w:val="right" w:pos="9061"/>
        </w:tabs>
        <w:rPr>
          <w:rFonts w:eastAsiaTheme="minorEastAsia"/>
          <w:smallCaps w:val="0"/>
          <w:noProof/>
          <w:lang w:eastAsia="ca-ES"/>
        </w:rPr>
      </w:pPr>
      <w:hyperlink w:anchor="_Toc465293370" w:history="1">
        <w:r w:rsidR="00752E4C" w:rsidRPr="00D0406E">
          <w:rPr>
            <w:rStyle w:val="Enlla"/>
            <w:noProof/>
          </w:rPr>
          <w:t>6.2.2</w:t>
        </w:r>
        <w:r w:rsidR="00752E4C">
          <w:rPr>
            <w:rFonts w:eastAsiaTheme="minorEastAsia"/>
            <w:smallCaps w:val="0"/>
            <w:noProof/>
            <w:lang w:eastAsia="ca-ES"/>
          </w:rPr>
          <w:tab/>
        </w:r>
        <w:r w:rsidR="00752E4C" w:rsidRPr="00D0406E">
          <w:rPr>
            <w:rStyle w:val="Enlla"/>
            <w:noProof/>
          </w:rPr>
          <w:t>El Sistema d'avaluació i motivació (SAM)</w:t>
        </w:r>
        <w:r w:rsidR="00752E4C">
          <w:rPr>
            <w:noProof/>
            <w:webHidden/>
          </w:rPr>
          <w:tab/>
        </w:r>
        <w:r w:rsidR="00752E4C">
          <w:rPr>
            <w:noProof/>
            <w:webHidden/>
          </w:rPr>
          <w:fldChar w:fldCharType="begin"/>
        </w:r>
        <w:r w:rsidR="00752E4C">
          <w:rPr>
            <w:noProof/>
            <w:webHidden/>
          </w:rPr>
          <w:instrText xml:space="preserve"> PAGEREF _Toc465293370 \h </w:instrText>
        </w:r>
        <w:r w:rsidR="00752E4C">
          <w:rPr>
            <w:noProof/>
            <w:webHidden/>
          </w:rPr>
        </w:r>
        <w:r w:rsidR="00752E4C">
          <w:rPr>
            <w:noProof/>
            <w:webHidden/>
          </w:rPr>
          <w:fldChar w:fldCharType="separate"/>
        </w:r>
        <w:r w:rsidR="00752E4C">
          <w:rPr>
            <w:noProof/>
            <w:webHidden/>
          </w:rPr>
          <w:t>50</w:t>
        </w:r>
        <w:r w:rsidR="00752E4C">
          <w:rPr>
            <w:noProof/>
            <w:webHidden/>
          </w:rPr>
          <w:fldChar w:fldCharType="end"/>
        </w:r>
      </w:hyperlink>
    </w:p>
    <w:p w:rsidR="00752E4C" w:rsidRDefault="00DB496B">
      <w:pPr>
        <w:pStyle w:val="IDC3"/>
        <w:tabs>
          <w:tab w:val="left" w:pos="666"/>
          <w:tab w:val="right" w:pos="9061"/>
        </w:tabs>
        <w:rPr>
          <w:rFonts w:eastAsiaTheme="minorEastAsia"/>
          <w:smallCaps w:val="0"/>
          <w:noProof/>
          <w:lang w:eastAsia="ca-ES"/>
        </w:rPr>
      </w:pPr>
      <w:hyperlink w:anchor="_Toc465293371" w:history="1">
        <w:r w:rsidR="00752E4C" w:rsidRPr="00D0406E">
          <w:rPr>
            <w:rStyle w:val="Enlla"/>
            <w:noProof/>
          </w:rPr>
          <w:t>6.2.3</w:t>
        </w:r>
        <w:r w:rsidR="00752E4C">
          <w:rPr>
            <w:rFonts w:eastAsiaTheme="minorEastAsia"/>
            <w:smallCaps w:val="0"/>
            <w:noProof/>
            <w:lang w:eastAsia="ca-ES"/>
          </w:rPr>
          <w:tab/>
        </w:r>
        <w:r w:rsidR="00752E4C" w:rsidRPr="00D0406E">
          <w:rPr>
            <w:rStyle w:val="Enlla"/>
            <w:noProof/>
          </w:rPr>
          <w:t>L'avaluació i gestió de risc</w:t>
        </w:r>
        <w:r w:rsidR="00752E4C">
          <w:rPr>
            <w:noProof/>
            <w:webHidden/>
          </w:rPr>
          <w:tab/>
        </w:r>
        <w:r w:rsidR="00752E4C">
          <w:rPr>
            <w:noProof/>
            <w:webHidden/>
          </w:rPr>
          <w:fldChar w:fldCharType="begin"/>
        </w:r>
        <w:r w:rsidR="00752E4C">
          <w:rPr>
            <w:noProof/>
            <w:webHidden/>
          </w:rPr>
          <w:instrText xml:space="preserve"> PAGEREF _Toc465293371 \h </w:instrText>
        </w:r>
        <w:r w:rsidR="00752E4C">
          <w:rPr>
            <w:noProof/>
            <w:webHidden/>
          </w:rPr>
        </w:r>
        <w:r w:rsidR="00752E4C">
          <w:rPr>
            <w:noProof/>
            <w:webHidden/>
          </w:rPr>
          <w:fldChar w:fldCharType="separate"/>
        </w:r>
        <w:r w:rsidR="00752E4C">
          <w:rPr>
            <w:noProof/>
            <w:webHidden/>
          </w:rPr>
          <w:t>50</w:t>
        </w:r>
        <w:r w:rsidR="00752E4C">
          <w:rPr>
            <w:noProof/>
            <w:webHidden/>
          </w:rPr>
          <w:fldChar w:fldCharType="end"/>
        </w:r>
      </w:hyperlink>
    </w:p>
    <w:p w:rsidR="00752E4C" w:rsidRDefault="00DB496B">
      <w:pPr>
        <w:pStyle w:val="IDC3"/>
        <w:tabs>
          <w:tab w:val="left" w:pos="666"/>
          <w:tab w:val="right" w:pos="9061"/>
        </w:tabs>
        <w:rPr>
          <w:rFonts w:eastAsiaTheme="minorEastAsia"/>
          <w:smallCaps w:val="0"/>
          <w:noProof/>
          <w:lang w:eastAsia="ca-ES"/>
        </w:rPr>
      </w:pPr>
      <w:hyperlink w:anchor="_Toc465293372" w:history="1">
        <w:r w:rsidR="00752E4C" w:rsidRPr="00D0406E">
          <w:rPr>
            <w:rStyle w:val="Enlla"/>
            <w:noProof/>
          </w:rPr>
          <w:t>6.2.4</w:t>
        </w:r>
        <w:r w:rsidR="00752E4C">
          <w:rPr>
            <w:rFonts w:eastAsiaTheme="minorEastAsia"/>
            <w:smallCaps w:val="0"/>
            <w:noProof/>
            <w:lang w:eastAsia="ca-ES"/>
          </w:rPr>
          <w:tab/>
        </w:r>
        <w:r w:rsidR="00752E4C" w:rsidRPr="00D0406E">
          <w:rPr>
            <w:rStyle w:val="Enlla"/>
            <w:noProof/>
          </w:rPr>
          <w:t>Panorama actual i reptes</w:t>
        </w:r>
        <w:r w:rsidR="00752E4C">
          <w:rPr>
            <w:noProof/>
            <w:webHidden/>
          </w:rPr>
          <w:tab/>
        </w:r>
        <w:r w:rsidR="00752E4C">
          <w:rPr>
            <w:noProof/>
            <w:webHidden/>
          </w:rPr>
          <w:fldChar w:fldCharType="begin"/>
        </w:r>
        <w:r w:rsidR="00752E4C">
          <w:rPr>
            <w:noProof/>
            <w:webHidden/>
          </w:rPr>
          <w:instrText xml:space="preserve"> PAGEREF _Toc465293372 \h </w:instrText>
        </w:r>
        <w:r w:rsidR="00752E4C">
          <w:rPr>
            <w:noProof/>
            <w:webHidden/>
          </w:rPr>
        </w:r>
        <w:r w:rsidR="00752E4C">
          <w:rPr>
            <w:noProof/>
            <w:webHidden/>
          </w:rPr>
          <w:fldChar w:fldCharType="separate"/>
        </w:r>
        <w:r w:rsidR="00752E4C">
          <w:rPr>
            <w:noProof/>
            <w:webHidden/>
          </w:rPr>
          <w:t>52</w:t>
        </w:r>
        <w:r w:rsidR="00752E4C">
          <w:rPr>
            <w:noProof/>
            <w:webHidden/>
          </w:rPr>
          <w:fldChar w:fldCharType="end"/>
        </w:r>
      </w:hyperlink>
    </w:p>
    <w:p w:rsidR="00752E4C" w:rsidRDefault="00DB496B">
      <w:pPr>
        <w:pStyle w:val="IDC2"/>
        <w:tabs>
          <w:tab w:val="left" w:pos="502"/>
          <w:tab w:val="right" w:pos="9061"/>
        </w:tabs>
        <w:rPr>
          <w:rFonts w:eastAsiaTheme="minorEastAsia"/>
          <w:b w:val="0"/>
          <w:bCs w:val="0"/>
          <w:smallCaps w:val="0"/>
          <w:noProof/>
          <w:lang w:eastAsia="ca-ES"/>
        </w:rPr>
      </w:pPr>
      <w:hyperlink w:anchor="_Toc465293373" w:history="1">
        <w:r w:rsidR="00752E4C" w:rsidRPr="00D0406E">
          <w:rPr>
            <w:rStyle w:val="Enlla"/>
            <w:noProof/>
          </w:rPr>
          <w:t>6.3</w:t>
        </w:r>
        <w:r w:rsidR="00752E4C">
          <w:rPr>
            <w:rFonts w:eastAsiaTheme="minorEastAsia"/>
            <w:b w:val="0"/>
            <w:bCs w:val="0"/>
            <w:smallCaps w:val="0"/>
            <w:noProof/>
            <w:lang w:eastAsia="ca-ES"/>
          </w:rPr>
          <w:tab/>
        </w:r>
        <w:r w:rsidR="00752E4C" w:rsidRPr="00D0406E">
          <w:rPr>
            <w:rStyle w:val="Enlla"/>
            <w:noProof/>
          </w:rPr>
          <w:t>Els programes d'intervenció especialitzada</w:t>
        </w:r>
        <w:r w:rsidR="00752E4C">
          <w:rPr>
            <w:noProof/>
            <w:webHidden/>
          </w:rPr>
          <w:tab/>
        </w:r>
        <w:r w:rsidR="00752E4C">
          <w:rPr>
            <w:noProof/>
            <w:webHidden/>
          </w:rPr>
          <w:fldChar w:fldCharType="begin"/>
        </w:r>
        <w:r w:rsidR="00752E4C">
          <w:rPr>
            <w:noProof/>
            <w:webHidden/>
          </w:rPr>
          <w:instrText xml:space="preserve"> PAGEREF _Toc465293373 \h </w:instrText>
        </w:r>
        <w:r w:rsidR="00752E4C">
          <w:rPr>
            <w:noProof/>
            <w:webHidden/>
          </w:rPr>
        </w:r>
        <w:r w:rsidR="00752E4C">
          <w:rPr>
            <w:noProof/>
            <w:webHidden/>
          </w:rPr>
          <w:fldChar w:fldCharType="separate"/>
        </w:r>
        <w:r w:rsidR="00752E4C">
          <w:rPr>
            <w:noProof/>
            <w:webHidden/>
          </w:rPr>
          <w:t>53</w:t>
        </w:r>
        <w:r w:rsidR="00752E4C">
          <w:rPr>
            <w:noProof/>
            <w:webHidden/>
          </w:rPr>
          <w:fldChar w:fldCharType="end"/>
        </w:r>
      </w:hyperlink>
    </w:p>
    <w:p w:rsidR="00752E4C" w:rsidRDefault="00DB496B">
      <w:pPr>
        <w:pStyle w:val="IDC3"/>
        <w:tabs>
          <w:tab w:val="left" w:pos="666"/>
          <w:tab w:val="right" w:pos="9061"/>
        </w:tabs>
        <w:rPr>
          <w:rFonts w:eastAsiaTheme="minorEastAsia"/>
          <w:smallCaps w:val="0"/>
          <w:noProof/>
          <w:lang w:eastAsia="ca-ES"/>
        </w:rPr>
      </w:pPr>
      <w:hyperlink w:anchor="_Toc465293374" w:history="1">
        <w:r w:rsidR="00752E4C" w:rsidRPr="00D0406E">
          <w:rPr>
            <w:rStyle w:val="Enlla"/>
            <w:noProof/>
          </w:rPr>
          <w:t>6.3.1</w:t>
        </w:r>
        <w:r w:rsidR="00752E4C">
          <w:rPr>
            <w:rFonts w:eastAsiaTheme="minorEastAsia"/>
            <w:smallCaps w:val="0"/>
            <w:noProof/>
            <w:lang w:eastAsia="ca-ES"/>
          </w:rPr>
          <w:tab/>
        </w:r>
        <w:r w:rsidR="00752E4C" w:rsidRPr="00D0406E">
          <w:rPr>
            <w:rStyle w:val="Enlla"/>
            <w:noProof/>
          </w:rPr>
          <w:t>Tractament de les conductes addictives</w:t>
        </w:r>
        <w:r w:rsidR="00752E4C">
          <w:rPr>
            <w:noProof/>
            <w:webHidden/>
          </w:rPr>
          <w:tab/>
        </w:r>
        <w:r w:rsidR="00752E4C">
          <w:rPr>
            <w:noProof/>
            <w:webHidden/>
          </w:rPr>
          <w:fldChar w:fldCharType="begin"/>
        </w:r>
        <w:r w:rsidR="00752E4C">
          <w:rPr>
            <w:noProof/>
            <w:webHidden/>
          </w:rPr>
          <w:instrText xml:space="preserve"> PAGEREF _Toc465293374 \h </w:instrText>
        </w:r>
        <w:r w:rsidR="00752E4C">
          <w:rPr>
            <w:noProof/>
            <w:webHidden/>
          </w:rPr>
        </w:r>
        <w:r w:rsidR="00752E4C">
          <w:rPr>
            <w:noProof/>
            <w:webHidden/>
          </w:rPr>
          <w:fldChar w:fldCharType="separate"/>
        </w:r>
        <w:r w:rsidR="00752E4C">
          <w:rPr>
            <w:noProof/>
            <w:webHidden/>
          </w:rPr>
          <w:t>53</w:t>
        </w:r>
        <w:r w:rsidR="00752E4C">
          <w:rPr>
            <w:noProof/>
            <w:webHidden/>
          </w:rPr>
          <w:fldChar w:fldCharType="end"/>
        </w:r>
      </w:hyperlink>
    </w:p>
    <w:p w:rsidR="00752E4C" w:rsidRDefault="00DB496B">
      <w:pPr>
        <w:pStyle w:val="IDC3"/>
        <w:tabs>
          <w:tab w:val="left" w:pos="666"/>
          <w:tab w:val="right" w:pos="9061"/>
        </w:tabs>
        <w:rPr>
          <w:rFonts w:eastAsiaTheme="minorEastAsia"/>
          <w:smallCaps w:val="0"/>
          <w:noProof/>
          <w:lang w:eastAsia="ca-ES"/>
        </w:rPr>
      </w:pPr>
      <w:hyperlink w:anchor="_Toc465293375" w:history="1">
        <w:r w:rsidR="00752E4C" w:rsidRPr="00D0406E">
          <w:rPr>
            <w:rStyle w:val="Enlla"/>
            <w:noProof/>
          </w:rPr>
          <w:t>6.3.2</w:t>
        </w:r>
        <w:r w:rsidR="00752E4C">
          <w:rPr>
            <w:rFonts w:eastAsiaTheme="minorEastAsia"/>
            <w:smallCaps w:val="0"/>
            <w:noProof/>
            <w:lang w:eastAsia="ca-ES"/>
          </w:rPr>
          <w:tab/>
        </w:r>
        <w:r w:rsidR="00752E4C" w:rsidRPr="00D0406E">
          <w:rPr>
            <w:rStyle w:val="Enlla"/>
            <w:noProof/>
          </w:rPr>
          <w:t>Programa de control de l'agressió sexual (SAC)</w:t>
        </w:r>
        <w:r w:rsidR="00752E4C">
          <w:rPr>
            <w:noProof/>
            <w:webHidden/>
          </w:rPr>
          <w:tab/>
        </w:r>
        <w:r w:rsidR="00752E4C">
          <w:rPr>
            <w:noProof/>
            <w:webHidden/>
          </w:rPr>
          <w:fldChar w:fldCharType="begin"/>
        </w:r>
        <w:r w:rsidR="00752E4C">
          <w:rPr>
            <w:noProof/>
            <w:webHidden/>
          </w:rPr>
          <w:instrText xml:space="preserve"> PAGEREF _Toc465293375 \h </w:instrText>
        </w:r>
        <w:r w:rsidR="00752E4C">
          <w:rPr>
            <w:noProof/>
            <w:webHidden/>
          </w:rPr>
        </w:r>
        <w:r w:rsidR="00752E4C">
          <w:rPr>
            <w:noProof/>
            <w:webHidden/>
          </w:rPr>
          <w:fldChar w:fldCharType="separate"/>
        </w:r>
        <w:r w:rsidR="00752E4C">
          <w:rPr>
            <w:noProof/>
            <w:webHidden/>
          </w:rPr>
          <w:t>53</w:t>
        </w:r>
        <w:r w:rsidR="00752E4C">
          <w:rPr>
            <w:noProof/>
            <w:webHidden/>
          </w:rPr>
          <w:fldChar w:fldCharType="end"/>
        </w:r>
      </w:hyperlink>
    </w:p>
    <w:p w:rsidR="00752E4C" w:rsidRDefault="00DB496B">
      <w:pPr>
        <w:pStyle w:val="IDC3"/>
        <w:tabs>
          <w:tab w:val="left" w:pos="666"/>
          <w:tab w:val="right" w:pos="9061"/>
        </w:tabs>
        <w:rPr>
          <w:rFonts w:eastAsiaTheme="minorEastAsia"/>
          <w:smallCaps w:val="0"/>
          <w:noProof/>
          <w:lang w:eastAsia="ca-ES"/>
        </w:rPr>
      </w:pPr>
      <w:hyperlink w:anchor="_Toc465293376" w:history="1">
        <w:r w:rsidR="00752E4C" w:rsidRPr="00D0406E">
          <w:rPr>
            <w:rStyle w:val="Enlla"/>
            <w:noProof/>
          </w:rPr>
          <w:t>6.3.3</w:t>
        </w:r>
        <w:r w:rsidR="00752E4C">
          <w:rPr>
            <w:rFonts w:eastAsiaTheme="minorEastAsia"/>
            <w:smallCaps w:val="0"/>
            <w:noProof/>
            <w:lang w:eastAsia="ca-ES"/>
          </w:rPr>
          <w:tab/>
        </w:r>
        <w:r w:rsidR="00752E4C" w:rsidRPr="00D0406E">
          <w:rPr>
            <w:rStyle w:val="Enlla"/>
            <w:noProof/>
          </w:rPr>
          <w:t>Programes de tractament de la conducta violenta: DEVI i VIGE</w:t>
        </w:r>
        <w:r w:rsidR="00752E4C">
          <w:rPr>
            <w:noProof/>
            <w:webHidden/>
          </w:rPr>
          <w:tab/>
        </w:r>
        <w:r w:rsidR="00752E4C">
          <w:rPr>
            <w:noProof/>
            <w:webHidden/>
          </w:rPr>
          <w:fldChar w:fldCharType="begin"/>
        </w:r>
        <w:r w:rsidR="00752E4C">
          <w:rPr>
            <w:noProof/>
            <w:webHidden/>
          </w:rPr>
          <w:instrText xml:space="preserve"> PAGEREF _Toc465293376 \h </w:instrText>
        </w:r>
        <w:r w:rsidR="00752E4C">
          <w:rPr>
            <w:noProof/>
            <w:webHidden/>
          </w:rPr>
        </w:r>
        <w:r w:rsidR="00752E4C">
          <w:rPr>
            <w:noProof/>
            <w:webHidden/>
          </w:rPr>
          <w:fldChar w:fldCharType="separate"/>
        </w:r>
        <w:r w:rsidR="00752E4C">
          <w:rPr>
            <w:noProof/>
            <w:webHidden/>
          </w:rPr>
          <w:t>54</w:t>
        </w:r>
        <w:r w:rsidR="00752E4C">
          <w:rPr>
            <w:noProof/>
            <w:webHidden/>
          </w:rPr>
          <w:fldChar w:fldCharType="end"/>
        </w:r>
      </w:hyperlink>
    </w:p>
    <w:p w:rsidR="00752E4C" w:rsidRDefault="00DB496B">
      <w:pPr>
        <w:pStyle w:val="IDC3"/>
        <w:tabs>
          <w:tab w:val="left" w:pos="666"/>
          <w:tab w:val="right" w:pos="9061"/>
        </w:tabs>
        <w:rPr>
          <w:rFonts w:eastAsiaTheme="minorEastAsia"/>
          <w:smallCaps w:val="0"/>
          <w:noProof/>
          <w:lang w:eastAsia="ca-ES"/>
        </w:rPr>
      </w:pPr>
      <w:hyperlink w:anchor="_Toc465293377" w:history="1">
        <w:r w:rsidR="00752E4C" w:rsidRPr="00D0406E">
          <w:rPr>
            <w:rStyle w:val="Enlla"/>
            <w:noProof/>
          </w:rPr>
          <w:t>6.3.4</w:t>
        </w:r>
        <w:r w:rsidR="00752E4C">
          <w:rPr>
            <w:rFonts w:eastAsiaTheme="minorEastAsia"/>
            <w:smallCaps w:val="0"/>
            <w:noProof/>
            <w:lang w:eastAsia="ca-ES"/>
          </w:rPr>
          <w:tab/>
        </w:r>
        <w:r w:rsidR="00752E4C" w:rsidRPr="00D0406E">
          <w:rPr>
            <w:rStyle w:val="Enlla"/>
            <w:noProof/>
          </w:rPr>
          <w:t>Programa de tractament per delictes de trànsit</w:t>
        </w:r>
        <w:r w:rsidR="00752E4C">
          <w:rPr>
            <w:noProof/>
            <w:webHidden/>
          </w:rPr>
          <w:tab/>
        </w:r>
        <w:r w:rsidR="00752E4C">
          <w:rPr>
            <w:noProof/>
            <w:webHidden/>
          </w:rPr>
          <w:fldChar w:fldCharType="begin"/>
        </w:r>
        <w:r w:rsidR="00752E4C">
          <w:rPr>
            <w:noProof/>
            <w:webHidden/>
          </w:rPr>
          <w:instrText xml:space="preserve"> PAGEREF _Toc465293377 \h </w:instrText>
        </w:r>
        <w:r w:rsidR="00752E4C">
          <w:rPr>
            <w:noProof/>
            <w:webHidden/>
          </w:rPr>
        </w:r>
        <w:r w:rsidR="00752E4C">
          <w:rPr>
            <w:noProof/>
            <w:webHidden/>
          </w:rPr>
          <w:fldChar w:fldCharType="separate"/>
        </w:r>
        <w:r w:rsidR="00752E4C">
          <w:rPr>
            <w:noProof/>
            <w:webHidden/>
          </w:rPr>
          <w:t>54</w:t>
        </w:r>
        <w:r w:rsidR="00752E4C">
          <w:rPr>
            <w:noProof/>
            <w:webHidden/>
          </w:rPr>
          <w:fldChar w:fldCharType="end"/>
        </w:r>
      </w:hyperlink>
    </w:p>
    <w:p w:rsidR="00752E4C" w:rsidRDefault="00DB496B">
      <w:pPr>
        <w:pStyle w:val="IDC3"/>
        <w:tabs>
          <w:tab w:val="left" w:pos="666"/>
          <w:tab w:val="right" w:pos="9061"/>
        </w:tabs>
        <w:rPr>
          <w:rFonts w:eastAsiaTheme="minorEastAsia"/>
          <w:smallCaps w:val="0"/>
          <w:noProof/>
          <w:lang w:eastAsia="ca-ES"/>
        </w:rPr>
      </w:pPr>
      <w:hyperlink w:anchor="_Toc465293378" w:history="1">
        <w:r w:rsidR="00752E4C" w:rsidRPr="00D0406E">
          <w:rPr>
            <w:rStyle w:val="Enlla"/>
            <w:noProof/>
          </w:rPr>
          <w:t>6.3.5</w:t>
        </w:r>
        <w:r w:rsidR="00752E4C">
          <w:rPr>
            <w:rFonts w:eastAsiaTheme="minorEastAsia"/>
            <w:smallCaps w:val="0"/>
            <w:noProof/>
            <w:lang w:eastAsia="ca-ES"/>
          </w:rPr>
          <w:tab/>
        </w:r>
        <w:r w:rsidR="00752E4C" w:rsidRPr="00D0406E">
          <w:rPr>
            <w:rStyle w:val="Enlla"/>
            <w:noProof/>
          </w:rPr>
          <w:t>Els departaments d'atenció especialitzada (DAE).Comunitat terapèutica</w:t>
        </w:r>
        <w:r w:rsidR="00752E4C">
          <w:rPr>
            <w:noProof/>
            <w:webHidden/>
          </w:rPr>
          <w:tab/>
        </w:r>
        <w:r w:rsidR="00752E4C">
          <w:rPr>
            <w:noProof/>
            <w:webHidden/>
          </w:rPr>
          <w:fldChar w:fldCharType="begin"/>
        </w:r>
        <w:r w:rsidR="00752E4C">
          <w:rPr>
            <w:noProof/>
            <w:webHidden/>
          </w:rPr>
          <w:instrText xml:space="preserve"> PAGEREF _Toc465293378 \h </w:instrText>
        </w:r>
        <w:r w:rsidR="00752E4C">
          <w:rPr>
            <w:noProof/>
            <w:webHidden/>
          </w:rPr>
        </w:r>
        <w:r w:rsidR="00752E4C">
          <w:rPr>
            <w:noProof/>
            <w:webHidden/>
          </w:rPr>
          <w:fldChar w:fldCharType="separate"/>
        </w:r>
        <w:r w:rsidR="00752E4C">
          <w:rPr>
            <w:noProof/>
            <w:webHidden/>
          </w:rPr>
          <w:t>54</w:t>
        </w:r>
        <w:r w:rsidR="00752E4C">
          <w:rPr>
            <w:noProof/>
            <w:webHidden/>
          </w:rPr>
          <w:fldChar w:fldCharType="end"/>
        </w:r>
      </w:hyperlink>
    </w:p>
    <w:p w:rsidR="00752E4C" w:rsidRDefault="00DB496B">
      <w:pPr>
        <w:pStyle w:val="IDC3"/>
        <w:tabs>
          <w:tab w:val="left" w:pos="666"/>
          <w:tab w:val="right" w:pos="9061"/>
        </w:tabs>
        <w:rPr>
          <w:rFonts w:eastAsiaTheme="minorEastAsia"/>
          <w:smallCaps w:val="0"/>
          <w:noProof/>
          <w:lang w:eastAsia="ca-ES"/>
        </w:rPr>
      </w:pPr>
      <w:hyperlink w:anchor="_Toc465293379" w:history="1">
        <w:r w:rsidR="00752E4C" w:rsidRPr="00D0406E">
          <w:rPr>
            <w:rStyle w:val="Enlla"/>
            <w:noProof/>
          </w:rPr>
          <w:t>6.3.6</w:t>
        </w:r>
        <w:r w:rsidR="00752E4C">
          <w:rPr>
            <w:rFonts w:eastAsiaTheme="minorEastAsia"/>
            <w:smallCaps w:val="0"/>
            <w:noProof/>
            <w:lang w:eastAsia="ca-ES"/>
          </w:rPr>
          <w:tab/>
        </w:r>
        <w:r w:rsidR="00752E4C" w:rsidRPr="00D0406E">
          <w:rPr>
            <w:rStyle w:val="Enlla"/>
            <w:noProof/>
          </w:rPr>
          <w:t>Els departaments especials de règim tancat (DERT)</w:t>
        </w:r>
        <w:r w:rsidR="00752E4C">
          <w:rPr>
            <w:noProof/>
            <w:webHidden/>
          </w:rPr>
          <w:tab/>
        </w:r>
        <w:r w:rsidR="00752E4C">
          <w:rPr>
            <w:noProof/>
            <w:webHidden/>
          </w:rPr>
          <w:fldChar w:fldCharType="begin"/>
        </w:r>
        <w:r w:rsidR="00752E4C">
          <w:rPr>
            <w:noProof/>
            <w:webHidden/>
          </w:rPr>
          <w:instrText xml:space="preserve"> PAGEREF _Toc465293379 \h </w:instrText>
        </w:r>
        <w:r w:rsidR="00752E4C">
          <w:rPr>
            <w:noProof/>
            <w:webHidden/>
          </w:rPr>
        </w:r>
        <w:r w:rsidR="00752E4C">
          <w:rPr>
            <w:noProof/>
            <w:webHidden/>
          </w:rPr>
          <w:fldChar w:fldCharType="separate"/>
        </w:r>
        <w:r w:rsidR="00752E4C">
          <w:rPr>
            <w:noProof/>
            <w:webHidden/>
          </w:rPr>
          <w:t>55</w:t>
        </w:r>
        <w:r w:rsidR="00752E4C">
          <w:rPr>
            <w:noProof/>
            <w:webHidden/>
          </w:rPr>
          <w:fldChar w:fldCharType="end"/>
        </w:r>
      </w:hyperlink>
    </w:p>
    <w:p w:rsidR="00752E4C" w:rsidRDefault="00DB496B">
      <w:pPr>
        <w:pStyle w:val="IDC3"/>
        <w:tabs>
          <w:tab w:val="left" w:pos="666"/>
          <w:tab w:val="right" w:pos="9061"/>
        </w:tabs>
        <w:rPr>
          <w:rFonts w:eastAsiaTheme="minorEastAsia"/>
          <w:smallCaps w:val="0"/>
          <w:noProof/>
          <w:lang w:eastAsia="ca-ES"/>
        </w:rPr>
      </w:pPr>
      <w:hyperlink w:anchor="_Toc465293380" w:history="1">
        <w:r w:rsidR="00752E4C" w:rsidRPr="00D0406E">
          <w:rPr>
            <w:rStyle w:val="Enlla"/>
            <w:noProof/>
          </w:rPr>
          <w:t>6.3.7</w:t>
        </w:r>
        <w:r w:rsidR="00752E4C">
          <w:rPr>
            <w:rFonts w:eastAsiaTheme="minorEastAsia"/>
            <w:smallCaps w:val="0"/>
            <w:noProof/>
            <w:lang w:eastAsia="ca-ES"/>
          </w:rPr>
          <w:tab/>
        </w:r>
        <w:r w:rsidR="00752E4C" w:rsidRPr="00D0406E">
          <w:rPr>
            <w:rStyle w:val="Enlla"/>
            <w:noProof/>
          </w:rPr>
          <w:t>Panorama actual i reptes</w:t>
        </w:r>
        <w:r w:rsidR="00752E4C">
          <w:rPr>
            <w:noProof/>
            <w:webHidden/>
          </w:rPr>
          <w:tab/>
        </w:r>
        <w:r w:rsidR="00752E4C">
          <w:rPr>
            <w:noProof/>
            <w:webHidden/>
          </w:rPr>
          <w:fldChar w:fldCharType="begin"/>
        </w:r>
        <w:r w:rsidR="00752E4C">
          <w:rPr>
            <w:noProof/>
            <w:webHidden/>
          </w:rPr>
          <w:instrText xml:space="preserve"> PAGEREF _Toc465293380 \h </w:instrText>
        </w:r>
        <w:r w:rsidR="00752E4C">
          <w:rPr>
            <w:noProof/>
            <w:webHidden/>
          </w:rPr>
        </w:r>
        <w:r w:rsidR="00752E4C">
          <w:rPr>
            <w:noProof/>
            <w:webHidden/>
          </w:rPr>
          <w:fldChar w:fldCharType="separate"/>
        </w:r>
        <w:r w:rsidR="00752E4C">
          <w:rPr>
            <w:noProof/>
            <w:webHidden/>
          </w:rPr>
          <w:t>56</w:t>
        </w:r>
        <w:r w:rsidR="00752E4C">
          <w:rPr>
            <w:noProof/>
            <w:webHidden/>
          </w:rPr>
          <w:fldChar w:fldCharType="end"/>
        </w:r>
      </w:hyperlink>
    </w:p>
    <w:p w:rsidR="00752E4C" w:rsidRDefault="00DB496B">
      <w:pPr>
        <w:pStyle w:val="IDC2"/>
        <w:tabs>
          <w:tab w:val="left" w:pos="502"/>
          <w:tab w:val="right" w:pos="9061"/>
        </w:tabs>
        <w:rPr>
          <w:rFonts w:eastAsiaTheme="minorEastAsia"/>
          <w:b w:val="0"/>
          <w:bCs w:val="0"/>
          <w:smallCaps w:val="0"/>
          <w:noProof/>
          <w:lang w:eastAsia="ca-ES"/>
        </w:rPr>
      </w:pPr>
      <w:hyperlink w:anchor="_Toc465293381" w:history="1">
        <w:r w:rsidR="00752E4C" w:rsidRPr="00D0406E">
          <w:rPr>
            <w:rStyle w:val="Enlla"/>
            <w:noProof/>
          </w:rPr>
          <w:t>6.4</w:t>
        </w:r>
        <w:r w:rsidR="00752E4C">
          <w:rPr>
            <w:rFonts w:eastAsiaTheme="minorEastAsia"/>
            <w:b w:val="0"/>
            <w:bCs w:val="0"/>
            <w:smallCaps w:val="0"/>
            <w:noProof/>
            <w:lang w:eastAsia="ca-ES"/>
          </w:rPr>
          <w:tab/>
        </w:r>
        <w:r w:rsidR="00752E4C" w:rsidRPr="00D0406E">
          <w:rPr>
            <w:rStyle w:val="Enlla"/>
            <w:noProof/>
          </w:rPr>
          <w:t>La intervenció ambiental</w:t>
        </w:r>
        <w:r w:rsidR="00752E4C">
          <w:rPr>
            <w:noProof/>
            <w:webHidden/>
          </w:rPr>
          <w:tab/>
        </w:r>
        <w:r w:rsidR="00752E4C">
          <w:rPr>
            <w:noProof/>
            <w:webHidden/>
          </w:rPr>
          <w:fldChar w:fldCharType="begin"/>
        </w:r>
        <w:r w:rsidR="00752E4C">
          <w:rPr>
            <w:noProof/>
            <w:webHidden/>
          </w:rPr>
          <w:instrText xml:space="preserve"> PAGEREF _Toc465293381 \h </w:instrText>
        </w:r>
        <w:r w:rsidR="00752E4C">
          <w:rPr>
            <w:noProof/>
            <w:webHidden/>
          </w:rPr>
        </w:r>
        <w:r w:rsidR="00752E4C">
          <w:rPr>
            <w:noProof/>
            <w:webHidden/>
          </w:rPr>
          <w:fldChar w:fldCharType="separate"/>
        </w:r>
        <w:r w:rsidR="00752E4C">
          <w:rPr>
            <w:noProof/>
            <w:webHidden/>
          </w:rPr>
          <w:t>57</w:t>
        </w:r>
        <w:r w:rsidR="00752E4C">
          <w:rPr>
            <w:noProof/>
            <w:webHidden/>
          </w:rPr>
          <w:fldChar w:fldCharType="end"/>
        </w:r>
      </w:hyperlink>
    </w:p>
    <w:p w:rsidR="00752E4C" w:rsidRDefault="00DB496B">
      <w:pPr>
        <w:pStyle w:val="IDC3"/>
        <w:tabs>
          <w:tab w:val="left" w:pos="666"/>
          <w:tab w:val="right" w:pos="9061"/>
        </w:tabs>
        <w:rPr>
          <w:rFonts w:eastAsiaTheme="minorEastAsia"/>
          <w:smallCaps w:val="0"/>
          <w:noProof/>
          <w:lang w:eastAsia="ca-ES"/>
        </w:rPr>
      </w:pPr>
      <w:hyperlink w:anchor="_Toc465293382" w:history="1">
        <w:r w:rsidR="00752E4C" w:rsidRPr="00D0406E">
          <w:rPr>
            <w:rStyle w:val="Enlla"/>
            <w:noProof/>
          </w:rPr>
          <w:t>6.4.1</w:t>
        </w:r>
        <w:r w:rsidR="00752E4C">
          <w:rPr>
            <w:rFonts w:eastAsiaTheme="minorEastAsia"/>
            <w:smallCaps w:val="0"/>
            <w:noProof/>
            <w:lang w:eastAsia="ca-ES"/>
          </w:rPr>
          <w:tab/>
        </w:r>
        <w:r w:rsidR="00752E4C" w:rsidRPr="00D0406E">
          <w:rPr>
            <w:rStyle w:val="Enlla"/>
            <w:noProof/>
          </w:rPr>
          <w:t>La classificació interior comuna</w:t>
        </w:r>
        <w:r w:rsidR="00752E4C">
          <w:rPr>
            <w:noProof/>
            <w:webHidden/>
          </w:rPr>
          <w:tab/>
        </w:r>
        <w:r w:rsidR="00752E4C">
          <w:rPr>
            <w:noProof/>
            <w:webHidden/>
          </w:rPr>
          <w:fldChar w:fldCharType="begin"/>
        </w:r>
        <w:r w:rsidR="00752E4C">
          <w:rPr>
            <w:noProof/>
            <w:webHidden/>
          </w:rPr>
          <w:instrText xml:space="preserve"> PAGEREF _Toc465293382 \h </w:instrText>
        </w:r>
        <w:r w:rsidR="00752E4C">
          <w:rPr>
            <w:noProof/>
            <w:webHidden/>
          </w:rPr>
        </w:r>
        <w:r w:rsidR="00752E4C">
          <w:rPr>
            <w:noProof/>
            <w:webHidden/>
          </w:rPr>
          <w:fldChar w:fldCharType="separate"/>
        </w:r>
        <w:r w:rsidR="00752E4C">
          <w:rPr>
            <w:noProof/>
            <w:webHidden/>
          </w:rPr>
          <w:t>57</w:t>
        </w:r>
        <w:r w:rsidR="00752E4C">
          <w:rPr>
            <w:noProof/>
            <w:webHidden/>
          </w:rPr>
          <w:fldChar w:fldCharType="end"/>
        </w:r>
      </w:hyperlink>
    </w:p>
    <w:p w:rsidR="00752E4C" w:rsidRDefault="00DB496B">
      <w:pPr>
        <w:pStyle w:val="IDC3"/>
        <w:tabs>
          <w:tab w:val="left" w:pos="666"/>
          <w:tab w:val="right" w:pos="9061"/>
        </w:tabs>
        <w:rPr>
          <w:rFonts w:eastAsiaTheme="minorEastAsia"/>
          <w:smallCaps w:val="0"/>
          <w:noProof/>
          <w:lang w:eastAsia="ca-ES"/>
        </w:rPr>
      </w:pPr>
      <w:hyperlink w:anchor="_Toc465293383" w:history="1">
        <w:r w:rsidR="00752E4C" w:rsidRPr="00D0406E">
          <w:rPr>
            <w:rStyle w:val="Enlla"/>
            <w:noProof/>
          </w:rPr>
          <w:t>6.4.2</w:t>
        </w:r>
        <w:r w:rsidR="00752E4C">
          <w:rPr>
            <w:rFonts w:eastAsiaTheme="minorEastAsia"/>
            <w:smallCaps w:val="0"/>
            <w:noProof/>
            <w:lang w:eastAsia="ca-ES"/>
          </w:rPr>
          <w:tab/>
        </w:r>
        <w:r w:rsidR="00752E4C" w:rsidRPr="00D0406E">
          <w:rPr>
            <w:rStyle w:val="Enlla"/>
            <w:noProof/>
          </w:rPr>
          <w:t>Els equips multidisciplinaris (EMD)</w:t>
        </w:r>
        <w:r w:rsidR="00752E4C">
          <w:rPr>
            <w:noProof/>
            <w:webHidden/>
          </w:rPr>
          <w:tab/>
        </w:r>
        <w:r w:rsidR="00752E4C">
          <w:rPr>
            <w:noProof/>
            <w:webHidden/>
          </w:rPr>
          <w:fldChar w:fldCharType="begin"/>
        </w:r>
        <w:r w:rsidR="00752E4C">
          <w:rPr>
            <w:noProof/>
            <w:webHidden/>
          </w:rPr>
          <w:instrText xml:space="preserve"> PAGEREF _Toc465293383 \h </w:instrText>
        </w:r>
        <w:r w:rsidR="00752E4C">
          <w:rPr>
            <w:noProof/>
            <w:webHidden/>
          </w:rPr>
        </w:r>
        <w:r w:rsidR="00752E4C">
          <w:rPr>
            <w:noProof/>
            <w:webHidden/>
          </w:rPr>
          <w:fldChar w:fldCharType="separate"/>
        </w:r>
        <w:r w:rsidR="00752E4C">
          <w:rPr>
            <w:noProof/>
            <w:webHidden/>
          </w:rPr>
          <w:t>58</w:t>
        </w:r>
        <w:r w:rsidR="00752E4C">
          <w:rPr>
            <w:noProof/>
            <w:webHidden/>
          </w:rPr>
          <w:fldChar w:fldCharType="end"/>
        </w:r>
      </w:hyperlink>
    </w:p>
    <w:p w:rsidR="00752E4C" w:rsidRDefault="00DB496B">
      <w:pPr>
        <w:pStyle w:val="IDC3"/>
        <w:tabs>
          <w:tab w:val="left" w:pos="666"/>
          <w:tab w:val="right" w:pos="9061"/>
        </w:tabs>
        <w:rPr>
          <w:rFonts w:eastAsiaTheme="minorEastAsia"/>
          <w:smallCaps w:val="0"/>
          <w:noProof/>
          <w:lang w:eastAsia="ca-ES"/>
        </w:rPr>
      </w:pPr>
      <w:hyperlink w:anchor="_Toc465293384" w:history="1">
        <w:r w:rsidR="00752E4C" w:rsidRPr="00D0406E">
          <w:rPr>
            <w:rStyle w:val="Enlla"/>
            <w:noProof/>
          </w:rPr>
          <w:t>6.4.3</w:t>
        </w:r>
        <w:r w:rsidR="00752E4C">
          <w:rPr>
            <w:rFonts w:eastAsiaTheme="minorEastAsia"/>
            <w:smallCaps w:val="0"/>
            <w:noProof/>
            <w:lang w:eastAsia="ca-ES"/>
          </w:rPr>
          <w:tab/>
        </w:r>
        <w:r w:rsidR="00752E4C" w:rsidRPr="00D0406E">
          <w:rPr>
            <w:rStyle w:val="Enlla"/>
            <w:noProof/>
          </w:rPr>
          <w:t>El Programa marc d'orientació curricular (PMOC)</w:t>
        </w:r>
        <w:r w:rsidR="00752E4C">
          <w:rPr>
            <w:noProof/>
            <w:webHidden/>
          </w:rPr>
          <w:tab/>
        </w:r>
        <w:r w:rsidR="00752E4C">
          <w:rPr>
            <w:noProof/>
            <w:webHidden/>
          </w:rPr>
          <w:fldChar w:fldCharType="begin"/>
        </w:r>
        <w:r w:rsidR="00752E4C">
          <w:rPr>
            <w:noProof/>
            <w:webHidden/>
          </w:rPr>
          <w:instrText xml:space="preserve"> PAGEREF _Toc465293384 \h </w:instrText>
        </w:r>
        <w:r w:rsidR="00752E4C">
          <w:rPr>
            <w:noProof/>
            <w:webHidden/>
          </w:rPr>
        </w:r>
        <w:r w:rsidR="00752E4C">
          <w:rPr>
            <w:noProof/>
            <w:webHidden/>
          </w:rPr>
          <w:fldChar w:fldCharType="separate"/>
        </w:r>
        <w:r w:rsidR="00752E4C">
          <w:rPr>
            <w:noProof/>
            <w:webHidden/>
          </w:rPr>
          <w:t>59</w:t>
        </w:r>
        <w:r w:rsidR="00752E4C">
          <w:rPr>
            <w:noProof/>
            <w:webHidden/>
          </w:rPr>
          <w:fldChar w:fldCharType="end"/>
        </w:r>
      </w:hyperlink>
    </w:p>
    <w:p w:rsidR="00752E4C" w:rsidRDefault="00DB496B">
      <w:pPr>
        <w:pStyle w:val="IDC3"/>
        <w:tabs>
          <w:tab w:val="left" w:pos="666"/>
          <w:tab w:val="right" w:pos="9061"/>
        </w:tabs>
        <w:rPr>
          <w:rFonts w:eastAsiaTheme="minorEastAsia"/>
          <w:smallCaps w:val="0"/>
          <w:noProof/>
          <w:lang w:eastAsia="ca-ES"/>
        </w:rPr>
      </w:pPr>
      <w:hyperlink w:anchor="_Toc465293385" w:history="1">
        <w:r w:rsidR="00752E4C" w:rsidRPr="00D0406E">
          <w:rPr>
            <w:rStyle w:val="Enlla"/>
            <w:noProof/>
          </w:rPr>
          <w:t>6.4.4</w:t>
        </w:r>
        <w:r w:rsidR="00752E4C">
          <w:rPr>
            <w:rFonts w:eastAsiaTheme="minorEastAsia"/>
            <w:smallCaps w:val="0"/>
            <w:noProof/>
            <w:lang w:eastAsia="ca-ES"/>
          </w:rPr>
          <w:tab/>
        </w:r>
        <w:r w:rsidR="00752E4C" w:rsidRPr="00D0406E">
          <w:rPr>
            <w:rStyle w:val="Enlla"/>
            <w:noProof/>
          </w:rPr>
          <w:t>Els estàndards de rehabilitació</w:t>
        </w:r>
        <w:r w:rsidR="00752E4C">
          <w:rPr>
            <w:noProof/>
            <w:webHidden/>
          </w:rPr>
          <w:tab/>
        </w:r>
        <w:r w:rsidR="00752E4C">
          <w:rPr>
            <w:noProof/>
            <w:webHidden/>
          </w:rPr>
          <w:fldChar w:fldCharType="begin"/>
        </w:r>
        <w:r w:rsidR="00752E4C">
          <w:rPr>
            <w:noProof/>
            <w:webHidden/>
          </w:rPr>
          <w:instrText xml:space="preserve"> PAGEREF _Toc465293385 \h </w:instrText>
        </w:r>
        <w:r w:rsidR="00752E4C">
          <w:rPr>
            <w:noProof/>
            <w:webHidden/>
          </w:rPr>
        </w:r>
        <w:r w:rsidR="00752E4C">
          <w:rPr>
            <w:noProof/>
            <w:webHidden/>
          </w:rPr>
          <w:fldChar w:fldCharType="separate"/>
        </w:r>
        <w:r w:rsidR="00752E4C">
          <w:rPr>
            <w:noProof/>
            <w:webHidden/>
          </w:rPr>
          <w:t>60</w:t>
        </w:r>
        <w:r w:rsidR="00752E4C">
          <w:rPr>
            <w:noProof/>
            <w:webHidden/>
          </w:rPr>
          <w:fldChar w:fldCharType="end"/>
        </w:r>
      </w:hyperlink>
    </w:p>
    <w:p w:rsidR="00752E4C" w:rsidRDefault="00DB496B">
      <w:pPr>
        <w:pStyle w:val="IDC3"/>
        <w:tabs>
          <w:tab w:val="left" w:pos="666"/>
          <w:tab w:val="right" w:pos="9061"/>
        </w:tabs>
        <w:rPr>
          <w:rFonts w:eastAsiaTheme="minorEastAsia"/>
          <w:smallCaps w:val="0"/>
          <w:noProof/>
          <w:lang w:eastAsia="ca-ES"/>
        </w:rPr>
      </w:pPr>
      <w:hyperlink w:anchor="_Toc465293386" w:history="1">
        <w:r w:rsidR="00752E4C" w:rsidRPr="00D0406E">
          <w:rPr>
            <w:rStyle w:val="Enlla"/>
            <w:noProof/>
          </w:rPr>
          <w:t>6.4.5</w:t>
        </w:r>
        <w:r w:rsidR="00752E4C">
          <w:rPr>
            <w:rFonts w:eastAsiaTheme="minorEastAsia"/>
            <w:smallCaps w:val="0"/>
            <w:noProof/>
            <w:lang w:eastAsia="ca-ES"/>
          </w:rPr>
          <w:tab/>
        </w:r>
        <w:r w:rsidR="00752E4C" w:rsidRPr="00D0406E">
          <w:rPr>
            <w:rStyle w:val="Enlla"/>
            <w:noProof/>
          </w:rPr>
          <w:t>El model de participació i convivència</w:t>
        </w:r>
        <w:r w:rsidR="00752E4C">
          <w:rPr>
            <w:noProof/>
            <w:webHidden/>
          </w:rPr>
          <w:tab/>
        </w:r>
        <w:r w:rsidR="00752E4C">
          <w:rPr>
            <w:noProof/>
            <w:webHidden/>
          </w:rPr>
          <w:fldChar w:fldCharType="begin"/>
        </w:r>
        <w:r w:rsidR="00752E4C">
          <w:rPr>
            <w:noProof/>
            <w:webHidden/>
          </w:rPr>
          <w:instrText xml:space="preserve"> PAGEREF _Toc465293386 \h </w:instrText>
        </w:r>
        <w:r w:rsidR="00752E4C">
          <w:rPr>
            <w:noProof/>
            <w:webHidden/>
          </w:rPr>
        </w:r>
        <w:r w:rsidR="00752E4C">
          <w:rPr>
            <w:noProof/>
            <w:webHidden/>
          </w:rPr>
          <w:fldChar w:fldCharType="separate"/>
        </w:r>
        <w:r w:rsidR="00752E4C">
          <w:rPr>
            <w:noProof/>
            <w:webHidden/>
          </w:rPr>
          <w:t>61</w:t>
        </w:r>
        <w:r w:rsidR="00752E4C">
          <w:rPr>
            <w:noProof/>
            <w:webHidden/>
          </w:rPr>
          <w:fldChar w:fldCharType="end"/>
        </w:r>
      </w:hyperlink>
    </w:p>
    <w:p w:rsidR="00752E4C" w:rsidRDefault="00DB496B">
      <w:pPr>
        <w:pStyle w:val="IDC3"/>
        <w:tabs>
          <w:tab w:val="left" w:pos="666"/>
          <w:tab w:val="right" w:pos="9061"/>
        </w:tabs>
        <w:rPr>
          <w:rFonts w:eastAsiaTheme="minorEastAsia"/>
          <w:smallCaps w:val="0"/>
          <w:noProof/>
          <w:lang w:eastAsia="ca-ES"/>
        </w:rPr>
      </w:pPr>
      <w:hyperlink w:anchor="_Toc465293387" w:history="1">
        <w:r w:rsidR="00752E4C" w:rsidRPr="00D0406E">
          <w:rPr>
            <w:rStyle w:val="Enlla"/>
            <w:noProof/>
          </w:rPr>
          <w:t>6.4.6</w:t>
        </w:r>
        <w:r w:rsidR="00752E4C">
          <w:rPr>
            <w:rFonts w:eastAsiaTheme="minorEastAsia"/>
            <w:smallCaps w:val="0"/>
            <w:noProof/>
            <w:lang w:eastAsia="ca-ES"/>
          </w:rPr>
          <w:tab/>
        </w:r>
        <w:r w:rsidR="00752E4C" w:rsidRPr="00D0406E">
          <w:rPr>
            <w:rStyle w:val="Enlla"/>
            <w:noProof/>
          </w:rPr>
          <w:t>Educació no formal</w:t>
        </w:r>
        <w:r w:rsidR="00752E4C">
          <w:rPr>
            <w:noProof/>
            <w:webHidden/>
          </w:rPr>
          <w:tab/>
        </w:r>
        <w:r w:rsidR="00752E4C">
          <w:rPr>
            <w:noProof/>
            <w:webHidden/>
          </w:rPr>
          <w:fldChar w:fldCharType="begin"/>
        </w:r>
        <w:r w:rsidR="00752E4C">
          <w:rPr>
            <w:noProof/>
            <w:webHidden/>
          </w:rPr>
          <w:instrText xml:space="preserve"> PAGEREF _Toc465293387 \h </w:instrText>
        </w:r>
        <w:r w:rsidR="00752E4C">
          <w:rPr>
            <w:noProof/>
            <w:webHidden/>
          </w:rPr>
        </w:r>
        <w:r w:rsidR="00752E4C">
          <w:rPr>
            <w:noProof/>
            <w:webHidden/>
          </w:rPr>
          <w:fldChar w:fldCharType="separate"/>
        </w:r>
        <w:r w:rsidR="00752E4C">
          <w:rPr>
            <w:noProof/>
            <w:webHidden/>
          </w:rPr>
          <w:t>62</w:t>
        </w:r>
        <w:r w:rsidR="00752E4C">
          <w:rPr>
            <w:noProof/>
            <w:webHidden/>
          </w:rPr>
          <w:fldChar w:fldCharType="end"/>
        </w:r>
      </w:hyperlink>
    </w:p>
    <w:p w:rsidR="00752E4C" w:rsidRDefault="00DB496B">
      <w:pPr>
        <w:pStyle w:val="IDC3"/>
        <w:tabs>
          <w:tab w:val="left" w:pos="666"/>
          <w:tab w:val="right" w:pos="9061"/>
        </w:tabs>
        <w:rPr>
          <w:rFonts w:eastAsiaTheme="minorEastAsia"/>
          <w:smallCaps w:val="0"/>
          <w:noProof/>
          <w:lang w:eastAsia="ca-ES"/>
        </w:rPr>
      </w:pPr>
      <w:hyperlink w:anchor="_Toc465293388" w:history="1">
        <w:r w:rsidR="00752E4C" w:rsidRPr="00D0406E">
          <w:rPr>
            <w:rStyle w:val="Enlla"/>
            <w:noProof/>
          </w:rPr>
          <w:t>6.4.7</w:t>
        </w:r>
        <w:r w:rsidR="00752E4C">
          <w:rPr>
            <w:rFonts w:eastAsiaTheme="minorEastAsia"/>
            <w:smallCaps w:val="0"/>
            <w:noProof/>
            <w:lang w:eastAsia="ca-ES"/>
          </w:rPr>
          <w:tab/>
        </w:r>
        <w:r w:rsidR="00752E4C" w:rsidRPr="00D0406E">
          <w:rPr>
            <w:rStyle w:val="Enlla"/>
            <w:noProof/>
          </w:rPr>
          <w:t>Panorama actual i reptes</w:t>
        </w:r>
        <w:r w:rsidR="00752E4C">
          <w:rPr>
            <w:noProof/>
            <w:webHidden/>
          </w:rPr>
          <w:tab/>
        </w:r>
        <w:r w:rsidR="00752E4C">
          <w:rPr>
            <w:noProof/>
            <w:webHidden/>
          </w:rPr>
          <w:fldChar w:fldCharType="begin"/>
        </w:r>
        <w:r w:rsidR="00752E4C">
          <w:rPr>
            <w:noProof/>
            <w:webHidden/>
          </w:rPr>
          <w:instrText xml:space="preserve"> PAGEREF _Toc465293388 \h </w:instrText>
        </w:r>
        <w:r w:rsidR="00752E4C">
          <w:rPr>
            <w:noProof/>
            <w:webHidden/>
          </w:rPr>
        </w:r>
        <w:r w:rsidR="00752E4C">
          <w:rPr>
            <w:noProof/>
            <w:webHidden/>
          </w:rPr>
          <w:fldChar w:fldCharType="separate"/>
        </w:r>
        <w:r w:rsidR="00752E4C">
          <w:rPr>
            <w:noProof/>
            <w:webHidden/>
          </w:rPr>
          <w:t>64</w:t>
        </w:r>
        <w:r w:rsidR="00752E4C">
          <w:rPr>
            <w:noProof/>
            <w:webHidden/>
          </w:rPr>
          <w:fldChar w:fldCharType="end"/>
        </w:r>
      </w:hyperlink>
    </w:p>
    <w:p w:rsidR="00752E4C" w:rsidRDefault="00DB496B">
      <w:pPr>
        <w:pStyle w:val="IDC2"/>
        <w:tabs>
          <w:tab w:val="left" w:pos="502"/>
          <w:tab w:val="right" w:pos="9061"/>
        </w:tabs>
        <w:rPr>
          <w:rFonts w:eastAsiaTheme="minorEastAsia"/>
          <w:b w:val="0"/>
          <w:bCs w:val="0"/>
          <w:smallCaps w:val="0"/>
          <w:noProof/>
          <w:lang w:eastAsia="ca-ES"/>
        </w:rPr>
      </w:pPr>
      <w:hyperlink w:anchor="_Toc465293389" w:history="1">
        <w:r w:rsidR="00752E4C" w:rsidRPr="00D0406E">
          <w:rPr>
            <w:rStyle w:val="Enlla"/>
            <w:noProof/>
          </w:rPr>
          <w:t>6.5</w:t>
        </w:r>
        <w:r w:rsidR="00752E4C">
          <w:rPr>
            <w:rFonts w:eastAsiaTheme="minorEastAsia"/>
            <w:b w:val="0"/>
            <w:bCs w:val="0"/>
            <w:smallCaps w:val="0"/>
            <w:noProof/>
            <w:lang w:eastAsia="ca-ES"/>
          </w:rPr>
          <w:tab/>
        </w:r>
        <w:r w:rsidR="00752E4C" w:rsidRPr="00D0406E">
          <w:rPr>
            <w:rStyle w:val="Enlla"/>
            <w:noProof/>
          </w:rPr>
          <w:t>La reinserció: medi obert, llibertat condicional i prevenció de la reincidència</w:t>
        </w:r>
        <w:r w:rsidR="00752E4C">
          <w:rPr>
            <w:noProof/>
            <w:webHidden/>
          </w:rPr>
          <w:tab/>
        </w:r>
        <w:r w:rsidR="00752E4C">
          <w:rPr>
            <w:noProof/>
            <w:webHidden/>
          </w:rPr>
          <w:fldChar w:fldCharType="begin"/>
        </w:r>
        <w:r w:rsidR="00752E4C">
          <w:rPr>
            <w:noProof/>
            <w:webHidden/>
          </w:rPr>
          <w:instrText xml:space="preserve"> PAGEREF _Toc465293389 \h </w:instrText>
        </w:r>
        <w:r w:rsidR="00752E4C">
          <w:rPr>
            <w:noProof/>
            <w:webHidden/>
          </w:rPr>
        </w:r>
        <w:r w:rsidR="00752E4C">
          <w:rPr>
            <w:noProof/>
            <w:webHidden/>
          </w:rPr>
          <w:fldChar w:fldCharType="separate"/>
        </w:r>
        <w:r w:rsidR="00752E4C">
          <w:rPr>
            <w:noProof/>
            <w:webHidden/>
          </w:rPr>
          <w:t>65</w:t>
        </w:r>
        <w:r w:rsidR="00752E4C">
          <w:rPr>
            <w:noProof/>
            <w:webHidden/>
          </w:rPr>
          <w:fldChar w:fldCharType="end"/>
        </w:r>
      </w:hyperlink>
    </w:p>
    <w:p w:rsidR="00752E4C" w:rsidRDefault="00DB496B">
      <w:pPr>
        <w:pStyle w:val="IDC3"/>
        <w:tabs>
          <w:tab w:val="left" w:pos="666"/>
          <w:tab w:val="right" w:pos="9061"/>
        </w:tabs>
        <w:rPr>
          <w:rFonts w:eastAsiaTheme="minorEastAsia"/>
          <w:smallCaps w:val="0"/>
          <w:noProof/>
          <w:lang w:eastAsia="ca-ES"/>
        </w:rPr>
      </w:pPr>
      <w:hyperlink w:anchor="_Toc465293390" w:history="1">
        <w:r w:rsidR="00752E4C" w:rsidRPr="00D0406E">
          <w:rPr>
            <w:rStyle w:val="Enlla"/>
            <w:noProof/>
          </w:rPr>
          <w:t>6.5.1</w:t>
        </w:r>
        <w:r w:rsidR="00752E4C">
          <w:rPr>
            <w:rFonts w:eastAsiaTheme="minorEastAsia"/>
            <w:smallCaps w:val="0"/>
            <w:noProof/>
            <w:lang w:eastAsia="ca-ES"/>
          </w:rPr>
          <w:tab/>
        </w:r>
        <w:r w:rsidR="00752E4C" w:rsidRPr="00D0406E">
          <w:rPr>
            <w:rStyle w:val="Enlla"/>
            <w:noProof/>
          </w:rPr>
          <w:t>Les sortides programades</w:t>
        </w:r>
        <w:r w:rsidR="00752E4C">
          <w:rPr>
            <w:noProof/>
            <w:webHidden/>
          </w:rPr>
          <w:tab/>
        </w:r>
        <w:r w:rsidR="00752E4C">
          <w:rPr>
            <w:noProof/>
            <w:webHidden/>
          </w:rPr>
          <w:fldChar w:fldCharType="begin"/>
        </w:r>
        <w:r w:rsidR="00752E4C">
          <w:rPr>
            <w:noProof/>
            <w:webHidden/>
          </w:rPr>
          <w:instrText xml:space="preserve"> PAGEREF _Toc465293390 \h </w:instrText>
        </w:r>
        <w:r w:rsidR="00752E4C">
          <w:rPr>
            <w:noProof/>
            <w:webHidden/>
          </w:rPr>
        </w:r>
        <w:r w:rsidR="00752E4C">
          <w:rPr>
            <w:noProof/>
            <w:webHidden/>
          </w:rPr>
          <w:fldChar w:fldCharType="separate"/>
        </w:r>
        <w:r w:rsidR="00752E4C">
          <w:rPr>
            <w:noProof/>
            <w:webHidden/>
          </w:rPr>
          <w:t>66</w:t>
        </w:r>
        <w:r w:rsidR="00752E4C">
          <w:rPr>
            <w:noProof/>
            <w:webHidden/>
          </w:rPr>
          <w:fldChar w:fldCharType="end"/>
        </w:r>
      </w:hyperlink>
    </w:p>
    <w:p w:rsidR="00752E4C" w:rsidRDefault="00DB496B">
      <w:pPr>
        <w:pStyle w:val="IDC3"/>
        <w:tabs>
          <w:tab w:val="left" w:pos="666"/>
          <w:tab w:val="right" w:pos="9061"/>
        </w:tabs>
        <w:rPr>
          <w:rFonts w:eastAsiaTheme="minorEastAsia"/>
          <w:smallCaps w:val="0"/>
          <w:noProof/>
          <w:lang w:eastAsia="ca-ES"/>
        </w:rPr>
      </w:pPr>
      <w:hyperlink w:anchor="_Toc465293391" w:history="1">
        <w:r w:rsidR="00752E4C" w:rsidRPr="00D0406E">
          <w:rPr>
            <w:rStyle w:val="Enlla"/>
            <w:noProof/>
          </w:rPr>
          <w:t>6.5.2</w:t>
        </w:r>
        <w:r w:rsidR="00752E4C">
          <w:rPr>
            <w:rFonts w:eastAsiaTheme="minorEastAsia"/>
            <w:smallCaps w:val="0"/>
            <w:noProof/>
            <w:lang w:eastAsia="ca-ES"/>
          </w:rPr>
          <w:tab/>
        </w:r>
        <w:r w:rsidR="00752E4C" w:rsidRPr="00D0406E">
          <w:rPr>
            <w:rStyle w:val="Enlla"/>
            <w:noProof/>
          </w:rPr>
          <w:t>Els permisos de sortida</w:t>
        </w:r>
        <w:r w:rsidR="00752E4C">
          <w:rPr>
            <w:noProof/>
            <w:webHidden/>
          </w:rPr>
          <w:tab/>
        </w:r>
        <w:r w:rsidR="00752E4C">
          <w:rPr>
            <w:noProof/>
            <w:webHidden/>
          </w:rPr>
          <w:fldChar w:fldCharType="begin"/>
        </w:r>
        <w:r w:rsidR="00752E4C">
          <w:rPr>
            <w:noProof/>
            <w:webHidden/>
          </w:rPr>
          <w:instrText xml:space="preserve"> PAGEREF _Toc465293391 \h </w:instrText>
        </w:r>
        <w:r w:rsidR="00752E4C">
          <w:rPr>
            <w:noProof/>
            <w:webHidden/>
          </w:rPr>
        </w:r>
        <w:r w:rsidR="00752E4C">
          <w:rPr>
            <w:noProof/>
            <w:webHidden/>
          </w:rPr>
          <w:fldChar w:fldCharType="separate"/>
        </w:r>
        <w:r w:rsidR="00752E4C">
          <w:rPr>
            <w:noProof/>
            <w:webHidden/>
          </w:rPr>
          <w:t>66</w:t>
        </w:r>
        <w:r w:rsidR="00752E4C">
          <w:rPr>
            <w:noProof/>
            <w:webHidden/>
          </w:rPr>
          <w:fldChar w:fldCharType="end"/>
        </w:r>
      </w:hyperlink>
    </w:p>
    <w:p w:rsidR="00752E4C" w:rsidRDefault="00DB496B">
      <w:pPr>
        <w:pStyle w:val="IDC3"/>
        <w:tabs>
          <w:tab w:val="left" w:pos="666"/>
          <w:tab w:val="right" w:pos="9061"/>
        </w:tabs>
        <w:rPr>
          <w:rFonts w:eastAsiaTheme="minorEastAsia"/>
          <w:smallCaps w:val="0"/>
          <w:noProof/>
          <w:lang w:eastAsia="ca-ES"/>
        </w:rPr>
      </w:pPr>
      <w:hyperlink w:anchor="_Toc465293392" w:history="1">
        <w:r w:rsidR="00752E4C" w:rsidRPr="00D0406E">
          <w:rPr>
            <w:rStyle w:val="Enlla"/>
            <w:noProof/>
          </w:rPr>
          <w:t>6.5.3</w:t>
        </w:r>
        <w:r w:rsidR="00752E4C">
          <w:rPr>
            <w:rFonts w:eastAsiaTheme="minorEastAsia"/>
            <w:smallCaps w:val="0"/>
            <w:noProof/>
            <w:lang w:eastAsia="ca-ES"/>
          </w:rPr>
          <w:tab/>
        </w:r>
        <w:r w:rsidR="00752E4C" w:rsidRPr="00D0406E">
          <w:rPr>
            <w:rStyle w:val="Enlla"/>
            <w:noProof/>
          </w:rPr>
          <w:t>El medi obert</w:t>
        </w:r>
        <w:r w:rsidR="00752E4C">
          <w:rPr>
            <w:noProof/>
            <w:webHidden/>
          </w:rPr>
          <w:tab/>
        </w:r>
        <w:r w:rsidR="00752E4C">
          <w:rPr>
            <w:noProof/>
            <w:webHidden/>
          </w:rPr>
          <w:fldChar w:fldCharType="begin"/>
        </w:r>
        <w:r w:rsidR="00752E4C">
          <w:rPr>
            <w:noProof/>
            <w:webHidden/>
          </w:rPr>
          <w:instrText xml:space="preserve"> PAGEREF _Toc465293392 \h </w:instrText>
        </w:r>
        <w:r w:rsidR="00752E4C">
          <w:rPr>
            <w:noProof/>
            <w:webHidden/>
          </w:rPr>
        </w:r>
        <w:r w:rsidR="00752E4C">
          <w:rPr>
            <w:noProof/>
            <w:webHidden/>
          </w:rPr>
          <w:fldChar w:fldCharType="separate"/>
        </w:r>
        <w:r w:rsidR="00752E4C">
          <w:rPr>
            <w:noProof/>
            <w:webHidden/>
          </w:rPr>
          <w:t>66</w:t>
        </w:r>
        <w:r w:rsidR="00752E4C">
          <w:rPr>
            <w:noProof/>
            <w:webHidden/>
          </w:rPr>
          <w:fldChar w:fldCharType="end"/>
        </w:r>
      </w:hyperlink>
    </w:p>
    <w:p w:rsidR="00752E4C" w:rsidRDefault="00DB496B">
      <w:pPr>
        <w:pStyle w:val="IDC3"/>
        <w:tabs>
          <w:tab w:val="left" w:pos="666"/>
          <w:tab w:val="right" w:pos="9061"/>
        </w:tabs>
        <w:rPr>
          <w:rFonts w:eastAsiaTheme="minorEastAsia"/>
          <w:smallCaps w:val="0"/>
          <w:noProof/>
          <w:lang w:eastAsia="ca-ES"/>
        </w:rPr>
      </w:pPr>
      <w:hyperlink w:anchor="_Toc465293393" w:history="1">
        <w:r w:rsidR="00752E4C" w:rsidRPr="00D0406E">
          <w:rPr>
            <w:rStyle w:val="Enlla"/>
            <w:noProof/>
          </w:rPr>
          <w:t>6.5.4</w:t>
        </w:r>
        <w:r w:rsidR="00752E4C">
          <w:rPr>
            <w:rFonts w:eastAsiaTheme="minorEastAsia"/>
            <w:smallCaps w:val="0"/>
            <w:noProof/>
            <w:lang w:eastAsia="ca-ES"/>
          </w:rPr>
          <w:tab/>
        </w:r>
        <w:r w:rsidR="00752E4C" w:rsidRPr="00D0406E">
          <w:rPr>
            <w:rStyle w:val="Enlla"/>
            <w:noProof/>
          </w:rPr>
          <w:t>La llibertat condicional</w:t>
        </w:r>
        <w:r w:rsidR="00752E4C">
          <w:rPr>
            <w:noProof/>
            <w:webHidden/>
          </w:rPr>
          <w:tab/>
        </w:r>
        <w:r w:rsidR="00752E4C">
          <w:rPr>
            <w:noProof/>
            <w:webHidden/>
          </w:rPr>
          <w:fldChar w:fldCharType="begin"/>
        </w:r>
        <w:r w:rsidR="00752E4C">
          <w:rPr>
            <w:noProof/>
            <w:webHidden/>
          </w:rPr>
          <w:instrText xml:space="preserve"> PAGEREF _Toc465293393 \h </w:instrText>
        </w:r>
        <w:r w:rsidR="00752E4C">
          <w:rPr>
            <w:noProof/>
            <w:webHidden/>
          </w:rPr>
        </w:r>
        <w:r w:rsidR="00752E4C">
          <w:rPr>
            <w:noProof/>
            <w:webHidden/>
          </w:rPr>
          <w:fldChar w:fldCharType="separate"/>
        </w:r>
        <w:r w:rsidR="00752E4C">
          <w:rPr>
            <w:noProof/>
            <w:webHidden/>
          </w:rPr>
          <w:t>67</w:t>
        </w:r>
        <w:r w:rsidR="00752E4C">
          <w:rPr>
            <w:noProof/>
            <w:webHidden/>
          </w:rPr>
          <w:fldChar w:fldCharType="end"/>
        </w:r>
      </w:hyperlink>
    </w:p>
    <w:p w:rsidR="00752E4C" w:rsidRDefault="00DB496B">
      <w:pPr>
        <w:pStyle w:val="IDC3"/>
        <w:tabs>
          <w:tab w:val="left" w:pos="666"/>
          <w:tab w:val="right" w:pos="9061"/>
        </w:tabs>
        <w:rPr>
          <w:rFonts w:eastAsiaTheme="minorEastAsia"/>
          <w:smallCaps w:val="0"/>
          <w:noProof/>
          <w:lang w:eastAsia="ca-ES"/>
        </w:rPr>
      </w:pPr>
      <w:hyperlink w:anchor="_Toc465293394" w:history="1">
        <w:r w:rsidR="00752E4C" w:rsidRPr="00D0406E">
          <w:rPr>
            <w:rStyle w:val="Enlla"/>
            <w:noProof/>
          </w:rPr>
          <w:t>6.5.5</w:t>
        </w:r>
        <w:r w:rsidR="00752E4C">
          <w:rPr>
            <w:rFonts w:eastAsiaTheme="minorEastAsia"/>
            <w:smallCaps w:val="0"/>
            <w:noProof/>
            <w:lang w:eastAsia="ca-ES"/>
          </w:rPr>
          <w:tab/>
        </w:r>
        <w:r w:rsidR="00752E4C" w:rsidRPr="00D0406E">
          <w:rPr>
            <w:rStyle w:val="Enlla"/>
            <w:noProof/>
          </w:rPr>
          <w:t>Els serveis socials penitenciaris</w:t>
        </w:r>
        <w:r w:rsidR="00752E4C">
          <w:rPr>
            <w:noProof/>
            <w:webHidden/>
          </w:rPr>
          <w:tab/>
        </w:r>
        <w:r w:rsidR="00752E4C">
          <w:rPr>
            <w:noProof/>
            <w:webHidden/>
          </w:rPr>
          <w:fldChar w:fldCharType="begin"/>
        </w:r>
        <w:r w:rsidR="00752E4C">
          <w:rPr>
            <w:noProof/>
            <w:webHidden/>
          </w:rPr>
          <w:instrText xml:space="preserve"> PAGEREF _Toc465293394 \h </w:instrText>
        </w:r>
        <w:r w:rsidR="00752E4C">
          <w:rPr>
            <w:noProof/>
            <w:webHidden/>
          </w:rPr>
        </w:r>
        <w:r w:rsidR="00752E4C">
          <w:rPr>
            <w:noProof/>
            <w:webHidden/>
          </w:rPr>
          <w:fldChar w:fldCharType="separate"/>
        </w:r>
        <w:r w:rsidR="00752E4C">
          <w:rPr>
            <w:noProof/>
            <w:webHidden/>
          </w:rPr>
          <w:t>68</w:t>
        </w:r>
        <w:r w:rsidR="00752E4C">
          <w:rPr>
            <w:noProof/>
            <w:webHidden/>
          </w:rPr>
          <w:fldChar w:fldCharType="end"/>
        </w:r>
      </w:hyperlink>
    </w:p>
    <w:p w:rsidR="00752E4C" w:rsidRDefault="00DB496B">
      <w:pPr>
        <w:pStyle w:val="IDC3"/>
        <w:tabs>
          <w:tab w:val="left" w:pos="666"/>
          <w:tab w:val="right" w:pos="9061"/>
        </w:tabs>
        <w:rPr>
          <w:rFonts w:eastAsiaTheme="minorEastAsia"/>
          <w:smallCaps w:val="0"/>
          <w:noProof/>
          <w:lang w:eastAsia="ca-ES"/>
        </w:rPr>
      </w:pPr>
      <w:hyperlink w:anchor="_Toc465293395" w:history="1">
        <w:r w:rsidR="00752E4C" w:rsidRPr="00D0406E">
          <w:rPr>
            <w:rStyle w:val="Enlla"/>
            <w:noProof/>
          </w:rPr>
          <w:t>6.5.6</w:t>
        </w:r>
        <w:r w:rsidR="00752E4C">
          <w:rPr>
            <w:rFonts w:eastAsiaTheme="minorEastAsia"/>
            <w:smallCaps w:val="0"/>
            <w:noProof/>
            <w:lang w:eastAsia="ca-ES"/>
          </w:rPr>
          <w:tab/>
        </w:r>
        <w:r w:rsidR="00752E4C" w:rsidRPr="00D0406E">
          <w:rPr>
            <w:rStyle w:val="Enlla"/>
            <w:noProof/>
          </w:rPr>
          <w:t>Els programes comunitaris de suport a la reinserció</w:t>
        </w:r>
        <w:r w:rsidR="00752E4C">
          <w:rPr>
            <w:noProof/>
            <w:webHidden/>
          </w:rPr>
          <w:tab/>
        </w:r>
        <w:r w:rsidR="00752E4C">
          <w:rPr>
            <w:noProof/>
            <w:webHidden/>
          </w:rPr>
          <w:fldChar w:fldCharType="begin"/>
        </w:r>
        <w:r w:rsidR="00752E4C">
          <w:rPr>
            <w:noProof/>
            <w:webHidden/>
          </w:rPr>
          <w:instrText xml:space="preserve"> PAGEREF _Toc465293395 \h </w:instrText>
        </w:r>
        <w:r w:rsidR="00752E4C">
          <w:rPr>
            <w:noProof/>
            <w:webHidden/>
          </w:rPr>
        </w:r>
        <w:r w:rsidR="00752E4C">
          <w:rPr>
            <w:noProof/>
            <w:webHidden/>
          </w:rPr>
          <w:fldChar w:fldCharType="separate"/>
        </w:r>
        <w:r w:rsidR="00752E4C">
          <w:rPr>
            <w:noProof/>
            <w:webHidden/>
          </w:rPr>
          <w:t>69</w:t>
        </w:r>
        <w:r w:rsidR="00752E4C">
          <w:rPr>
            <w:noProof/>
            <w:webHidden/>
          </w:rPr>
          <w:fldChar w:fldCharType="end"/>
        </w:r>
      </w:hyperlink>
    </w:p>
    <w:p w:rsidR="00752E4C" w:rsidRDefault="00DB496B">
      <w:pPr>
        <w:pStyle w:val="IDC3"/>
        <w:tabs>
          <w:tab w:val="left" w:pos="666"/>
          <w:tab w:val="right" w:pos="9061"/>
        </w:tabs>
        <w:rPr>
          <w:rFonts w:eastAsiaTheme="minorEastAsia"/>
          <w:smallCaps w:val="0"/>
          <w:noProof/>
          <w:lang w:eastAsia="ca-ES"/>
        </w:rPr>
      </w:pPr>
      <w:hyperlink w:anchor="_Toc465293396" w:history="1">
        <w:r w:rsidR="00752E4C" w:rsidRPr="00D0406E">
          <w:rPr>
            <w:rStyle w:val="Enlla"/>
            <w:noProof/>
          </w:rPr>
          <w:t>6.5.7</w:t>
        </w:r>
        <w:r w:rsidR="00752E4C">
          <w:rPr>
            <w:rFonts w:eastAsiaTheme="minorEastAsia"/>
            <w:smallCaps w:val="0"/>
            <w:noProof/>
            <w:lang w:eastAsia="ca-ES"/>
          </w:rPr>
          <w:tab/>
        </w:r>
        <w:r w:rsidR="00752E4C" w:rsidRPr="00D0406E">
          <w:rPr>
            <w:rStyle w:val="Enlla"/>
            <w:noProof/>
          </w:rPr>
          <w:t>La prevenció de la reincidència</w:t>
        </w:r>
        <w:r w:rsidR="00752E4C">
          <w:rPr>
            <w:noProof/>
            <w:webHidden/>
          </w:rPr>
          <w:tab/>
        </w:r>
        <w:r w:rsidR="00752E4C">
          <w:rPr>
            <w:noProof/>
            <w:webHidden/>
          </w:rPr>
          <w:fldChar w:fldCharType="begin"/>
        </w:r>
        <w:r w:rsidR="00752E4C">
          <w:rPr>
            <w:noProof/>
            <w:webHidden/>
          </w:rPr>
          <w:instrText xml:space="preserve"> PAGEREF _Toc465293396 \h </w:instrText>
        </w:r>
        <w:r w:rsidR="00752E4C">
          <w:rPr>
            <w:noProof/>
            <w:webHidden/>
          </w:rPr>
        </w:r>
        <w:r w:rsidR="00752E4C">
          <w:rPr>
            <w:noProof/>
            <w:webHidden/>
          </w:rPr>
          <w:fldChar w:fldCharType="separate"/>
        </w:r>
        <w:r w:rsidR="00752E4C">
          <w:rPr>
            <w:noProof/>
            <w:webHidden/>
          </w:rPr>
          <w:t>70</w:t>
        </w:r>
        <w:r w:rsidR="00752E4C">
          <w:rPr>
            <w:noProof/>
            <w:webHidden/>
          </w:rPr>
          <w:fldChar w:fldCharType="end"/>
        </w:r>
      </w:hyperlink>
    </w:p>
    <w:p w:rsidR="00752E4C" w:rsidRDefault="00DB496B">
      <w:pPr>
        <w:pStyle w:val="IDC3"/>
        <w:tabs>
          <w:tab w:val="left" w:pos="666"/>
          <w:tab w:val="right" w:pos="9061"/>
        </w:tabs>
        <w:rPr>
          <w:rFonts w:eastAsiaTheme="minorEastAsia"/>
          <w:smallCaps w:val="0"/>
          <w:noProof/>
          <w:lang w:eastAsia="ca-ES"/>
        </w:rPr>
      </w:pPr>
      <w:hyperlink w:anchor="_Toc465293397" w:history="1">
        <w:r w:rsidR="00752E4C" w:rsidRPr="00D0406E">
          <w:rPr>
            <w:rStyle w:val="Enlla"/>
            <w:noProof/>
          </w:rPr>
          <w:t>6.5.8</w:t>
        </w:r>
        <w:r w:rsidR="00752E4C">
          <w:rPr>
            <w:rFonts w:eastAsiaTheme="minorEastAsia"/>
            <w:smallCaps w:val="0"/>
            <w:noProof/>
            <w:lang w:eastAsia="ca-ES"/>
          </w:rPr>
          <w:tab/>
        </w:r>
        <w:r w:rsidR="00752E4C" w:rsidRPr="00D0406E">
          <w:rPr>
            <w:rStyle w:val="Enlla"/>
            <w:noProof/>
          </w:rPr>
          <w:t>Panorama actual i reptes</w:t>
        </w:r>
        <w:r w:rsidR="00752E4C">
          <w:rPr>
            <w:noProof/>
            <w:webHidden/>
          </w:rPr>
          <w:tab/>
        </w:r>
        <w:r w:rsidR="00752E4C">
          <w:rPr>
            <w:noProof/>
            <w:webHidden/>
          </w:rPr>
          <w:fldChar w:fldCharType="begin"/>
        </w:r>
        <w:r w:rsidR="00752E4C">
          <w:rPr>
            <w:noProof/>
            <w:webHidden/>
          </w:rPr>
          <w:instrText xml:space="preserve"> PAGEREF _Toc465293397 \h </w:instrText>
        </w:r>
        <w:r w:rsidR="00752E4C">
          <w:rPr>
            <w:noProof/>
            <w:webHidden/>
          </w:rPr>
        </w:r>
        <w:r w:rsidR="00752E4C">
          <w:rPr>
            <w:noProof/>
            <w:webHidden/>
          </w:rPr>
          <w:fldChar w:fldCharType="separate"/>
        </w:r>
        <w:r w:rsidR="00752E4C">
          <w:rPr>
            <w:noProof/>
            <w:webHidden/>
          </w:rPr>
          <w:t>71</w:t>
        </w:r>
        <w:r w:rsidR="00752E4C">
          <w:rPr>
            <w:noProof/>
            <w:webHidden/>
          </w:rPr>
          <w:fldChar w:fldCharType="end"/>
        </w:r>
      </w:hyperlink>
    </w:p>
    <w:p w:rsidR="00752E4C" w:rsidRDefault="00DB496B">
      <w:pPr>
        <w:pStyle w:val="IDC2"/>
        <w:tabs>
          <w:tab w:val="left" w:pos="502"/>
          <w:tab w:val="right" w:pos="9061"/>
        </w:tabs>
        <w:rPr>
          <w:rFonts w:eastAsiaTheme="minorEastAsia"/>
          <w:b w:val="0"/>
          <w:bCs w:val="0"/>
          <w:smallCaps w:val="0"/>
          <w:noProof/>
          <w:lang w:eastAsia="ca-ES"/>
        </w:rPr>
      </w:pPr>
      <w:hyperlink w:anchor="_Toc465293398" w:history="1">
        <w:r w:rsidR="00752E4C" w:rsidRPr="00D0406E">
          <w:rPr>
            <w:rStyle w:val="Enlla"/>
            <w:noProof/>
          </w:rPr>
          <w:t>6.6</w:t>
        </w:r>
        <w:r w:rsidR="00752E4C">
          <w:rPr>
            <w:rFonts w:eastAsiaTheme="minorEastAsia"/>
            <w:b w:val="0"/>
            <w:bCs w:val="0"/>
            <w:smallCaps w:val="0"/>
            <w:noProof/>
            <w:lang w:eastAsia="ca-ES"/>
          </w:rPr>
          <w:tab/>
        </w:r>
        <w:r w:rsidR="00752E4C" w:rsidRPr="00D0406E">
          <w:rPr>
            <w:rStyle w:val="Enlla"/>
            <w:noProof/>
          </w:rPr>
          <w:t>Els col·lectius d’especial atenció</w:t>
        </w:r>
        <w:r w:rsidR="00752E4C">
          <w:rPr>
            <w:noProof/>
            <w:webHidden/>
          </w:rPr>
          <w:tab/>
        </w:r>
        <w:r w:rsidR="00752E4C">
          <w:rPr>
            <w:noProof/>
            <w:webHidden/>
          </w:rPr>
          <w:fldChar w:fldCharType="begin"/>
        </w:r>
        <w:r w:rsidR="00752E4C">
          <w:rPr>
            <w:noProof/>
            <w:webHidden/>
          </w:rPr>
          <w:instrText xml:space="preserve"> PAGEREF _Toc465293398 \h </w:instrText>
        </w:r>
        <w:r w:rsidR="00752E4C">
          <w:rPr>
            <w:noProof/>
            <w:webHidden/>
          </w:rPr>
        </w:r>
        <w:r w:rsidR="00752E4C">
          <w:rPr>
            <w:noProof/>
            <w:webHidden/>
          </w:rPr>
          <w:fldChar w:fldCharType="separate"/>
        </w:r>
        <w:r w:rsidR="00752E4C">
          <w:rPr>
            <w:noProof/>
            <w:webHidden/>
          </w:rPr>
          <w:t>72</w:t>
        </w:r>
        <w:r w:rsidR="00752E4C">
          <w:rPr>
            <w:noProof/>
            <w:webHidden/>
          </w:rPr>
          <w:fldChar w:fldCharType="end"/>
        </w:r>
      </w:hyperlink>
    </w:p>
    <w:p w:rsidR="00752E4C" w:rsidRDefault="00DB496B">
      <w:pPr>
        <w:pStyle w:val="IDC3"/>
        <w:tabs>
          <w:tab w:val="left" w:pos="666"/>
          <w:tab w:val="right" w:pos="9061"/>
        </w:tabs>
        <w:rPr>
          <w:rFonts w:eastAsiaTheme="minorEastAsia"/>
          <w:smallCaps w:val="0"/>
          <w:noProof/>
          <w:lang w:eastAsia="ca-ES"/>
        </w:rPr>
      </w:pPr>
      <w:hyperlink w:anchor="_Toc465293399" w:history="1">
        <w:r w:rsidR="00752E4C" w:rsidRPr="00D0406E">
          <w:rPr>
            <w:rStyle w:val="Enlla"/>
            <w:noProof/>
          </w:rPr>
          <w:t>6.6.1</w:t>
        </w:r>
        <w:r w:rsidR="00752E4C">
          <w:rPr>
            <w:rFonts w:eastAsiaTheme="minorEastAsia"/>
            <w:smallCaps w:val="0"/>
            <w:noProof/>
            <w:lang w:eastAsia="ca-ES"/>
          </w:rPr>
          <w:tab/>
        </w:r>
        <w:r w:rsidR="00752E4C" w:rsidRPr="00D0406E">
          <w:rPr>
            <w:rStyle w:val="Enlla"/>
            <w:noProof/>
          </w:rPr>
          <w:t>Població immigrada</w:t>
        </w:r>
        <w:r w:rsidR="00752E4C">
          <w:rPr>
            <w:noProof/>
            <w:webHidden/>
          </w:rPr>
          <w:tab/>
        </w:r>
        <w:r w:rsidR="00752E4C">
          <w:rPr>
            <w:noProof/>
            <w:webHidden/>
          </w:rPr>
          <w:fldChar w:fldCharType="begin"/>
        </w:r>
        <w:r w:rsidR="00752E4C">
          <w:rPr>
            <w:noProof/>
            <w:webHidden/>
          </w:rPr>
          <w:instrText xml:space="preserve"> PAGEREF _Toc465293399 \h </w:instrText>
        </w:r>
        <w:r w:rsidR="00752E4C">
          <w:rPr>
            <w:noProof/>
            <w:webHidden/>
          </w:rPr>
        </w:r>
        <w:r w:rsidR="00752E4C">
          <w:rPr>
            <w:noProof/>
            <w:webHidden/>
          </w:rPr>
          <w:fldChar w:fldCharType="separate"/>
        </w:r>
        <w:r w:rsidR="00752E4C">
          <w:rPr>
            <w:noProof/>
            <w:webHidden/>
          </w:rPr>
          <w:t>72</w:t>
        </w:r>
        <w:r w:rsidR="00752E4C">
          <w:rPr>
            <w:noProof/>
            <w:webHidden/>
          </w:rPr>
          <w:fldChar w:fldCharType="end"/>
        </w:r>
      </w:hyperlink>
    </w:p>
    <w:p w:rsidR="00752E4C" w:rsidRDefault="00DB496B">
      <w:pPr>
        <w:pStyle w:val="IDC3"/>
        <w:tabs>
          <w:tab w:val="left" w:pos="666"/>
          <w:tab w:val="right" w:pos="9061"/>
        </w:tabs>
        <w:rPr>
          <w:rFonts w:eastAsiaTheme="minorEastAsia"/>
          <w:smallCaps w:val="0"/>
          <w:noProof/>
          <w:lang w:eastAsia="ca-ES"/>
        </w:rPr>
      </w:pPr>
      <w:hyperlink w:anchor="_Toc465293400" w:history="1">
        <w:r w:rsidR="00752E4C" w:rsidRPr="00D0406E">
          <w:rPr>
            <w:rStyle w:val="Enlla"/>
            <w:noProof/>
          </w:rPr>
          <w:t>6.6.2</w:t>
        </w:r>
        <w:r w:rsidR="00752E4C">
          <w:rPr>
            <w:rFonts w:eastAsiaTheme="minorEastAsia"/>
            <w:smallCaps w:val="0"/>
            <w:noProof/>
            <w:lang w:eastAsia="ca-ES"/>
          </w:rPr>
          <w:tab/>
        </w:r>
        <w:r w:rsidR="00752E4C" w:rsidRPr="00D0406E">
          <w:rPr>
            <w:rStyle w:val="Enlla"/>
            <w:noProof/>
          </w:rPr>
          <w:t>Col·lectiu de dones</w:t>
        </w:r>
        <w:r w:rsidR="00752E4C">
          <w:rPr>
            <w:noProof/>
            <w:webHidden/>
          </w:rPr>
          <w:tab/>
        </w:r>
        <w:r w:rsidR="00752E4C">
          <w:rPr>
            <w:noProof/>
            <w:webHidden/>
          </w:rPr>
          <w:fldChar w:fldCharType="begin"/>
        </w:r>
        <w:r w:rsidR="00752E4C">
          <w:rPr>
            <w:noProof/>
            <w:webHidden/>
          </w:rPr>
          <w:instrText xml:space="preserve"> PAGEREF _Toc465293400 \h </w:instrText>
        </w:r>
        <w:r w:rsidR="00752E4C">
          <w:rPr>
            <w:noProof/>
            <w:webHidden/>
          </w:rPr>
        </w:r>
        <w:r w:rsidR="00752E4C">
          <w:rPr>
            <w:noProof/>
            <w:webHidden/>
          </w:rPr>
          <w:fldChar w:fldCharType="separate"/>
        </w:r>
        <w:r w:rsidR="00752E4C">
          <w:rPr>
            <w:noProof/>
            <w:webHidden/>
          </w:rPr>
          <w:t>76</w:t>
        </w:r>
        <w:r w:rsidR="00752E4C">
          <w:rPr>
            <w:noProof/>
            <w:webHidden/>
          </w:rPr>
          <w:fldChar w:fldCharType="end"/>
        </w:r>
      </w:hyperlink>
    </w:p>
    <w:p w:rsidR="00752E4C" w:rsidRDefault="00DB496B">
      <w:pPr>
        <w:pStyle w:val="IDC3"/>
        <w:tabs>
          <w:tab w:val="left" w:pos="666"/>
          <w:tab w:val="right" w:pos="9061"/>
        </w:tabs>
        <w:rPr>
          <w:rFonts w:eastAsiaTheme="minorEastAsia"/>
          <w:smallCaps w:val="0"/>
          <w:noProof/>
          <w:lang w:eastAsia="ca-ES"/>
        </w:rPr>
      </w:pPr>
      <w:hyperlink w:anchor="_Toc465293401" w:history="1">
        <w:r w:rsidR="00752E4C" w:rsidRPr="00D0406E">
          <w:rPr>
            <w:rStyle w:val="Enlla"/>
            <w:noProof/>
          </w:rPr>
          <w:t>6.6.3</w:t>
        </w:r>
        <w:r w:rsidR="00752E4C">
          <w:rPr>
            <w:rFonts w:eastAsiaTheme="minorEastAsia"/>
            <w:smallCaps w:val="0"/>
            <w:noProof/>
            <w:lang w:eastAsia="ca-ES"/>
          </w:rPr>
          <w:tab/>
        </w:r>
        <w:r w:rsidR="00752E4C" w:rsidRPr="00D0406E">
          <w:rPr>
            <w:rStyle w:val="Enlla"/>
            <w:noProof/>
          </w:rPr>
          <w:t>Els joves</w:t>
        </w:r>
        <w:r w:rsidR="00752E4C">
          <w:rPr>
            <w:noProof/>
            <w:webHidden/>
          </w:rPr>
          <w:tab/>
        </w:r>
        <w:r w:rsidR="00752E4C">
          <w:rPr>
            <w:noProof/>
            <w:webHidden/>
          </w:rPr>
          <w:fldChar w:fldCharType="begin"/>
        </w:r>
        <w:r w:rsidR="00752E4C">
          <w:rPr>
            <w:noProof/>
            <w:webHidden/>
          </w:rPr>
          <w:instrText xml:space="preserve"> PAGEREF _Toc465293401 \h </w:instrText>
        </w:r>
        <w:r w:rsidR="00752E4C">
          <w:rPr>
            <w:noProof/>
            <w:webHidden/>
          </w:rPr>
        </w:r>
        <w:r w:rsidR="00752E4C">
          <w:rPr>
            <w:noProof/>
            <w:webHidden/>
          </w:rPr>
          <w:fldChar w:fldCharType="separate"/>
        </w:r>
        <w:r w:rsidR="00752E4C">
          <w:rPr>
            <w:noProof/>
            <w:webHidden/>
          </w:rPr>
          <w:t>78</w:t>
        </w:r>
        <w:r w:rsidR="00752E4C">
          <w:rPr>
            <w:noProof/>
            <w:webHidden/>
          </w:rPr>
          <w:fldChar w:fldCharType="end"/>
        </w:r>
      </w:hyperlink>
    </w:p>
    <w:p w:rsidR="00752E4C" w:rsidRDefault="00DB496B">
      <w:pPr>
        <w:pStyle w:val="IDC3"/>
        <w:tabs>
          <w:tab w:val="left" w:pos="666"/>
          <w:tab w:val="right" w:pos="9061"/>
        </w:tabs>
        <w:rPr>
          <w:rFonts w:eastAsiaTheme="minorEastAsia"/>
          <w:smallCaps w:val="0"/>
          <w:noProof/>
          <w:lang w:eastAsia="ca-ES"/>
        </w:rPr>
      </w:pPr>
      <w:hyperlink w:anchor="_Toc465293402" w:history="1">
        <w:r w:rsidR="00752E4C" w:rsidRPr="00D0406E">
          <w:rPr>
            <w:rStyle w:val="Enlla"/>
            <w:noProof/>
          </w:rPr>
          <w:t>6.6.4</w:t>
        </w:r>
        <w:r w:rsidR="00752E4C">
          <w:rPr>
            <w:rFonts w:eastAsiaTheme="minorEastAsia"/>
            <w:smallCaps w:val="0"/>
            <w:noProof/>
            <w:lang w:eastAsia="ca-ES"/>
          </w:rPr>
          <w:tab/>
        </w:r>
        <w:r w:rsidR="00752E4C" w:rsidRPr="00D0406E">
          <w:rPr>
            <w:rStyle w:val="Enlla"/>
            <w:noProof/>
          </w:rPr>
          <w:t>Discapacitats intel·lectuals i del desenvolupament</w:t>
        </w:r>
        <w:r w:rsidR="00752E4C">
          <w:rPr>
            <w:noProof/>
            <w:webHidden/>
          </w:rPr>
          <w:tab/>
        </w:r>
        <w:r w:rsidR="00752E4C">
          <w:rPr>
            <w:noProof/>
            <w:webHidden/>
          </w:rPr>
          <w:fldChar w:fldCharType="begin"/>
        </w:r>
        <w:r w:rsidR="00752E4C">
          <w:rPr>
            <w:noProof/>
            <w:webHidden/>
          </w:rPr>
          <w:instrText xml:space="preserve"> PAGEREF _Toc465293402 \h </w:instrText>
        </w:r>
        <w:r w:rsidR="00752E4C">
          <w:rPr>
            <w:noProof/>
            <w:webHidden/>
          </w:rPr>
        </w:r>
        <w:r w:rsidR="00752E4C">
          <w:rPr>
            <w:noProof/>
            <w:webHidden/>
          </w:rPr>
          <w:fldChar w:fldCharType="separate"/>
        </w:r>
        <w:r w:rsidR="00752E4C">
          <w:rPr>
            <w:noProof/>
            <w:webHidden/>
          </w:rPr>
          <w:t>81</w:t>
        </w:r>
        <w:r w:rsidR="00752E4C">
          <w:rPr>
            <w:noProof/>
            <w:webHidden/>
          </w:rPr>
          <w:fldChar w:fldCharType="end"/>
        </w:r>
      </w:hyperlink>
    </w:p>
    <w:p w:rsidR="00752E4C" w:rsidRDefault="00DB496B">
      <w:pPr>
        <w:pStyle w:val="IDC3"/>
        <w:tabs>
          <w:tab w:val="left" w:pos="666"/>
          <w:tab w:val="right" w:pos="9061"/>
        </w:tabs>
        <w:rPr>
          <w:rFonts w:eastAsiaTheme="minorEastAsia"/>
          <w:smallCaps w:val="0"/>
          <w:noProof/>
          <w:lang w:eastAsia="ca-ES"/>
        </w:rPr>
      </w:pPr>
      <w:hyperlink w:anchor="_Toc465293403" w:history="1">
        <w:r w:rsidR="00752E4C" w:rsidRPr="00D0406E">
          <w:rPr>
            <w:rStyle w:val="Enlla"/>
            <w:noProof/>
          </w:rPr>
          <w:t>6.6.5</w:t>
        </w:r>
        <w:r w:rsidR="00752E4C">
          <w:rPr>
            <w:rFonts w:eastAsiaTheme="minorEastAsia"/>
            <w:smallCaps w:val="0"/>
            <w:noProof/>
            <w:lang w:eastAsia="ca-ES"/>
          </w:rPr>
          <w:tab/>
        </w:r>
        <w:r w:rsidR="00752E4C" w:rsidRPr="00D0406E">
          <w:rPr>
            <w:rStyle w:val="Enlla"/>
            <w:noProof/>
          </w:rPr>
          <w:t>Col·lectiu LGTBI</w:t>
        </w:r>
        <w:r w:rsidR="00752E4C">
          <w:rPr>
            <w:noProof/>
            <w:webHidden/>
          </w:rPr>
          <w:tab/>
        </w:r>
        <w:r w:rsidR="00752E4C">
          <w:rPr>
            <w:noProof/>
            <w:webHidden/>
          </w:rPr>
          <w:fldChar w:fldCharType="begin"/>
        </w:r>
        <w:r w:rsidR="00752E4C">
          <w:rPr>
            <w:noProof/>
            <w:webHidden/>
          </w:rPr>
          <w:instrText xml:space="preserve"> PAGEREF _Toc465293403 \h </w:instrText>
        </w:r>
        <w:r w:rsidR="00752E4C">
          <w:rPr>
            <w:noProof/>
            <w:webHidden/>
          </w:rPr>
        </w:r>
        <w:r w:rsidR="00752E4C">
          <w:rPr>
            <w:noProof/>
            <w:webHidden/>
          </w:rPr>
          <w:fldChar w:fldCharType="separate"/>
        </w:r>
        <w:r w:rsidR="00752E4C">
          <w:rPr>
            <w:noProof/>
            <w:webHidden/>
          </w:rPr>
          <w:t>82</w:t>
        </w:r>
        <w:r w:rsidR="00752E4C">
          <w:rPr>
            <w:noProof/>
            <w:webHidden/>
          </w:rPr>
          <w:fldChar w:fldCharType="end"/>
        </w:r>
      </w:hyperlink>
    </w:p>
    <w:p w:rsidR="00752E4C" w:rsidRDefault="00DB496B">
      <w:pPr>
        <w:pStyle w:val="IDC2"/>
        <w:tabs>
          <w:tab w:val="left" w:pos="502"/>
          <w:tab w:val="right" w:pos="9061"/>
        </w:tabs>
        <w:rPr>
          <w:rFonts w:eastAsiaTheme="minorEastAsia"/>
          <w:b w:val="0"/>
          <w:bCs w:val="0"/>
          <w:smallCaps w:val="0"/>
          <w:noProof/>
          <w:lang w:eastAsia="ca-ES"/>
        </w:rPr>
      </w:pPr>
      <w:hyperlink w:anchor="_Toc465293404" w:history="1">
        <w:r w:rsidR="00752E4C" w:rsidRPr="00D0406E">
          <w:rPr>
            <w:rStyle w:val="Enlla"/>
            <w:noProof/>
          </w:rPr>
          <w:t>6.7</w:t>
        </w:r>
        <w:r w:rsidR="00752E4C">
          <w:rPr>
            <w:rFonts w:eastAsiaTheme="minorEastAsia"/>
            <w:b w:val="0"/>
            <w:bCs w:val="0"/>
            <w:smallCaps w:val="0"/>
            <w:noProof/>
            <w:lang w:eastAsia="ca-ES"/>
          </w:rPr>
          <w:tab/>
        </w:r>
        <w:r w:rsidR="00752E4C" w:rsidRPr="00D0406E">
          <w:rPr>
            <w:rStyle w:val="Enlla"/>
            <w:noProof/>
          </w:rPr>
          <w:t>La seguretat i els sistemes de supervisió i control</w:t>
        </w:r>
        <w:r w:rsidR="00752E4C">
          <w:rPr>
            <w:noProof/>
            <w:webHidden/>
          </w:rPr>
          <w:tab/>
        </w:r>
        <w:r w:rsidR="00752E4C">
          <w:rPr>
            <w:noProof/>
            <w:webHidden/>
          </w:rPr>
          <w:fldChar w:fldCharType="begin"/>
        </w:r>
        <w:r w:rsidR="00752E4C">
          <w:rPr>
            <w:noProof/>
            <w:webHidden/>
          </w:rPr>
          <w:instrText xml:space="preserve"> PAGEREF _Toc465293404 \h </w:instrText>
        </w:r>
        <w:r w:rsidR="00752E4C">
          <w:rPr>
            <w:noProof/>
            <w:webHidden/>
          </w:rPr>
        </w:r>
        <w:r w:rsidR="00752E4C">
          <w:rPr>
            <w:noProof/>
            <w:webHidden/>
          </w:rPr>
          <w:fldChar w:fldCharType="separate"/>
        </w:r>
        <w:r w:rsidR="00752E4C">
          <w:rPr>
            <w:noProof/>
            <w:webHidden/>
          </w:rPr>
          <w:t>83</w:t>
        </w:r>
        <w:r w:rsidR="00752E4C">
          <w:rPr>
            <w:noProof/>
            <w:webHidden/>
          </w:rPr>
          <w:fldChar w:fldCharType="end"/>
        </w:r>
      </w:hyperlink>
    </w:p>
    <w:p w:rsidR="00752E4C" w:rsidRDefault="00DB496B">
      <w:pPr>
        <w:pStyle w:val="IDC3"/>
        <w:tabs>
          <w:tab w:val="left" w:pos="666"/>
          <w:tab w:val="right" w:pos="9061"/>
        </w:tabs>
        <w:rPr>
          <w:rFonts w:eastAsiaTheme="minorEastAsia"/>
          <w:smallCaps w:val="0"/>
          <w:noProof/>
          <w:lang w:eastAsia="ca-ES"/>
        </w:rPr>
      </w:pPr>
      <w:hyperlink w:anchor="_Toc465293405" w:history="1">
        <w:r w:rsidR="00752E4C" w:rsidRPr="00D0406E">
          <w:rPr>
            <w:rStyle w:val="Enlla"/>
            <w:noProof/>
          </w:rPr>
          <w:t>6.7.1</w:t>
        </w:r>
        <w:r w:rsidR="00752E4C">
          <w:rPr>
            <w:rFonts w:eastAsiaTheme="minorEastAsia"/>
            <w:smallCaps w:val="0"/>
            <w:noProof/>
            <w:lang w:eastAsia="ca-ES"/>
          </w:rPr>
          <w:tab/>
        </w:r>
        <w:r w:rsidR="00752E4C" w:rsidRPr="00D0406E">
          <w:rPr>
            <w:rStyle w:val="Enlla"/>
            <w:noProof/>
          </w:rPr>
          <w:t>El concepte de seguretat</w:t>
        </w:r>
        <w:r w:rsidR="00752E4C">
          <w:rPr>
            <w:noProof/>
            <w:webHidden/>
          </w:rPr>
          <w:tab/>
        </w:r>
        <w:r w:rsidR="00752E4C">
          <w:rPr>
            <w:noProof/>
            <w:webHidden/>
          </w:rPr>
          <w:fldChar w:fldCharType="begin"/>
        </w:r>
        <w:r w:rsidR="00752E4C">
          <w:rPr>
            <w:noProof/>
            <w:webHidden/>
          </w:rPr>
          <w:instrText xml:space="preserve"> PAGEREF _Toc465293405 \h </w:instrText>
        </w:r>
        <w:r w:rsidR="00752E4C">
          <w:rPr>
            <w:noProof/>
            <w:webHidden/>
          </w:rPr>
        </w:r>
        <w:r w:rsidR="00752E4C">
          <w:rPr>
            <w:noProof/>
            <w:webHidden/>
          </w:rPr>
          <w:fldChar w:fldCharType="separate"/>
        </w:r>
        <w:r w:rsidR="00752E4C">
          <w:rPr>
            <w:noProof/>
            <w:webHidden/>
          </w:rPr>
          <w:t>83</w:t>
        </w:r>
        <w:r w:rsidR="00752E4C">
          <w:rPr>
            <w:noProof/>
            <w:webHidden/>
          </w:rPr>
          <w:fldChar w:fldCharType="end"/>
        </w:r>
      </w:hyperlink>
    </w:p>
    <w:p w:rsidR="00752E4C" w:rsidRDefault="00DB496B">
      <w:pPr>
        <w:pStyle w:val="IDC3"/>
        <w:tabs>
          <w:tab w:val="left" w:pos="666"/>
          <w:tab w:val="right" w:pos="9061"/>
        </w:tabs>
        <w:rPr>
          <w:rFonts w:eastAsiaTheme="minorEastAsia"/>
          <w:smallCaps w:val="0"/>
          <w:noProof/>
          <w:lang w:eastAsia="ca-ES"/>
        </w:rPr>
      </w:pPr>
      <w:hyperlink w:anchor="_Toc465293406" w:history="1">
        <w:r w:rsidR="00752E4C" w:rsidRPr="00D0406E">
          <w:rPr>
            <w:rStyle w:val="Enlla"/>
            <w:noProof/>
          </w:rPr>
          <w:t>6.7.2</w:t>
        </w:r>
        <w:r w:rsidR="00752E4C">
          <w:rPr>
            <w:rFonts w:eastAsiaTheme="minorEastAsia"/>
            <w:smallCaps w:val="0"/>
            <w:noProof/>
            <w:lang w:eastAsia="ca-ES"/>
          </w:rPr>
          <w:tab/>
        </w:r>
        <w:r w:rsidR="00752E4C" w:rsidRPr="00D0406E">
          <w:rPr>
            <w:rStyle w:val="Enlla"/>
            <w:noProof/>
          </w:rPr>
          <w:t>Àrees prestacionals i serveis interiors</w:t>
        </w:r>
        <w:r w:rsidR="00752E4C">
          <w:rPr>
            <w:noProof/>
            <w:webHidden/>
          </w:rPr>
          <w:tab/>
        </w:r>
        <w:r w:rsidR="00752E4C">
          <w:rPr>
            <w:noProof/>
            <w:webHidden/>
          </w:rPr>
          <w:fldChar w:fldCharType="begin"/>
        </w:r>
        <w:r w:rsidR="00752E4C">
          <w:rPr>
            <w:noProof/>
            <w:webHidden/>
          </w:rPr>
          <w:instrText xml:space="preserve"> PAGEREF _Toc465293406 \h </w:instrText>
        </w:r>
        <w:r w:rsidR="00752E4C">
          <w:rPr>
            <w:noProof/>
            <w:webHidden/>
          </w:rPr>
        </w:r>
        <w:r w:rsidR="00752E4C">
          <w:rPr>
            <w:noProof/>
            <w:webHidden/>
          </w:rPr>
          <w:fldChar w:fldCharType="separate"/>
        </w:r>
        <w:r w:rsidR="00752E4C">
          <w:rPr>
            <w:noProof/>
            <w:webHidden/>
          </w:rPr>
          <w:t>84</w:t>
        </w:r>
        <w:r w:rsidR="00752E4C">
          <w:rPr>
            <w:noProof/>
            <w:webHidden/>
          </w:rPr>
          <w:fldChar w:fldCharType="end"/>
        </w:r>
      </w:hyperlink>
    </w:p>
    <w:p w:rsidR="00752E4C" w:rsidRDefault="00DB496B">
      <w:pPr>
        <w:pStyle w:val="IDC3"/>
        <w:tabs>
          <w:tab w:val="left" w:pos="672"/>
          <w:tab w:val="right" w:pos="9061"/>
        </w:tabs>
        <w:rPr>
          <w:rFonts w:eastAsiaTheme="minorEastAsia"/>
          <w:smallCaps w:val="0"/>
          <w:noProof/>
          <w:lang w:eastAsia="ca-ES"/>
        </w:rPr>
      </w:pPr>
      <w:hyperlink w:anchor="_Toc465293407" w:history="1">
        <w:r w:rsidR="00752E4C" w:rsidRPr="00D0406E">
          <w:rPr>
            <w:rStyle w:val="Enlla"/>
            <w:rFonts w:cstheme="majorBidi"/>
            <w:b/>
            <w:bCs/>
            <w:caps/>
            <w:noProof/>
          </w:rPr>
          <w:t>6.7.3</w:t>
        </w:r>
        <w:r w:rsidR="00752E4C">
          <w:rPr>
            <w:rFonts w:eastAsiaTheme="minorEastAsia"/>
            <w:smallCaps w:val="0"/>
            <w:noProof/>
            <w:lang w:eastAsia="ca-ES"/>
          </w:rPr>
          <w:tab/>
        </w:r>
        <w:r w:rsidR="00752E4C" w:rsidRPr="00D0406E">
          <w:rPr>
            <w:rStyle w:val="Enlla"/>
            <w:rFonts w:cstheme="majorBidi"/>
            <w:b/>
            <w:bCs/>
            <w:caps/>
            <w:noProof/>
          </w:rPr>
          <w:t>Gestió expedients personals</w:t>
        </w:r>
        <w:r w:rsidR="00752E4C">
          <w:rPr>
            <w:noProof/>
            <w:webHidden/>
          </w:rPr>
          <w:tab/>
        </w:r>
        <w:r w:rsidR="00752E4C">
          <w:rPr>
            <w:noProof/>
            <w:webHidden/>
          </w:rPr>
          <w:fldChar w:fldCharType="begin"/>
        </w:r>
        <w:r w:rsidR="00752E4C">
          <w:rPr>
            <w:noProof/>
            <w:webHidden/>
          </w:rPr>
          <w:instrText xml:space="preserve"> PAGEREF _Toc465293407 \h </w:instrText>
        </w:r>
        <w:r w:rsidR="00752E4C">
          <w:rPr>
            <w:noProof/>
            <w:webHidden/>
          </w:rPr>
        </w:r>
        <w:r w:rsidR="00752E4C">
          <w:rPr>
            <w:noProof/>
            <w:webHidden/>
          </w:rPr>
          <w:fldChar w:fldCharType="separate"/>
        </w:r>
        <w:r w:rsidR="00752E4C">
          <w:rPr>
            <w:noProof/>
            <w:webHidden/>
          </w:rPr>
          <w:t>85</w:t>
        </w:r>
        <w:r w:rsidR="00752E4C">
          <w:rPr>
            <w:noProof/>
            <w:webHidden/>
          </w:rPr>
          <w:fldChar w:fldCharType="end"/>
        </w:r>
      </w:hyperlink>
    </w:p>
    <w:p w:rsidR="00752E4C" w:rsidRDefault="00DB496B">
      <w:pPr>
        <w:pStyle w:val="IDC3"/>
        <w:tabs>
          <w:tab w:val="left" w:pos="672"/>
          <w:tab w:val="right" w:pos="9061"/>
        </w:tabs>
        <w:rPr>
          <w:rFonts w:eastAsiaTheme="minorEastAsia"/>
          <w:smallCaps w:val="0"/>
          <w:noProof/>
          <w:lang w:eastAsia="ca-ES"/>
        </w:rPr>
      </w:pPr>
      <w:hyperlink w:anchor="_Toc465293408" w:history="1">
        <w:r w:rsidR="00752E4C" w:rsidRPr="00D0406E">
          <w:rPr>
            <w:rStyle w:val="Enlla"/>
            <w:rFonts w:cstheme="majorBidi"/>
            <w:b/>
            <w:bCs/>
            <w:caps/>
            <w:noProof/>
          </w:rPr>
          <w:t>6.7.4</w:t>
        </w:r>
        <w:r w:rsidR="00752E4C">
          <w:rPr>
            <w:rFonts w:eastAsiaTheme="minorEastAsia"/>
            <w:smallCaps w:val="0"/>
            <w:noProof/>
            <w:lang w:eastAsia="ca-ES"/>
          </w:rPr>
          <w:tab/>
        </w:r>
        <w:r w:rsidR="00752E4C" w:rsidRPr="00D0406E">
          <w:rPr>
            <w:rStyle w:val="Enlla"/>
            <w:rFonts w:cstheme="majorBidi"/>
            <w:b/>
            <w:bCs/>
            <w:caps/>
            <w:noProof/>
          </w:rPr>
          <w:t>Impuls normatiu i protocols de seguretat</w:t>
        </w:r>
        <w:r w:rsidR="00752E4C">
          <w:rPr>
            <w:noProof/>
            <w:webHidden/>
          </w:rPr>
          <w:tab/>
        </w:r>
        <w:r w:rsidR="00752E4C">
          <w:rPr>
            <w:noProof/>
            <w:webHidden/>
          </w:rPr>
          <w:fldChar w:fldCharType="begin"/>
        </w:r>
        <w:r w:rsidR="00752E4C">
          <w:rPr>
            <w:noProof/>
            <w:webHidden/>
          </w:rPr>
          <w:instrText xml:space="preserve"> PAGEREF _Toc465293408 \h </w:instrText>
        </w:r>
        <w:r w:rsidR="00752E4C">
          <w:rPr>
            <w:noProof/>
            <w:webHidden/>
          </w:rPr>
        </w:r>
        <w:r w:rsidR="00752E4C">
          <w:rPr>
            <w:noProof/>
            <w:webHidden/>
          </w:rPr>
          <w:fldChar w:fldCharType="separate"/>
        </w:r>
        <w:r w:rsidR="00752E4C">
          <w:rPr>
            <w:noProof/>
            <w:webHidden/>
          </w:rPr>
          <w:t>85</w:t>
        </w:r>
        <w:r w:rsidR="00752E4C">
          <w:rPr>
            <w:noProof/>
            <w:webHidden/>
          </w:rPr>
          <w:fldChar w:fldCharType="end"/>
        </w:r>
      </w:hyperlink>
    </w:p>
    <w:p w:rsidR="00752E4C" w:rsidRDefault="00DB496B">
      <w:pPr>
        <w:pStyle w:val="IDC3"/>
        <w:tabs>
          <w:tab w:val="left" w:pos="672"/>
          <w:tab w:val="right" w:pos="9061"/>
        </w:tabs>
        <w:rPr>
          <w:rFonts w:eastAsiaTheme="minorEastAsia"/>
          <w:smallCaps w:val="0"/>
          <w:noProof/>
          <w:lang w:eastAsia="ca-ES"/>
        </w:rPr>
      </w:pPr>
      <w:hyperlink w:anchor="_Toc465293409" w:history="1">
        <w:r w:rsidR="00752E4C" w:rsidRPr="00D0406E">
          <w:rPr>
            <w:rStyle w:val="Enlla"/>
            <w:rFonts w:cstheme="majorBidi"/>
            <w:b/>
            <w:bCs/>
            <w:caps/>
            <w:noProof/>
          </w:rPr>
          <w:t>6.7.5</w:t>
        </w:r>
        <w:r w:rsidR="00752E4C">
          <w:rPr>
            <w:rFonts w:eastAsiaTheme="minorEastAsia"/>
            <w:smallCaps w:val="0"/>
            <w:noProof/>
            <w:lang w:eastAsia="ca-ES"/>
          </w:rPr>
          <w:tab/>
        </w:r>
        <w:r w:rsidR="00752E4C" w:rsidRPr="00D0406E">
          <w:rPr>
            <w:rStyle w:val="Enlla"/>
            <w:rFonts w:cstheme="majorBidi"/>
            <w:b/>
            <w:bCs/>
            <w:caps/>
            <w:noProof/>
          </w:rPr>
          <w:t>Mitjans materials</w:t>
        </w:r>
        <w:r w:rsidR="00752E4C">
          <w:rPr>
            <w:noProof/>
            <w:webHidden/>
          </w:rPr>
          <w:tab/>
        </w:r>
        <w:r w:rsidR="00752E4C">
          <w:rPr>
            <w:noProof/>
            <w:webHidden/>
          </w:rPr>
          <w:fldChar w:fldCharType="begin"/>
        </w:r>
        <w:r w:rsidR="00752E4C">
          <w:rPr>
            <w:noProof/>
            <w:webHidden/>
          </w:rPr>
          <w:instrText xml:space="preserve"> PAGEREF _Toc465293409 \h </w:instrText>
        </w:r>
        <w:r w:rsidR="00752E4C">
          <w:rPr>
            <w:noProof/>
            <w:webHidden/>
          </w:rPr>
        </w:r>
        <w:r w:rsidR="00752E4C">
          <w:rPr>
            <w:noProof/>
            <w:webHidden/>
          </w:rPr>
          <w:fldChar w:fldCharType="separate"/>
        </w:r>
        <w:r w:rsidR="00752E4C">
          <w:rPr>
            <w:noProof/>
            <w:webHidden/>
          </w:rPr>
          <w:t>86</w:t>
        </w:r>
        <w:r w:rsidR="00752E4C">
          <w:rPr>
            <w:noProof/>
            <w:webHidden/>
          </w:rPr>
          <w:fldChar w:fldCharType="end"/>
        </w:r>
      </w:hyperlink>
    </w:p>
    <w:p w:rsidR="00752E4C" w:rsidRDefault="00DB496B">
      <w:pPr>
        <w:pStyle w:val="IDC3"/>
        <w:tabs>
          <w:tab w:val="left" w:pos="672"/>
          <w:tab w:val="right" w:pos="9061"/>
        </w:tabs>
        <w:rPr>
          <w:rFonts w:eastAsiaTheme="minorEastAsia"/>
          <w:smallCaps w:val="0"/>
          <w:noProof/>
          <w:lang w:eastAsia="ca-ES"/>
        </w:rPr>
      </w:pPr>
      <w:hyperlink w:anchor="_Toc465293410" w:history="1">
        <w:r w:rsidR="00752E4C" w:rsidRPr="00D0406E">
          <w:rPr>
            <w:rStyle w:val="Enlla"/>
            <w:rFonts w:cstheme="majorBidi"/>
            <w:b/>
            <w:bCs/>
            <w:caps/>
            <w:noProof/>
          </w:rPr>
          <w:t>6.7.6</w:t>
        </w:r>
        <w:r w:rsidR="00752E4C">
          <w:rPr>
            <w:rFonts w:eastAsiaTheme="minorEastAsia"/>
            <w:smallCaps w:val="0"/>
            <w:noProof/>
            <w:lang w:eastAsia="ca-ES"/>
          </w:rPr>
          <w:tab/>
        </w:r>
        <w:r w:rsidR="00752E4C" w:rsidRPr="00D0406E">
          <w:rPr>
            <w:rStyle w:val="Enlla"/>
            <w:rFonts w:cstheme="majorBidi"/>
            <w:b/>
            <w:bCs/>
            <w:caps/>
            <w:noProof/>
          </w:rPr>
          <w:t>incidents i GESTIÓ CONFLICTES</w:t>
        </w:r>
        <w:r w:rsidR="00752E4C">
          <w:rPr>
            <w:noProof/>
            <w:webHidden/>
          </w:rPr>
          <w:tab/>
        </w:r>
        <w:r w:rsidR="00752E4C">
          <w:rPr>
            <w:noProof/>
            <w:webHidden/>
          </w:rPr>
          <w:fldChar w:fldCharType="begin"/>
        </w:r>
        <w:r w:rsidR="00752E4C">
          <w:rPr>
            <w:noProof/>
            <w:webHidden/>
          </w:rPr>
          <w:instrText xml:space="preserve"> PAGEREF _Toc465293410 \h </w:instrText>
        </w:r>
        <w:r w:rsidR="00752E4C">
          <w:rPr>
            <w:noProof/>
            <w:webHidden/>
          </w:rPr>
        </w:r>
        <w:r w:rsidR="00752E4C">
          <w:rPr>
            <w:noProof/>
            <w:webHidden/>
          </w:rPr>
          <w:fldChar w:fldCharType="separate"/>
        </w:r>
        <w:r w:rsidR="00752E4C">
          <w:rPr>
            <w:noProof/>
            <w:webHidden/>
          </w:rPr>
          <w:t>87</w:t>
        </w:r>
        <w:r w:rsidR="00752E4C">
          <w:rPr>
            <w:noProof/>
            <w:webHidden/>
          </w:rPr>
          <w:fldChar w:fldCharType="end"/>
        </w:r>
      </w:hyperlink>
    </w:p>
    <w:p w:rsidR="00752E4C" w:rsidRDefault="00DB496B">
      <w:pPr>
        <w:pStyle w:val="IDC3"/>
        <w:tabs>
          <w:tab w:val="left" w:pos="672"/>
          <w:tab w:val="right" w:pos="9061"/>
        </w:tabs>
        <w:rPr>
          <w:rFonts w:eastAsiaTheme="minorEastAsia"/>
          <w:smallCaps w:val="0"/>
          <w:noProof/>
          <w:lang w:eastAsia="ca-ES"/>
        </w:rPr>
      </w:pPr>
      <w:hyperlink w:anchor="_Toc465293411" w:history="1">
        <w:r w:rsidR="00752E4C" w:rsidRPr="00D0406E">
          <w:rPr>
            <w:rStyle w:val="Enlla"/>
            <w:rFonts w:cstheme="majorBidi"/>
            <w:b/>
            <w:bCs/>
            <w:caps/>
            <w:noProof/>
          </w:rPr>
          <w:t>6.7.7</w:t>
        </w:r>
        <w:r w:rsidR="00752E4C">
          <w:rPr>
            <w:rFonts w:eastAsiaTheme="minorEastAsia"/>
            <w:smallCaps w:val="0"/>
            <w:noProof/>
            <w:lang w:eastAsia="ca-ES"/>
          </w:rPr>
          <w:tab/>
        </w:r>
        <w:r w:rsidR="00752E4C" w:rsidRPr="00D0406E">
          <w:rPr>
            <w:rStyle w:val="Enlla"/>
            <w:rFonts w:cstheme="majorBidi"/>
            <w:b/>
            <w:bCs/>
            <w:caps/>
            <w:noProof/>
          </w:rPr>
          <w:t>REPTES I OBJECTIUS DE FUTUR</w:t>
        </w:r>
        <w:r w:rsidR="00752E4C">
          <w:rPr>
            <w:noProof/>
            <w:webHidden/>
          </w:rPr>
          <w:tab/>
        </w:r>
        <w:r w:rsidR="00752E4C">
          <w:rPr>
            <w:noProof/>
            <w:webHidden/>
          </w:rPr>
          <w:fldChar w:fldCharType="begin"/>
        </w:r>
        <w:r w:rsidR="00752E4C">
          <w:rPr>
            <w:noProof/>
            <w:webHidden/>
          </w:rPr>
          <w:instrText xml:space="preserve"> PAGEREF _Toc465293411 \h </w:instrText>
        </w:r>
        <w:r w:rsidR="00752E4C">
          <w:rPr>
            <w:noProof/>
            <w:webHidden/>
          </w:rPr>
        </w:r>
        <w:r w:rsidR="00752E4C">
          <w:rPr>
            <w:noProof/>
            <w:webHidden/>
          </w:rPr>
          <w:fldChar w:fldCharType="separate"/>
        </w:r>
        <w:r w:rsidR="00752E4C">
          <w:rPr>
            <w:noProof/>
            <w:webHidden/>
          </w:rPr>
          <w:t>88</w:t>
        </w:r>
        <w:r w:rsidR="00752E4C">
          <w:rPr>
            <w:noProof/>
            <w:webHidden/>
          </w:rPr>
          <w:fldChar w:fldCharType="end"/>
        </w:r>
      </w:hyperlink>
    </w:p>
    <w:p w:rsidR="00752E4C" w:rsidRDefault="00DB496B">
      <w:pPr>
        <w:pStyle w:val="IDC2"/>
        <w:tabs>
          <w:tab w:val="left" w:pos="502"/>
          <w:tab w:val="right" w:pos="9061"/>
        </w:tabs>
        <w:rPr>
          <w:rFonts w:eastAsiaTheme="minorEastAsia"/>
          <w:b w:val="0"/>
          <w:bCs w:val="0"/>
          <w:smallCaps w:val="0"/>
          <w:noProof/>
          <w:lang w:eastAsia="ca-ES"/>
        </w:rPr>
      </w:pPr>
      <w:hyperlink w:anchor="_Toc465293412" w:history="1">
        <w:r w:rsidR="00752E4C" w:rsidRPr="00D0406E">
          <w:rPr>
            <w:rStyle w:val="Enlla"/>
            <w:noProof/>
          </w:rPr>
          <w:t>6.8</w:t>
        </w:r>
        <w:r w:rsidR="00752E4C">
          <w:rPr>
            <w:rFonts w:eastAsiaTheme="minorEastAsia"/>
            <w:b w:val="0"/>
            <w:bCs w:val="0"/>
            <w:smallCaps w:val="0"/>
            <w:noProof/>
            <w:lang w:eastAsia="ca-ES"/>
          </w:rPr>
          <w:tab/>
        </w:r>
        <w:r w:rsidR="00752E4C" w:rsidRPr="00D0406E">
          <w:rPr>
            <w:rStyle w:val="Enlla"/>
            <w:noProof/>
          </w:rPr>
          <w:t>Principi de coresponsabilitat. Prestació de les administracions</w:t>
        </w:r>
        <w:r w:rsidR="00752E4C">
          <w:rPr>
            <w:noProof/>
            <w:webHidden/>
          </w:rPr>
          <w:tab/>
        </w:r>
        <w:r w:rsidR="00752E4C">
          <w:rPr>
            <w:noProof/>
            <w:webHidden/>
          </w:rPr>
          <w:fldChar w:fldCharType="begin"/>
        </w:r>
        <w:r w:rsidR="00752E4C">
          <w:rPr>
            <w:noProof/>
            <w:webHidden/>
          </w:rPr>
          <w:instrText xml:space="preserve"> PAGEREF _Toc465293412 \h </w:instrText>
        </w:r>
        <w:r w:rsidR="00752E4C">
          <w:rPr>
            <w:noProof/>
            <w:webHidden/>
          </w:rPr>
        </w:r>
        <w:r w:rsidR="00752E4C">
          <w:rPr>
            <w:noProof/>
            <w:webHidden/>
          </w:rPr>
          <w:fldChar w:fldCharType="separate"/>
        </w:r>
        <w:r w:rsidR="00752E4C">
          <w:rPr>
            <w:noProof/>
            <w:webHidden/>
          </w:rPr>
          <w:t>90</w:t>
        </w:r>
        <w:r w:rsidR="00752E4C">
          <w:rPr>
            <w:noProof/>
            <w:webHidden/>
          </w:rPr>
          <w:fldChar w:fldCharType="end"/>
        </w:r>
      </w:hyperlink>
    </w:p>
    <w:p w:rsidR="00752E4C" w:rsidRDefault="00DB496B">
      <w:pPr>
        <w:pStyle w:val="IDC3"/>
        <w:tabs>
          <w:tab w:val="left" w:pos="666"/>
          <w:tab w:val="right" w:pos="9061"/>
        </w:tabs>
        <w:rPr>
          <w:rFonts w:eastAsiaTheme="minorEastAsia"/>
          <w:smallCaps w:val="0"/>
          <w:noProof/>
          <w:lang w:eastAsia="ca-ES"/>
        </w:rPr>
      </w:pPr>
      <w:hyperlink w:anchor="_Toc465293413" w:history="1">
        <w:r w:rsidR="00752E4C" w:rsidRPr="00D0406E">
          <w:rPr>
            <w:rStyle w:val="Enlla"/>
            <w:noProof/>
          </w:rPr>
          <w:t>6.8.1</w:t>
        </w:r>
        <w:r w:rsidR="00752E4C">
          <w:rPr>
            <w:rFonts w:eastAsiaTheme="minorEastAsia"/>
            <w:smallCaps w:val="0"/>
            <w:noProof/>
            <w:lang w:eastAsia="ca-ES"/>
          </w:rPr>
          <w:tab/>
        </w:r>
        <w:r w:rsidR="00752E4C" w:rsidRPr="00D0406E">
          <w:rPr>
            <w:rStyle w:val="Enlla"/>
            <w:noProof/>
          </w:rPr>
          <w:t>Serveis educatius</w:t>
        </w:r>
        <w:r w:rsidR="00752E4C">
          <w:rPr>
            <w:noProof/>
            <w:webHidden/>
          </w:rPr>
          <w:tab/>
        </w:r>
        <w:r w:rsidR="00752E4C">
          <w:rPr>
            <w:noProof/>
            <w:webHidden/>
          </w:rPr>
          <w:fldChar w:fldCharType="begin"/>
        </w:r>
        <w:r w:rsidR="00752E4C">
          <w:rPr>
            <w:noProof/>
            <w:webHidden/>
          </w:rPr>
          <w:instrText xml:space="preserve"> PAGEREF _Toc465293413 \h </w:instrText>
        </w:r>
        <w:r w:rsidR="00752E4C">
          <w:rPr>
            <w:noProof/>
            <w:webHidden/>
          </w:rPr>
        </w:r>
        <w:r w:rsidR="00752E4C">
          <w:rPr>
            <w:noProof/>
            <w:webHidden/>
          </w:rPr>
          <w:fldChar w:fldCharType="separate"/>
        </w:r>
        <w:r w:rsidR="00752E4C">
          <w:rPr>
            <w:noProof/>
            <w:webHidden/>
          </w:rPr>
          <w:t>90</w:t>
        </w:r>
        <w:r w:rsidR="00752E4C">
          <w:rPr>
            <w:noProof/>
            <w:webHidden/>
          </w:rPr>
          <w:fldChar w:fldCharType="end"/>
        </w:r>
      </w:hyperlink>
    </w:p>
    <w:p w:rsidR="00752E4C" w:rsidRDefault="00DB496B">
      <w:pPr>
        <w:pStyle w:val="IDC3"/>
        <w:tabs>
          <w:tab w:val="left" w:pos="666"/>
          <w:tab w:val="right" w:pos="9061"/>
        </w:tabs>
        <w:rPr>
          <w:rFonts w:eastAsiaTheme="minorEastAsia"/>
          <w:smallCaps w:val="0"/>
          <w:noProof/>
          <w:lang w:eastAsia="ca-ES"/>
        </w:rPr>
      </w:pPr>
      <w:hyperlink w:anchor="_Toc465293414" w:history="1">
        <w:r w:rsidR="00752E4C" w:rsidRPr="00D0406E">
          <w:rPr>
            <w:rStyle w:val="Enlla"/>
            <w:noProof/>
          </w:rPr>
          <w:t>6.8.2</w:t>
        </w:r>
        <w:r w:rsidR="00752E4C">
          <w:rPr>
            <w:rFonts w:eastAsiaTheme="minorEastAsia"/>
            <w:smallCaps w:val="0"/>
            <w:noProof/>
            <w:lang w:eastAsia="ca-ES"/>
          </w:rPr>
          <w:tab/>
        </w:r>
        <w:r w:rsidR="00752E4C" w:rsidRPr="00D0406E">
          <w:rPr>
            <w:rStyle w:val="Enlla"/>
            <w:noProof/>
          </w:rPr>
          <w:t>Serveis sanitaris</w:t>
        </w:r>
        <w:r w:rsidR="00752E4C">
          <w:rPr>
            <w:noProof/>
            <w:webHidden/>
          </w:rPr>
          <w:tab/>
        </w:r>
        <w:r w:rsidR="00752E4C">
          <w:rPr>
            <w:noProof/>
            <w:webHidden/>
          </w:rPr>
          <w:fldChar w:fldCharType="begin"/>
        </w:r>
        <w:r w:rsidR="00752E4C">
          <w:rPr>
            <w:noProof/>
            <w:webHidden/>
          </w:rPr>
          <w:instrText xml:space="preserve"> PAGEREF _Toc465293414 \h </w:instrText>
        </w:r>
        <w:r w:rsidR="00752E4C">
          <w:rPr>
            <w:noProof/>
            <w:webHidden/>
          </w:rPr>
        </w:r>
        <w:r w:rsidR="00752E4C">
          <w:rPr>
            <w:noProof/>
            <w:webHidden/>
          </w:rPr>
          <w:fldChar w:fldCharType="separate"/>
        </w:r>
        <w:r w:rsidR="00752E4C">
          <w:rPr>
            <w:noProof/>
            <w:webHidden/>
          </w:rPr>
          <w:t>95</w:t>
        </w:r>
        <w:r w:rsidR="00752E4C">
          <w:rPr>
            <w:noProof/>
            <w:webHidden/>
          </w:rPr>
          <w:fldChar w:fldCharType="end"/>
        </w:r>
      </w:hyperlink>
    </w:p>
    <w:p w:rsidR="00752E4C" w:rsidRDefault="00DB496B">
      <w:pPr>
        <w:pStyle w:val="IDC3"/>
        <w:tabs>
          <w:tab w:val="left" w:pos="666"/>
          <w:tab w:val="right" w:pos="9061"/>
        </w:tabs>
        <w:rPr>
          <w:rFonts w:eastAsiaTheme="minorEastAsia"/>
          <w:smallCaps w:val="0"/>
          <w:noProof/>
          <w:lang w:eastAsia="ca-ES"/>
        </w:rPr>
      </w:pPr>
      <w:hyperlink w:anchor="_Toc465293415" w:history="1">
        <w:r w:rsidR="00752E4C" w:rsidRPr="00D0406E">
          <w:rPr>
            <w:rStyle w:val="Enlla"/>
            <w:noProof/>
          </w:rPr>
          <w:t>6.8.3</w:t>
        </w:r>
        <w:r w:rsidR="00752E4C">
          <w:rPr>
            <w:rFonts w:eastAsiaTheme="minorEastAsia"/>
            <w:smallCaps w:val="0"/>
            <w:noProof/>
            <w:lang w:eastAsia="ca-ES"/>
          </w:rPr>
          <w:tab/>
        </w:r>
        <w:r w:rsidR="00752E4C" w:rsidRPr="00D0406E">
          <w:rPr>
            <w:rStyle w:val="Enlla"/>
            <w:noProof/>
          </w:rPr>
          <w:t>El treball penitenciari, la formació ocupacional i la reinserció sociolaboral</w:t>
        </w:r>
        <w:r w:rsidR="00752E4C">
          <w:rPr>
            <w:noProof/>
            <w:webHidden/>
          </w:rPr>
          <w:tab/>
        </w:r>
        <w:r w:rsidR="00752E4C">
          <w:rPr>
            <w:noProof/>
            <w:webHidden/>
          </w:rPr>
          <w:fldChar w:fldCharType="begin"/>
        </w:r>
        <w:r w:rsidR="00752E4C">
          <w:rPr>
            <w:noProof/>
            <w:webHidden/>
          </w:rPr>
          <w:instrText xml:space="preserve"> PAGEREF _Toc465293415 \h </w:instrText>
        </w:r>
        <w:r w:rsidR="00752E4C">
          <w:rPr>
            <w:noProof/>
            <w:webHidden/>
          </w:rPr>
        </w:r>
        <w:r w:rsidR="00752E4C">
          <w:rPr>
            <w:noProof/>
            <w:webHidden/>
          </w:rPr>
          <w:fldChar w:fldCharType="separate"/>
        </w:r>
        <w:r w:rsidR="00752E4C">
          <w:rPr>
            <w:noProof/>
            <w:webHidden/>
          </w:rPr>
          <w:t>102</w:t>
        </w:r>
        <w:r w:rsidR="00752E4C">
          <w:rPr>
            <w:noProof/>
            <w:webHidden/>
          </w:rPr>
          <w:fldChar w:fldCharType="end"/>
        </w:r>
      </w:hyperlink>
    </w:p>
    <w:p w:rsidR="00752E4C" w:rsidRDefault="00DB496B">
      <w:pPr>
        <w:pStyle w:val="IDC1"/>
        <w:tabs>
          <w:tab w:val="left" w:pos="332"/>
          <w:tab w:val="right" w:pos="9061"/>
        </w:tabs>
        <w:rPr>
          <w:rFonts w:eastAsiaTheme="minorEastAsia"/>
          <w:b w:val="0"/>
          <w:bCs w:val="0"/>
          <w:caps w:val="0"/>
          <w:noProof/>
          <w:u w:val="none"/>
          <w:lang w:eastAsia="ca-ES"/>
        </w:rPr>
      </w:pPr>
      <w:hyperlink w:anchor="_Toc465293416" w:history="1">
        <w:r w:rsidR="00752E4C" w:rsidRPr="00D0406E">
          <w:rPr>
            <w:rStyle w:val="Enlla"/>
            <w:noProof/>
            <w14:cntxtAlts/>
          </w:rPr>
          <w:t>7</w:t>
        </w:r>
        <w:r w:rsidR="00752E4C">
          <w:rPr>
            <w:rFonts w:eastAsiaTheme="minorEastAsia"/>
            <w:b w:val="0"/>
            <w:bCs w:val="0"/>
            <w:caps w:val="0"/>
            <w:noProof/>
            <w:u w:val="none"/>
            <w:lang w:eastAsia="ca-ES"/>
          </w:rPr>
          <w:tab/>
        </w:r>
        <w:r w:rsidR="00752E4C" w:rsidRPr="00D0406E">
          <w:rPr>
            <w:rStyle w:val="Enlla"/>
            <w:noProof/>
          </w:rPr>
          <w:t>L’Organització i la gestió de l’execució penal</w:t>
        </w:r>
        <w:r w:rsidR="00752E4C">
          <w:rPr>
            <w:noProof/>
            <w:webHidden/>
          </w:rPr>
          <w:tab/>
        </w:r>
        <w:r w:rsidR="00752E4C">
          <w:rPr>
            <w:noProof/>
            <w:webHidden/>
          </w:rPr>
          <w:fldChar w:fldCharType="begin"/>
        </w:r>
        <w:r w:rsidR="00752E4C">
          <w:rPr>
            <w:noProof/>
            <w:webHidden/>
          </w:rPr>
          <w:instrText xml:space="preserve"> PAGEREF _Toc465293416 \h </w:instrText>
        </w:r>
        <w:r w:rsidR="00752E4C">
          <w:rPr>
            <w:noProof/>
            <w:webHidden/>
          </w:rPr>
        </w:r>
        <w:r w:rsidR="00752E4C">
          <w:rPr>
            <w:noProof/>
            <w:webHidden/>
          </w:rPr>
          <w:fldChar w:fldCharType="separate"/>
        </w:r>
        <w:r w:rsidR="00752E4C">
          <w:rPr>
            <w:noProof/>
            <w:webHidden/>
          </w:rPr>
          <w:t>112</w:t>
        </w:r>
        <w:r w:rsidR="00752E4C">
          <w:rPr>
            <w:noProof/>
            <w:webHidden/>
          </w:rPr>
          <w:fldChar w:fldCharType="end"/>
        </w:r>
      </w:hyperlink>
    </w:p>
    <w:p w:rsidR="00752E4C" w:rsidRDefault="00DB496B">
      <w:pPr>
        <w:pStyle w:val="IDC2"/>
        <w:tabs>
          <w:tab w:val="left" w:pos="502"/>
          <w:tab w:val="right" w:pos="9061"/>
        </w:tabs>
        <w:rPr>
          <w:rFonts w:eastAsiaTheme="minorEastAsia"/>
          <w:b w:val="0"/>
          <w:bCs w:val="0"/>
          <w:smallCaps w:val="0"/>
          <w:noProof/>
          <w:lang w:eastAsia="ca-ES"/>
        </w:rPr>
      </w:pPr>
      <w:hyperlink w:anchor="_Toc465293417" w:history="1">
        <w:r w:rsidR="00752E4C" w:rsidRPr="00D0406E">
          <w:rPr>
            <w:rStyle w:val="Enlla"/>
            <w:noProof/>
          </w:rPr>
          <w:t>7.1</w:t>
        </w:r>
        <w:r w:rsidR="00752E4C">
          <w:rPr>
            <w:rFonts w:eastAsiaTheme="minorEastAsia"/>
            <w:b w:val="0"/>
            <w:bCs w:val="0"/>
            <w:smallCaps w:val="0"/>
            <w:noProof/>
            <w:lang w:eastAsia="ca-ES"/>
          </w:rPr>
          <w:tab/>
        </w:r>
        <w:r w:rsidR="00752E4C" w:rsidRPr="00D0406E">
          <w:rPr>
            <w:rStyle w:val="Enlla"/>
            <w:noProof/>
          </w:rPr>
          <w:t>Els centres penitenciaris: tipus d’establiment</w:t>
        </w:r>
        <w:r w:rsidR="00752E4C">
          <w:rPr>
            <w:noProof/>
            <w:webHidden/>
          </w:rPr>
          <w:tab/>
        </w:r>
        <w:r w:rsidR="00752E4C">
          <w:rPr>
            <w:noProof/>
            <w:webHidden/>
          </w:rPr>
          <w:fldChar w:fldCharType="begin"/>
        </w:r>
        <w:r w:rsidR="00752E4C">
          <w:rPr>
            <w:noProof/>
            <w:webHidden/>
          </w:rPr>
          <w:instrText xml:space="preserve"> PAGEREF _Toc465293417 \h </w:instrText>
        </w:r>
        <w:r w:rsidR="00752E4C">
          <w:rPr>
            <w:noProof/>
            <w:webHidden/>
          </w:rPr>
        </w:r>
        <w:r w:rsidR="00752E4C">
          <w:rPr>
            <w:noProof/>
            <w:webHidden/>
          </w:rPr>
          <w:fldChar w:fldCharType="separate"/>
        </w:r>
        <w:r w:rsidR="00752E4C">
          <w:rPr>
            <w:noProof/>
            <w:webHidden/>
          </w:rPr>
          <w:t>112</w:t>
        </w:r>
        <w:r w:rsidR="00752E4C">
          <w:rPr>
            <w:noProof/>
            <w:webHidden/>
          </w:rPr>
          <w:fldChar w:fldCharType="end"/>
        </w:r>
      </w:hyperlink>
    </w:p>
    <w:p w:rsidR="00752E4C" w:rsidRDefault="00DB496B">
      <w:pPr>
        <w:pStyle w:val="IDC3"/>
        <w:tabs>
          <w:tab w:val="left" w:pos="666"/>
          <w:tab w:val="right" w:pos="9061"/>
        </w:tabs>
        <w:rPr>
          <w:rFonts w:eastAsiaTheme="minorEastAsia"/>
          <w:smallCaps w:val="0"/>
          <w:noProof/>
          <w:lang w:eastAsia="ca-ES"/>
        </w:rPr>
      </w:pPr>
      <w:hyperlink w:anchor="_Toc465293418" w:history="1">
        <w:r w:rsidR="00752E4C" w:rsidRPr="00D0406E">
          <w:rPr>
            <w:rStyle w:val="Enlla"/>
            <w:noProof/>
          </w:rPr>
          <w:t>7.1.1</w:t>
        </w:r>
        <w:r w:rsidR="00752E4C">
          <w:rPr>
            <w:rFonts w:eastAsiaTheme="minorEastAsia"/>
            <w:smallCaps w:val="0"/>
            <w:noProof/>
            <w:lang w:eastAsia="ca-ES"/>
          </w:rPr>
          <w:tab/>
        </w:r>
        <w:r w:rsidR="00752E4C" w:rsidRPr="00D0406E">
          <w:rPr>
            <w:rStyle w:val="Enlla"/>
            <w:noProof/>
          </w:rPr>
          <w:t>Establiments ordinaris</w:t>
        </w:r>
        <w:r w:rsidR="00752E4C">
          <w:rPr>
            <w:noProof/>
            <w:webHidden/>
          </w:rPr>
          <w:tab/>
        </w:r>
        <w:r w:rsidR="00752E4C">
          <w:rPr>
            <w:noProof/>
            <w:webHidden/>
          </w:rPr>
          <w:fldChar w:fldCharType="begin"/>
        </w:r>
        <w:r w:rsidR="00752E4C">
          <w:rPr>
            <w:noProof/>
            <w:webHidden/>
          </w:rPr>
          <w:instrText xml:space="preserve"> PAGEREF _Toc465293418 \h </w:instrText>
        </w:r>
        <w:r w:rsidR="00752E4C">
          <w:rPr>
            <w:noProof/>
            <w:webHidden/>
          </w:rPr>
        </w:r>
        <w:r w:rsidR="00752E4C">
          <w:rPr>
            <w:noProof/>
            <w:webHidden/>
          </w:rPr>
          <w:fldChar w:fldCharType="separate"/>
        </w:r>
        <w:r w:rsidR="00752E4C">
          <w:rPr>
            <w:noProof/>
            <w:webHidden/>
          </w:rPr>
          <w:t>112</w:t>
        </w:r>
        <w:r w:rsidR="00752E4C">
          <w:rPr>
            <w:noProof/>
            <w:webHidden/>
          </w:rPr>
          <w:fldChar w:fldCharType="end"/>
        </w:r>
      </w:hyperlink>
    </w:p>
    <w:p w:rsidR="00752E4C" w:rsidRDefault="00DB496B">
      <w:pPr>
        <w:pStyle w:val="IDC3"/>
        <w:tabs>
          <w:tab w:val="left" w:pos="666"/>
          <w:tab w:val="right" w:pos="9061"/>
        </w:tabs>
        <w:rPr>
          <w:rFonts w:eastAsiaTheme="minorEastAsia"/>
          <w:smallCaps w:val="0"/>
          <w:noProof/>
          <w:lang w:eastAsia="ca-ES"/>
        </w:rPr>
      </w:pPr>
      <w:hyperlink w:anchor="_Toc465293419" w:history="1">
        <w:r w:rsidR="00752E4C" w:rsidRPr="00D0406E">
          <w:rPr>
            <w:rStyle w:val="Enlla"/>
            <w:noProof/>
          </w:rPr>
          <w:t>7.1.2</w:t>
        </w:r>
        <w:r w:rsidR="00752E4C">
          <w:rPr>
            <w:rFonts w:eastAsiaTheme="minorEastAsia"/>
            <w:smallCaps w:val="0"/>
            <w:noProof/>
            <w:lang w:eastAsia="ca-ES"/>
          </w:rPr>
          <w:tab/>
        </w:r>
        <w:r w:rsidR="00752E4C" w:rsidRPr="00D0406E">
          <w:rPr>
            <w:rStyle w:val="Enlla"/>
            <w:noProof/>
          </w:rPr>
          <w:t>Establiments especials</w:t>
        </w:r>
        <w:r w:rsidR="00752E4C">
          <w:rPr>
            <w:noProof/>
            <w:webHidden/>
          </w:rPr>
          <w:tab/>
        </w:r>
        <w:r w:rsidR="00752E4C">
          <w:rPr>
            <w:noProof/>
            <w:webHidden/>
          </w:rPr>
          <w:fldChar w:fldCharType="begin"/>
        </w:r>
        <w:r w:rsidR="00752E4C">
          <w:rPr>
            <w:noProof/>
            <w:webHidden/>
          </w:rPr>
          <w:instrText xml:space="preserve"> PAGEREF _Toc465293419 \h </w:instrText>
        </w:r>
        <w:r w:rsidR="00752E4C">
          <w:rPr>
            <w:noProof/>
            <w:webHidden/>
          </w:rPr>
        </w:r>
        <w:r w:rsidR="00752E4C">
          <w:rPr>
            <w:noProof/>
            <w:webHidden/>
          </w:rPr>
          <w:fldChar w:fldCharType="separate"/>
        </w:r>
        <w:r w:rsidR="00752E4C">
          <w:rPr>
            <w:noProof/>
            <w:webHidden/>
          </w:rPr>
          <w:t>113</w:t>
        </w:r>
        <w:r w:rsidR="00752E4C">
          <w:rPr>
            <w:noProof/>
            <w:webHidden/>
          </w:rPr>
          <w:fldChar w:fldCharType="end"/>
        </w:r>
      </w:hyperlink>
    </w:p>
    <w:p w:rsidR="00752E4C" w:rsidRDefault="00DB496B">
      <w:pPr>
        <w:pStyle w:val="IDC2"/>
        <w:tabs>
          <w:tab w:val="left" w:pos="502"/>
          <w:tab w:val="right" w:pos="9061"/>
        </w:tabs>
        <w:rPr>
          <w:rFonts w:eastAsiaTheme="minorEastAsia"/>
          <w:b w:val="0"/>
          <w:bCs w:val="0"/>
          <w:smallCaps w:val="0"/>
          <w:noProof/>
          <w:lang w:eastAsia="ca-ES"/>
        </w:rPr>
      </w:pPr>
      <w:hyperlink w:anchor="_Toc465293420" w:history="1">
        <w:r w:rsidR="00752E4C" w:rsidRPr="00D0406E">
          <w:rPr>
            <w:rStyle w:val="Enlla"/>
            <w:noProof/>
          </w:rPr>
          <w:t>7.2</w:t>
        </w:r>
        <w:r w:rsidR="00752E4C">
          <w:rPr>
            <w:rFonts w:eastAsiaTheme="minorEastAsia"/>
            <w:b w:val="0"/>
            <w:bCs w:val="0"/>
            <w:smallCaps w:val="0"/>
            <w:noProof/>
            <w:lang w:eastAsia="ca-ES"/>
          </w:rPr>
          <w:tab/>
        </w:r>
        <w:r w:rsidR="00752E4C" w:rsidRPr="00D0406E">
          <w:rPr>
            <w:rStyle w:val="Enlla"/>
            <w:noProof/>
          </w:rPr>
          <w:t>Model organitzatiu dels centres penitenciaris</w:t>
        </w:r>
        <w:r w:rsidR="00752E4C">
          <w:rPr>
            <w:noProof/>
            <w:webHidden/>
          </w:rPr>
          <w:tab/>
        </w:r>
        <w:r w:rsidR="00752E4C">
          <w:rPr>
            <w:noProof/>
            <w:webHidden/>
          </w:rPr>
          <w:fldChar w:fldCharType="begin"/>
        </w:r>
        <w:r w:rsidR="00752E4C">
          <w:rPr>
            <w:noProof/>
            <w:webHidden/>
          </w:rPr>
          <w:instrText xml:space="preserve"> PAGEREF _Toc465293420 \h </w:instrText>
        </w:r>
        <w:r w:rsidR="00752E4C">
          <w:rPr>
            <w:noProof/>
            <w:webHidden/>
          </w:rPr>
        </w:r>
        <w:r w:rsidR="00752E4C">
          <w:rPr>
            <w:noProof/>
            <w:webHidden/>
          </w:rPr>
          <w:fldChar w:fldCharType="separate"/>
        </w:r>
        <w:r w:rsidR="00752E4C">
          <w:rPr>
            <w:noProof/>
            <w:webHidden/>
          </w:rPr>
          <w:t>114</w:t>
        </w:r>
        <w:r w:rsidR="00752E4C">
          <w:rPr>
            <w:noProof/>
            <w:webHidden/>
          </w:rPr>
          <w:fldChar w:fldCharType="end"/>
        </w:r>
      </w:hyperlink>
    </w:p>
    <w:p w:rsidR="00752E4C" w:rsidRDefault="00DB496B">
      <w:pPr>
        <w:pStyle w:val="IDC3"/>
        <w:tabs>
          <w:tab w:val="left" w:pos="666"/>
          <w:tab w:val="right" w:pos="9061"/>
        </w:tabs>
        <w:rPr>
          <w:rFonts w:eastAsiaTheme="minorEastAsia"/>
          <w:smallCaps w:val="0"/>
          <w:noProof/>
          <w:lang w:eastAsia="ca-ES"/>
        </w:rPr>
      </w:pPr>
      <w:hyperlink w:anchor="_Toc465293421" w:history="1">
        <w:r w:rsidR="00752E4C" w:rsidRPr="00D0406E">
          <w:rPr>
            <w:rStyle w:val="Enlla"/>
            <w:noProof/>
          </w:rPr>
          <w:t>7.2.1</w:t>
        </w:r>
        <w:r w:rsidR="00752E4C">
          <w:rPr>
            <w:rFonts w:eastAsiaTheme="minorEastAsia"/>
            <w:smallCaps w:val="0"/>
            <w:noProof/>
            <w:lang w:eastAsia="ca-ES"/>
          </w:rPr>
          <w:tab/>
        </w:r>
        <w:r w:rsidR="00752E4C" w:rsidRPr="00D0406E">
          <w:rPr>
            <w:rStyle w:val="Enlla"/>
            <w:noProof/>
          </w:rPr>
          <w:t>Estructura dels centres penitenciaris</w:t>
        </w:r>
        <w:r w:rsidR="00752E4C">
          <w:rPr>
            <w:noProof/>
            <w:webHidden/>
          </w:rPr>
          <w:tab/>
        </w:r>
        <w:r w:rsidR="00752E4C">
          <w:rPr>
            <w:noProof/>
            <w:webHidden/>
          </w:rPr>
          <w:fldChar w:fldCharType="begin"/>
        </w:r>
        <w:r w:rsidR="00752E4C">
          <w:rPr>
            <w:noProof/>
            <w:webHidden/>
          </w:rPr>
          <w:instrText xml:space="preserve"> PAGEREF _Toc465293421 \h </w:instrText>
        </w:r>
        <w:r w:rsidR="00752E4C">
          <w:rPr>
            <w:noProof/>
            <w:webHidden/>
          </w:rPr>
        </w:r>
        <w:r w:rsidR="00752E4C">
          <w:rPr>
            <w:noProof/>
            <w:webHidden/>
          </w:rPr>
          <w:fldChar w:fldCharType="separate"/>
        </w:r>
        <w:r w:rsidR="00752E4C">
          <w:rPr>
            <w:noProof/>
            <w:webHidden/>
          </w:rPr>
          <w:t>114</w:t>
        </w:r>
        <w:r w:rsidR="00752E4C">
          <w:rPr>
            <w:noProof/>
            <w:webHidden/>
          </w:rPr>
          <w:fldChar w:fldCharType="end"/>
        </w:r>
      </w:hyperlink>
    </w:p>
    <w:p w:rsidR="00752E4C" w:rsidRDefault="00DB496B">
      <w:pPr>
        <w:pStyle w:val="IDC3"/>
        <w:tabs>
          <w:tab w:val="left" w:pos="666"/>
          <w:tab w:val="right" w:pos="9061"/>
        </w:tabs>
        <w:rPr>
          <w:rFonts w:eastAsiaTheme="minorEastAsia"/>
          <w:smallCaps w:val="0"/>
          <w:noProof/>
          <w:lang w:eastAsia="ca-ES"/>
        </w:rPr>
      </w:pPr>
      <w:hyperlink w:anchor="_Toc465293422" w:history="1">
        <w:r w:rsidR="00752E4C" w:rsidRPr="00D0406E">
          <w:rPr>
            <w:rStyle w:val="Enlla"/>
            <w:noProof/>
          </w:rPr>
          <w:t>7.2.2</w:t>
        </w:r>
        <w:r w:rsidR="00752E4C">
          <w:rPr>
            <w:rFonts w:eastAsiaTheme="minorEastAsia"/>
            <w:smallCaps w:val="0"/>
            <w:noProof/>
            <w:lang w:eastAsia="ca-ES"/>
          </w:rPr>
          <w:tab/>
        </w:r>
        <w:r w:rsidR="00752E4C" w:rsidRPr="00D0406E">
          <w:rPr>
            <w:rStyle w:val="Enlla"/>
            <w:noProof/>
          </w:rPr>
          <w:t>Regulació del funcionament del servei</w:t>
        </w:r>
        <w:r w:rsidR="00752E4C">
          <w:rPr>
            <w:noProof/>
            <w:webHidden/>
          </w:rPr>
          <w:tab/>
        </w:r>
        <w:r w:rsidR="00752E4C">
          <w:rPr>
            <w:noProof/>
            <w:webHidden/>
          </w:rPr>
          <w:fldChar w:fldCharType="begin"/>
        </w:r>
        <w:r w:rsidR="00752E4C">
          <w:rPr>
            <w:noProof/>
            <w:webHidden/>
          </w:rPr>
          <w:instrText xml:space="preserve"> PAGEREF _Toc465293422 \h </w:instrText>
        </w:r>
        <w:r w:rsidR="00752E4C">
          <w:rPr>
            <w:noProof/>
            <w:webHidden/>
          </w:rPr>
        </w:r>
        <w:r w:rsidR="00752E4C">
          <w:rPr>
            <w:noProof/>
            <w:webHidden/>
          </w:rPr>
          <w:fldChar w:fldCharType="separate"/>
        </w:r>
        <w:r w:rsidR="00752E4C">
          <w:rPr>
            <w:noProof/>
            <w:webHidden/>
          </w:rPr>
          <w:t>116</w:t>
        </w:r>
        <w:r w:rsidR="00752E4C">
          <w:rPr>
            <w:noProof/>
            <w:webHidden/>
          </w:rPr>
          <w:fldChar w:fldCharType="end"/>
        </w:r>
      </w:hyperlink>
    </w:p>
    <w:p w:rsidR="00752E4C" w:rsidRDefault="00DB496B">
      <w:pPr>
        <w:pStyle w:val="IDC3"/>
        <w:tabs>
          <w:tab w:val="left" w:pos="666"/>
          <w:tab w:val="right" w:pos="9061"/>
        </w:tabs>
        <w:rPr>
          <w:rFonts w:eastAsiaTheme="minorEastAsia"/>
          <w:smallCaps w:val="0"/>
          <w:noProof/>
          <w:lang w:eastAsia="ca-ES"/>
        </w:rPr>
      </w:pPr>
      <w:hyperlink w:anchor="_Toc465293423" w:history="1">
        <w:r w:rsidR="00752E4C" w:rsidRPr="00D0406E">
          <w:rPr>
            <w:rStyle w:val="Enlla"/>
            <w:noProof/>
          </w:rPr>
          <w:t>7.2.3</w:t>
        </w:r>
        <w:r w:rsidR="00752E4C">
          <w:rPr>
            <w:rFonts w:eastAsiaTheme="minorEastAsia"/>
            <w:smallCaps w:val="0"/>
            <w:noProof/>
            <w:lang w:eastAsia="ca-ES"/>
          </w:rPr>
          <w:tab/>
        </w:r>
        <w:r w:rsidR="00752E4C" w:rsidRPr="00D0406E">
          <w:rPr>
            <w:rStyle w:val="Enlla"/>
            <w:noProof/>
          </w:rPr>
          <w:t>Organització dels serveis</w:t>
        </w:r>
        <w:r w:rsidR="00752E4C">
          <w:rPr>
            <w:noProof/>
            <w:webHidden/>
          </w:rPr>
          <w:tab/>
        </w:r>
        <w:r w:rsidR="00752E4C">
          <w:rPr>
            <w:noProof/>
            <w:webHidden/>
          </w:rPr>
          <w:fldChar w:fldCharType="begin"/>
        </w:r>
        <w:r w:rsidR="00752E4C">
          <w:rPr>
            <w:noProof/>
            <w:webHidden/>
          </w:rPr>
          <w:instrText xml:space="preserve"> PAGEREF _Toc465293423 \h </w:instrText>
        </w:r>
        <w:r w:rsidR="00752E4C">
          <w:rPr>
            <w:noProof/>
            <w:webHidden/>
          </w:rPr>
        </w:r>
        <w:r w:rsidR="00752E4C">
          <w:rPr>
            <w:noProof/>
            <w:webHidden/>
          </w:rPr>
          <w:fldChar w:fldCharType="separate"/>
        </w:r>
        <w:r w:rsidR="00752E4C">
          <w:rPr>
            <w:noProof/>
            <w:webHidden/>
          </w:rPr>
          <w:t>116</w:t>
        </w:r>
        <w:r w:rsidR="00752E4C">
          <w:rPr>
            <w:noProof/>
            <w:webHidden/>
          </w:rPr>
          <w:fldChar w:fldCharType="end"/>
        </w:r>
      </w:hyperlink>
    </w:p>
    <w:p w:rsidR="00752E4C" w:rsidRDefault="00DB496B">
      <w:pPr>
        <w:pStyle w:val="IDC2"/>
        <w:tabs>
          <w:tab w:val="left" w:pos="502"/>
          <w:tab w:val="right" w:pos="9061"/>
        </w:tabs>
        <w:rPr>
          <w:rFonts w:eastAsiaTheme="minorEastAsia"/>
          <w:b w:val="0"/>
          <w:bCs w:val="0"/>
          <w:smallCaps w:val="0"/>
          <w:noProof/>
          <w:lang w:eastAsia="ca-ES"/>
        </w:rPr>
      </w:pPr>
      <w:hyperlink w:anchor="_Toc465293424" w:history="1">
        <w:r w:rsidR="00752E4C" w:rsidRPr="00D0406E">
          <w:rPr>
            <w:rStyle w:val="Enlla"/>
            <w:noProof/>
          </w:rPr>
          <w:t>7.3</w:t>
        </w:r>
        <w:r w:rsidR="00752E4C">
          <w:rPr>
            <w:rFonts w:eastAsiaTheme="minorEastAsia"/>
            <w:b w:val="0"/>
            <w:bCs w:val="0"/>
            <w:smallCaps w:val="0"/>
            <w:noProof/>
            <w:lang w:eastAsia="ca-ES"/>
          </w:rPr>
          <w:tab/>
        </w:r>
        <w:r w:rsidR="00752E4C" w:rsidRPr="00D0406E">
          <w:rPr>
            <w:rStyle w:val="Enlla"/>
            <w:noProof/>
          </w:rPr>
          <w:t>Òrgans consultius</w:t>
        </w:r>
        <w:r w:rsidR="00752E4C">
          <w:rPr>
            <w:noProof/>
            <w:webHidden/>
          </w:rPr>
          <w:tab/>
        </w:r>
        <w:r w:rsidR="00752E4C">
          <w:rPr>
            <w:noProof/>
            <w:webHidden/>
          </w:rPr>
          <w:fldChar w:fldCharType="begin"/>
        </w:r>
        <w:r w:rsidR="00752E4C">
          <w:rPr>
            <w:noProof/>
            <w:webHidden/>
          </w:rPr>
          <w:instrText xml:space="preserve"> PAGEREF _Toc465293424 \h </w:instrText>
        </w:r>
        <w:r w:rsidR="00752E4C">
          <w:rPr>
            <w:noProof/>
            <w:webHidden/>
          </w:rPr>
        </w:r>
        <w:r w:rsidR="00752E4C">
          <w:rPr>
            <w:noProof/>
            <w:webHidden/>
          </w:rPr>
          <w:fldChar w:fldCharType="separate"/>
        </w:r>
        <w:r w:rsidR="00752E4C">
          <w:rPr>
            <w:noProof/>
            <w:webHidden/>
          </w:rPr>
          <w:t>118</w:t>
        </w:r>
        <w:r w:rsidR="00752E4C">
          <w:rPr>
            <w:noProof/>
            <w:webHidden/>
          </w:rPr>
          <w:fldChar w:fldCharType="end"/>
        </w:r>
      </w:hyperlink>
    </w:p>
    <w:p w:rsidR="00752E4C" w:rsidRDefault="00DB496B">
      <w:pPr>
        <w:pStyle w:val="IDC3"/>
        <w:tabs>
          <w:tab w:val="left" w:pos="666"/>
          <w:tab w:val="right" w:pos="9061"/>
        </w:tabs>
        <w:rPr>
          <w:rFonts w:eastAsiaTheme="minorEastAsia"/>
          <w:smallCaps w:val="0"/>
          <w:noProof/>
          <w:lang w:eastAsia="ca-ES"/>
        </w:rPr>
      </w:pPr>
      <w:hyperlink w:anchor="_Toc465293425" w:history="1">
        <w:r w:rsidR="00752E4C" w:rsidRPr="00D0406E">
          <w:rPr>
            <w:rStyle w:val="Enlla"/>
            <w:noProof/>
          </w:rPr>
          <w:t>7.3.1</w:t>
        </w:r>
        <w:r w:rsidR="00752E4C">
          <w:rPr>
            <w:rFonts w:eastAsiaTheme="minorEastAsia"/>
            <w:smallCaps w:val="0"/>
            <w:noProof/>
            <w:lang w:eastAsia="ca-ES"/>
          </w:rPr>
          <w:tab/>
        </w:r>
        <w:r w:rsidR="00752E4C" w:rsidRPr="00D0406E">
          <w:rPr>
            <w:rStyle w:val="Enlla"/>
            <w:noProof/>
          </w:rPr>
          <w:t>La participació social</w:t>
        </w:r>
        <w:r w:rsidR="00752E4C">
          <w:rPr>
            <w:noProof/>
            <w:webHidden/>
          </w:rPr>
          <w:tab/>
        </w:r>
        <w:r w:rsidR="00752E4C">
          <w:rPr>
            <w:noProof/>
            <w:webHidden/>
          </w:rPr>
          <w:fldChar w:fldCharType="begin"/>
        </w:r>
        <w:r w:rsidR="00752E4C">
          <w:rPr>
            <w:noProof/>
            <w:webHidden/>
          </w:rPr>
          <w:instrText xml:space="preserve"> PAGEREF _Toc465293425 \h </w:instrText>
        </w:r>
        <w:r w:rsidR="00752E4C">
          <w:rPr>
            <w:noProof/>
            <w:webHidden/>
          </w:rPr>
        </w:r>
        <w:r w:rsidR="00752E4C">
          <w:rPr>
            <w:noProof/>
            <w:webHidden/>
          </w:rPr>
          <w:fldChar w:fldCharType="separate"/>
        </w:r>
        <w:r w:rsidR="00752E4C">
          <w:rPr>
            <w:noProof/>
            <w:webHidden/>
          </w:rPr>
          <w:t>118</w:t>
        </w:r>
        <w:r w:rsidR="00752E4C">
          <w:rPr>
            <w:noProof/>
            <w:webHidden/>
          </w:rPr>
          <w:fldChar w:fldCharType="end"/>
        </w:r>
      </w:hyperlink>
    </w:p>
    <w:p w:rsidR="00752E4C" w:rsidRDefault="00DB496B">
      <w:pPr>
        <w:pStyle w:val="IDC3"/>
        <w:tabs>
          <w:tab w:val="left" w:pos="666"/>
          <w:tab w:val="right" w:pos="9061"/>
        </w:tabs>
        <w:rPr>
          <w:rFonts w:eastAsiaTheme="minorEastAsia"/>
          <w:smallCaps w:val="0"/>
          <w:noProof/>
          <w:lang w:eastAsia="ca-ES"/>
        </w:rPr>
      </w:pPr>
      <w:hyperlink w:anchor="_Toc465293426" w:history="1">
        <w:r w:rsidR="00752E4C" w:rsidRPr="00D0406E">
          <w:rPr>
            <w:rStyle w:val="Enlla"/>
            <w:noProof/>
          </w:rPr>
          <w:t>7.3.2</w:t>
        </w:r>
        <w:r w:rsidR="00752E4C">
          <w:rPr>
            <w:rFonts w:eastAsiaTheme="minorEastAsia"/>
            <w:smallCaps w:val="0"/>
            <w:noProof/>
            <w:lang w:eastAsia="ca-ES"/>
          </w:rPr>
          <w:tab/>
        </w:r>
        <w:r w:rsidR="00752E4C" w:rsidRPr="00D0406E">
          <w:rPr>
            <w:rStyle w:val="Enlla"/>
            <w:noProof/>
          </w:rPr>
          <w:t>Òrgans consultius del departament competent en matèria d’execució penal</w:t>
        </w:r>
        <w:r w:rsidR="00752E4C">
          <w:rPr>
            <w:noProof/>
            <w:webHidden/>
          </w:rPr>
          <w:tab/>
        </w:r>
        <w:r w:rsidR="00752E4C">
          <w:rPr>
            <w:noProof/>
            <w:webHidden/>
          </w:rPr>
          <w:fldChar w:fldCharType="begin"/>
        </w:r>
        <w:r w:rsidR="00752E4C">
          <w:rPr>
            <w:noProof/>
            <w:webHidden/>
          </w:rPr>
          <w:instrText xml:space="preserve"> PAGEREF _Toc465293426 \h </w:instrText>
        </w:r>
        <w:r w:rsidR="00752E4C">
          <w:rPr>
            <w:noProof/>
            <w:webHidden/>
          </w:rPr>
        </w:r>
        <w:r w:rsidR="00752E4C">
          <w:rPr>
            <w:noProof/>
            <w:webHidden/>
          </w:rPr>
          <w:fldChar w:fldCharType="separate"/>
        </w:r>
        <w:r w:rsidR="00752E4C">
          <w:rPr>
            <w:noProof/>
            <w:webHidden/>
          </w:rPr>
          <w:t>118</w:t>
        </w:r>
        <w:r w:rsidR="00752E4C">
          <w:rPr>
            <w:noProof/>
            <w:webHidden/>
          </w:rPr>
          <w:fldChar w:fldCharType="end"/>
        </w:r>
      </w:hyperlink>
    </w:p>
    <w:p w:rsidR="00752E4C" w:rsidRDefault="00DB496B">
      <w:pPr>
        <w:pStyle w:val="IDC2"/>
        <w:tabs>
          <w:tab w:val="left" w:pos="502"/>
          <w:tab w:val="right" w:pos="9061"/>
        </w:tabs>
        <w:rPr>
          <w:rFonts w:eastAsiaTheme="minorEastAsia"/>
          <w:b w:val="0"/>
          <w:bCs w:val="0"/>
          <w:smallCaps w:val="0"/>
          <w:noProof/>
          <w:lang w:eastAsia="ca-ES"/>
        </w:rPr>
      </w:pPr>
      <w:hyperlink w:anchor="_Toc465293427" w:history="1">
        <w:r w:rsidR="00752E4C" w:rsidRPr="00D0406E">
          <w:rPr>
            <w:rStyle w:val="Enlla"/>
            <w:noProof/>
          </w:rPr>
          <w:t>7.4</w:t>
        </w:r>
        <w:r w:rsidR="00752E4C">
          <w:rPr>
            <w:rFonts w:eastAsiaTheme="minorEastAsia"/>
            <w:b w:val="0"/>
            <w:bCs w:val="0"/>
            <w:smallCaps w:val="0"/>
            <w:noProof/>
            <w:lang w:eastAsia="ca-ES"/>
          </w:rPr>
          <w:tab/>
        </w:r>
        <w:r w:rsidR="00752E4C" w:rsidRPr="00D0406E">
          <w:rPr>
            <w:rStyle w:val="Enlla"/>
            <w:noProof/>
          </w:rPr>
          <w:t>Els serveis socials en l’àmbit de l’execució penal</w:t>
        </w:r>
        <w:r w:rsidR="00752E4C">
          <w:rPr>
            <w:noProof/>
            <w:webHidden/>
          </w:rPr>
          <w:tab/>
        </w:r>
        <w:r w:rsidR="00752E4C">
          <w:rPr>
            <w:noProof/>
            <w:webHidden/>
          </w:rPr>
          <w:fldChar w:fldCharType="begin"/>
        </w:r>
        <w:r w:rsidR="00752E4C">
          <w:rPr>
            <w:noProof/>
            <w:webHidden/>
          </w:rPr>
          <w:instrText xml:space="preserve"> PAGEREF _Toc465293427 \h </w:instrText>
        </w:r>
        <w:r w:rsidR="00752E4C">
          <w:rPr>
            <w:noProof/>
            <w:webHidden/>
          </w:rPr>
        </w:r>
        <w:r w:rsidR="00752E4C">
          <w:rPr>
            <w:noProof/>
            <w:webHidden/>
          </w:rPr>
          <w:fldChar w:fldCharType="separate"/>
        </w:r>
        <w:r w:rsidR="00752E4C">
          <w:rPr>
            <w:noProof/>
            <w:webHidden/>
          </w:rPr>
          <w:t>119</w:t>
        </w:r>
        <w:r w:rsidR="00752E4C">
          <w:rPr>
            <w:noProof/>
            <w:webHidden/>
          </w:rPr>
          <w:fldChar w:fldCharType="end"/>
        </w:r>
      </w:hyperlink>
    </w:p>
    <w:p w:rsidR="00752E4C" w:rsidRDefault="00DB496B">
      <w:pPr>
        <w:pStyle w:val="IDC2"/>
        <w:tabs>
          <w:tab w:val="left" w:pos="502"/>
          <w:tab w:val="right" w:pos="9061"/>
        </w:tabs>
        <w:rPr>
          <w:rFonts w:eastAsiaTheme="minorEastAsia"/>
          <w:b w:val="0"/>
          <w:bCs w:val="0"/>
          <w:smallCaps w:val="0"/>
          <w:noProof/>
          <w:lang w:eastAsia="ca-ES"/>
        </w:rPr>
      </w:pPr>
      <w:hyperlink w:anchor="_Toc465293428" w:history="1">
        <w:r w:rsidR="00752E4C" w:rsidRPr="00D0406E">
          <w:rPr>
            <w:rStyle w:val="Enlla"/>
            <w:noProof/>
          </w:rPr>
          <w:t>7.5</w:t>
        </w:r>
        <w:r w:rsidR="00752E4C">
          <w:rPr>
            <w:rFonts w:eastAsiaTheme="minorEastAsia"/>
            <w:b w:val="0"/>
            <w:bCs w:val="0"/>
            <w:smallCaps w:val="0"/>
            <w:noProof/>
            <w:lang w:eastAsia="ca-ES"/>
          </w:rPr>
          <w:tab/>
        </w:r>
        <w:r w:rsidR="00752E4C" w:rsidRPr="00D0406E">
          <w:rPr>
            <w:rStyle w:val="Enlla"/>
            <w:noProof/>
          </w:rPr>
          <w:t>Règim econòmic</w:t>
        </w:r>
        <w:r w:rsidR="00752E4C">
          <w:rPr>
            <w:noProof/>
            <w:webHidden/>
          </w:rPr>
          <w:tab/>
        </w:r>
        <w:r w:rsidR="00752E4C">
          <w:rPr>
            <w:noProof/>
            <w:webHidden/>
          </w:rPr>
          <w:fldChar w:fldCharType="begin"/>
        </w:r>
        <w:r w:rsidR="00752E4C">
          <w:rPr>
            <w:noProof/>
            <w:webHidden/>
          </w:rPr>
          <w:instrText xml:space="preserve"> PAGEREF _Toc465293428 \h </w:instrText>
        </w:r>
        <w:r w:rsidR="00752E4C">
          <w:rPr>
            <w:noProof/>
            <w:webHidden/>
          </w:rPr>
        </w:r>
        <w:r w:rsidR="00752E4C">
          <w:rPr>
            <w:noProof/>
            <w:webHidden/>
          </w:rPr>
          <w:fldChar w:fldCharType="separate"/>
        </w:r>
        <w:r w:rsidR="00752E4C">
          <w:rPr>
            <w:noProof/>
            <w:webHidden/>
          </w:rPr>
          <w:t>119</w:t>
        </w:r>
        <w:r w:rsidR="00752E4C">
          <w:rPr>
            <w:noProof/>
            <w:webHidden/>
          </w:rPr>
          <w:fldChar w:fldCharType="end"/>
        </w:r>
      </w:hyperlink>
    </w:p>
    <w:p w:rsidR="00752E4C" w:rsidRDefault="00DB496B">
      <w:pPr>
        <w:pStyle w:val="IDC3"/>
        <w:tabs>
          <w:tab w:val="left" w:pos="666"/>
          <w:tab w:val="right" w:pos="9061"/>
        </w:tabs>
        <w:rPr>
          <w:rFonts w:eastAsiaTheme="minorEastAsia"/>
          <w:smallCaps w:val="0"/>
          <w:noProof/>
          <w:lang w:eastAsia="ca-ES"/>
        </w:rPr>
      </w:pPr>
      <w:hyperlink w:anchor="_Toc465293429" w:history="1">
        <w:r w:rsidR="00752E4C" w:rsidRPr="00D0406E">
          <w:rPr>
            <w:rStyle w:val="Enlla"/>
            <w:noProof/>
          </w:rPr>
          <w:t>7.5.1</w:t>
        </w:r>
        <w:r w:rsidR="00752E4C">
          <w:rPr>
            <w:rFonts w:eastAsiaTheme="minorEastAsia"/>
            <w:smallCaps w:val="0"/>
            <w:noProof/>
            <w:lang w:eastAsia="ca-ES"/>
          </w:rPr>
          <w:tab/>
        </w:r>
        <w:r w:rsidR="00752E4C" w:rsidRPr="00D0406E">
          <w:rPr>
            <w:rStyle w:val="Enlla"/>
            <w:noProof/>
          </w:rPr>
          <w:t>Gestió dels economats, les cafeteries i les cuines</w:t>
        </w:r>
        <w:r w:rsidR="00752E4C">
          <w:rPr>
            <w:noProof/>
            <w:webHidden/>
          </w:rPr>
          <w:tab/>
        </w:r>
        <w:r w:rsidR="00752E4C">
          <w:rPr>
            <w:noProof/>
            <w:webHidden/>
          </w:rPr>
          <w:fldChar w:fldCharType="begin"/>
        </w:r>
        <w:r w:rsidR="00752E4C">
          <w:rPr>
            <w:noProof/>
            <w:webHidden/>
          </w:rPr>
          <w:instrText xml:space="preserve"> PAGEREF _Toc465293429 \h </w:instrText>
        </w:r>
        <w:r w:rsidR="00752E4C">
          <w:rPr>
            <w:noProof/>
            <w:webHidden/>
          </w:rPr>
        </w:r>
        <w:r w:rsidR="00752E4C">
          <w:rPr>
            <w:noProof/>
            <w:webHidden/>
          </w:rPr>
          <w:fldChar w:fldCharType="separate"/>
        </w:r>
        <w:r w:rsidR="00752E4C">
          <w:rPr>
            <w:noProof/>
            <w:webHidden/>
          </w:rPr>
          <w:t>120</w:t>
        </w:r>
        <w:r w:rsidR="00752E4C">
          <w:rPr>
            <w:noProof/>
            <w:webHidden/>
          </w:rPr>
          <w:fldChar w:fldCharType="end"/>
        </w:r>
      </w:hyperlink>
    </w:p>
    <w:p w:rsidR="00752E4C" w:rsidRDefault="00DB496B">
      <w:pPr>
        <w:pStyle w:val="IDC3"/>
        <w:tabs>
          <w:tab w:val="left" w:pos="666"/>
          <w:tab w:val="right" w:pos="9061"/>
        </w:tabs>
        <w:rPr>
          <w:rFonts w:eastAsiaTheme="minorEastAsia"/>
          <w:smallCaps w:val="0"/>
          <w:noProof/>
          <w:lang w:eastAsia="ca-ES"/>
        </w:rPr>
      </w:pPr>
      <w:hyperlink w:anchor="_Toc465293430" w:history="1">
        <w:r w:rsidR="00752E4C" w:rsidRPr="00D0406E">
          <w:rPr>
            <w:rStyle w:val="Enlla"/>
            <w:noProof/>
          </w:rPr>
          <w:t>7.5.2</w:t>
        </w:r>
        <w:r w:rsidR="00752E4C">
          <w:rPr>
            <w:rFonts w:eastAsiaTheme="minorEastAsia"/>
            <w:smallCaps w:val="0"/>
            <w:noProof/>
            <w:lang w:eastAsia="ca-ES"/>
          </w:rPr>
          <w:tab/>
        </w:r>
        <w:r w:rsidR="00752E4C" w:rsidRPr="00D0406E">
          <w:rPr>
            <w:rStyle w:val="Enlla"/>
            <w:noProof/>
          </w:rPr>
          <w:t>Gestió econòmica administrativa de les despeses d’alimentació</w:t>
        </w:r>
        <w:r w:rsidR="00752E4C">
          <w:rPr>
            <w:noProof/>
            <w:webHidden/>
          </w:rPr>
          <w:tab/>
        </w:r>
        <w:r w:rsidR="00752E4C">
          <w:rPr>
            <w:noProof/>
            <w:webHidden/>
          </w:rPr>
          <w:fldChar w:fldCharType="begin"/>
        </w:r>
        <w:r w:rsidR="00752E4C">
          <w:rPr>
            <w:noProof/>
            <w:webHidden/>
          </w:rPr>
          <w:instrText xml:space="preserve"> PAGEREF _Toc465293430 \h </w:instrText>
        </w:r>
        <w:r w:rsidR="00752E4C">
          <w:rPr>
            <w:noProof/>
            <w:webHidden/>
          </w:rPr>
        </w:r>
        <w:r w:rsidR="00752E4C">
          <w:rPr>
            <w:noProof/>
            <w:webHidden/>
          </w:rPr>
          <w:fldChar w:fldCharType="separate"/>
        </w:r>
        <w:r w:rsidR="00752E4C">
          <w:rPr>
            <w:noProof/>
            <w:webHidden/>
          </w:rPr>
          <w:t>120</w:t>
        </w:r>
        <w:r w:rsidR="00752E4C">
          <w:rPr>
            <w:noProof/>
            <w:webHidden/>
          </w:rPr>
          <w:fldChar w:fldCharType="end"/>
        </w:r>
      </w:hyperlink>
    </w:p>
    <w:p w:rsidR="00752E4C" w:rsidRDefault="00DB496B">
      <w:pPr>
        <w:pStyle w:val="IDC2"/>
        <w:tabs>
          <w:tab w:val="left" w:pos="502"/>
          <w:tab w:val="right" w:pos="9061"/>
        </w:tabs>
        <w:rPr>
          <w:rFonts w:eastAsiaTheme="minorEastAsia"/>
          <w:b w:val="0"/>
          <w:bCs w:val="0"/>
          <w:smallCaps w:val="0"/>
          <w:noProof/>
          <w:lang w:eastAsia="ca-ES"/>
        </w:rPr>
      </w:pPr>
      <w:hyperlink w:anchor="_Toc465293431" w:history="1">
        <w:r w:rsidR="00752E4C" w:rsidRPr="00D0406E">
          <w:rPr>
            <w:rStyle w:val="Enlla"/>
            <w:noProof/>
          </w:rPr>
          <w:t>7.6</w:t>
        </w:r>
        <w:r w:rsidR="00752E4C">
          <w:rPr>
            <w:rFonts w:eastAsiaTheme="minorEastAsia"/>
            <w:b w:val="0"/>
            <w:bCs w:val="0"/>
            <w:smallCaps w:val="0"/>
            <w:noProof/>
            <w:lang w:eastAsia="ca-ES"/>
          </w:rPr>
          <w:tab/>
        </w:r>
        <w:r w:rsidR="00752E4C" w:rsidRPr="00D0406E">
          <w:rPr>
            <w:rStyle w:val="Enlla"/>
            <w:noProof/>
          </w:rPr>
          <w:t>La relació orgànica i funcional del centre directiu i els centres penitenciaris</w:t>
        </w:r>
        <w:r w:rsidR="00752E4C">
          <w:rPr>
            <w:noProof/>
            <w:webHidden/>
          </w:rPr>
          <w:tab/>
        </w:r>
        <w:r w:rsidR="00752E4C">
          <w:rPr>
            <w:noProof/>
            <w:webHidden/>
          </w:rPr>
          <w:fldChar w:fldCharType="begin"/>
        </w:r>
        <w:r w:rsidR="00752E4C">
          <w:rPr>
            <w:noProof/>
            <w:webHidden/>
          </w:rPr>
          <w:instrText xml:space="preserve"> PAGEREF _Toc465293431 \h </w:instrText>
        </w:r>
        <w:r w:rsidR="00752E4C">
          <w:rPr>
            <w:noProof/>
            <w:webHidden/>
          </w:rPr>
        </w:r>
        <w:r w:rsidR="00752E4C">
          <w:rPr>
            <w:noProof/>
            <w:webHidden/>
          </w:rPr>
          <w:fldChar w:fldCharType="separate"/>
        </w:r>
        <w:r w:rsidR="00752E4C">
          <w:rPr>
            <w:noProof/>
            <w:webHidden/>
          </w:rPr>
          <w:t>121</w:t>
        </w:r>
        <w:r w:rsidR="00752E4C">
          <w:rPr>
            <w:noProof/>
            <w:webHidden/>
          </w:rPr>
          <w:fldChar w:fldCharType="end"/>
        </w:r>
      </w:hyperlink>
    </w:p>
    <w:p w:rsidR="00752E4C" w:rsidRDefault="00DB496B">
      <w:pPr>
        <w:pStyle w:val="IDC2"/>
        <w:tabs>
          <w:tab w:val="left" w:pos="502"/>
          <w:tab w:val="right" w:pos="9061"/>
        </w:tabs>
        <w:rPr>
          <w:rFonts w:eastAsiaTheme="minorEastAsia"/>
          <w:b w:val="0"/>
          <w:bCs w:val="0"/>
          <w:smallCaps w:val="0"/>
          <w:noProof/>
          <w:lang w:eastAsia="ca-ES"/>
        </w:rPr>
      </w:pPr>
      <w:hyperlink w:anchor="_Toc465293432" w:history="1">
        <w:r w:rsidR="00752E4C" w:rsidRPr="00D0406E">
          <w:rPr>
            <w:rStyle w:val="Enlla"/>
            <w:noProof/>
          </w:rPr>
          <w:t>7.7</w:t>
        </w:r>
        <w:r w:rsidR="00752E4C">
          <w:rPr>
            <w:rFonts w:eastAsiaTheme="minorEastAsia"/>
            <w:b w:val="0"/>
            <w:bCs w:val="0"/>
            <w:smallCaps w:val="0"/>
            <w:noProof/>
            <w:lang w:eastAsia="ca-ES"/>
          </w:rPr>
          <w:tab/>
        </w:r>
        <w:r w:rsidR="00752E4C" w:rsidRPr="00D0406E">
          <w:rPr>
            <w:rStyle w:val="Enlla"/>
            <w:noProof/>
          </w:rPr>
          <w:t>La Inspecció de serveis</w:t>
        </w:r>
        <w:r w:rsidR="00752E4C">
          <w:rPr>
            <w:noProof/>
            <w:webHidden/>
          </w:rPr>
          <w:tab/>
        </w:r>
        <w:r w:rsidR="00752E4C">
          <w:rPr>
            <w:noProof/>
            <w:webHidden/>
          </w:rPr>
          <w:fldChar w:fldCharType="begin"/>
        </w:r>
        <w:r w:rsidR="00752E4C">
          <w:rPr>
            <w:noProof/>
            <w:webHidden/>
          </w:rPr>
          <w:instrText xml:space="preserve"> PAGEREF _Toc465293432 \h </w:instrText>
        </w:r>
        <w:r w:rsidR="00752E4C">
          <w:rPr>
            <w:noProof/>
            <w:webHidden/>
          </w:rPr>
        </w:r>
        <w:r w:rsidR="00752E4C">
          <w:rPr>
            <w:noProof/>
            <w:webHidden/>
          </w:rPr>
          <w:fldChar w:fldCharType="separate"/>
        </w:r>
        <w:r w:rsidR="00752E4C">
          <w:rPr>
            <w:noProof/>
            <w:webHidden/>
          </w:rPr>
          <w:t>121</w:t>
        </w:r>
        <w:r w:rsidR="00752E4C">
          <w:rPr>
            <w:noProof/>
            <w:webHidden/>
          </w:rPr>
          <w:fldChar w:fldCharType="end"/>
        </w:r>
      </w:hyperlink>
    </w:p>
    <w:p w:rsidR="00752E4C" w:rsidRDefault="00DB496B">
      <w:pPr>
        <w:pStyle w:val="IDC3"/>
        <w:tabs>
          <w:tab w:val="left" w:pos="666"/>
          <w:tab w:val="right" w:pos="9061"/>
        </w:tabs>
        <w:rPr>
          <w:rFonts w:eastAsiaTheme="minorEastAsia"/>
          <w:smallCaps w:val="0"/>
          <w:noProof/>
          <w:lang w:eastAsia="ca-ES"/>
        </w:rPr>
      </w:pPr>
      <w:hyperlink w:anchor="_Toc465293433" w:history="1">
        <w:r w:rsidR="00752E4C" w:rsidRPr="00D0406E">
          <w:rPr>
            <w:rStyle w:val="Enlla"/>
            <w:noProof/>
          </w:rPr>
          <w:t>7.7.1</w:t>
        </w:r>
        <w:r w:rsidR="00752E4C">
          <w:rPr>
            <w:rFonts w:eastAsiaTheme="minorEastAsia"/>
            <w:smallCaps w:val="0"/>
            <w:noProof/>
            <w:lang w:eastAsia="ca-ES"/>
          </w:rPr>
          <w:tab/>
        </w:r>
        <w:r w:rsidR="00752E4C" w:rsidRPr="00D0406E">
          <w:rPr>
            <w:rStyle w:val="Enlla"/>
            <w:noProof/>
          </w:rPr>
          <w:t>L’activitat inspectora</w:t>
        </w:r>
        <w:r w:rsidR="00752E4C">
          <w:rPr>
            <w:noProof/>
            <w:webHidden/>
          </w:rPr>
          <w:tab/>
        </w:r>
        <w:r w:rsidR="00752E4C">
          <w:rPr>
            <w:noProof/>
            <w:webHidden/>
          </w:rPr>
          <w:fldChar w:fldCharType="begin"/>
        </w:r>
        <w:r w:rsidR="00752E4C">
          <w:rPr>
            <w:noProof/>
            <w:webHidden/>
          </w:rPr>
          <w:instrText xml:space="preserve"> PAGEREF _Toc465293433 \h </w:instrText>
        </w:r>
        <w:r w:rsidR="00752E4C">
          <w:rPr>
            <w:noProof/>
            <w:webHidden/>
          </w:rPr>
        </w:r>
        <w:r w:rsidR="00752E4C">
          <w:rPr>
            <w:noProof/>
            <w:webHidden/>
          </w:rPr>
          <w:fldChar w:fldCharType="separate"/>
        </w:r>
        <w:r w:rsidR="00752E4C">
          <w:rPr>
            <w:noProof/>
            <w:webHidden/>
          </w:rPr>
          <w:t>122</w:t>
        </w:r>
        <w:r w:rsidR="00752E4C">
          <w:rPr>
            <w:noProof/>
            <w:webHidden/>
          </w:rPr>
          <w:fldChar w:fldCharType="end"/>
        </w:r>
      </w:hyperlink>
    </w:p>
    <w:p w:rsidR="00752E4C" w:rsidRDefault="00DB496B">
      <w:pPr>
        <w:pStyle w:val="IDC3"/>
        <w:tabs>
          <w:tab w:val="left" w:pos="666"/>
          <w:tab w:val="right" w:pos="9061"/>
        </w:tabs>
        <w:rPr>
          <w:rFonts w:eastAsiaTheme="minorEastAsia"/>
          <w:smallCaps w:val="0"/>
          <w:noProof/>
          <w:lang w:eastAsia="ca-ES"/>
        </w:rPr>
      </w:pPr>
      <w:hyperlink w:anchor="_Toc465293434" w:history="1">
        <w:r w:rsidR="00752E4C" w:rsidRPr="00D0406E">
          <w:rPr>
            <w:rStyle w:val="Enlla"/>
            <w:noProof/>
          </w:rPr>
          <w:t>7.7.2</w:t>
        </w:r>
        <w:r w:rsidR="00752E4C">
          <w:rPr>
            <w:rFonts w:eastAsiaTheme="minorEastAsia"/>
            <w:smallCaps w:val="0"/>
            <w:noProof/>
            <w:lang w:eastAsia="ca-ES"/>
          </w:rPr>
          <w:tab/>
        </w:r>
        <w:r w:rsidR="00752E4C" w:rsidRPr="00D0406E">
          <w:rPr>
            <w:rStyle w:val="Enlla"/>
            <w:noProof/>
          </w:rPr>
          <w:t>La investigació</w:t>
        </w:r>
        <w:r w:rsidR="00752E4C">
          <w:rPr>
            <w:noProof/>
            <w:webHidden/>
          </w:rPr>
          <w:tab/>
        </w:r>
        <w:r w:rsidR="00752E4C">
          <w:rPr>
            <w:noProof/>
            <w:webHidden/>
          </w:rPr>
          <w:fldChar w:fldCharType="begin"/>
        </w:r>
        <w:r w:rsidR="00752E4C">
          <w:rPr>
            <w:noProof/>
            <w:webHidden/>
          </w:rPr>
          <w:instrText xml:space="preserve"> PAGEREF _Toc465293434 \h </w:instrText>
        </w:r>
        <w:r w:rsidR="00752E4C">
          <w:rPr>
            <w:noProof/>
            <w:webHidden/>
          </w:rPr>
        </w:r>
        <w:r w:rsidR="00752E4C">
          <w:rPr>
            <w:noProof/>
            <w:webHidden/>
          </w:rPr>
          <w:fldChar w:fldCharType="separate"/>
        </w:r>
        <w:r w:rsidR="00752E4C">
          <w:rPr>
            <w:noProof/>
            <w:webHidden/>
          </w:rPr>
          <w:t>123</w:t>
        </w:r>
        <w:r w:rsidR="00752E4C">
          <w:rPr>
            <w:noProof/>
            <w:webHidden/>
          </w:rPr>
          <w:fldChar w:fldCharType="end"/>
        </w:r>
      </w:hyperlink>
    </w:p>
    <w:p w:rsidR="00752E4C" w:rsidRDefault="00DB496B">
      <w:pPr>
        <w:pStyle w:val="IDC3"/>
        <w:tabs>
          <w:tab w:val="left" w:pos="666"/>
          <w:tab w:val="right" w:pos="9061"/>
        </w:tabs>
        <w:rPr>
          <w:rFonts w:eastAsiaTheme="minorEastAsia"/>
          <w:smallCaps w:val="0"/>
          <w:noProof/>
          <w:lang w:eastAsia="ca-ES"/>
        </w:rPr>
      </w:pPr>
      <w:hyperlink w:anchor="_Toc465293435" w:history="1">
        <w:r w:rsidR="00752E4C" w:rsidRPr="00D0406E">
          <w:rPr>
            <w:rStyle w:val="Enlla"/>
            <w:noProof/>
          </w:rPr>
          <w:t>7.7.3</w:t>
        </w:r>
        <w:r w:rsidR="00752E4C">
          <w:rPr>
            <w:rFonts w:eastAsiaTheme="minorEastAsia"/>
            <w:smallCaps w:val="0"/>
            <w:noProof/>
            <w:lang w:eastAsia="ca-ES"/>
          </w:rPr>
          <w:tab/>
        </w:r>
        <w:r w:rsidR="00752E4C" w:rsidRPr="00D0406E">
          <w:rPr>
            <w:rStyle w:val="Enlla"/>
            <w:noProof/>
          </w:rPr>
          <w:t>Activitat disciplinària</w:t>
        </w:r>
        <w:r w:rsidR="00752E4C">
          <w:rPr>
            <w:noProof/>
            <w:webHidden/>
          </w:rPr>
          <w:tab/>
        </w:r>
        <w:r w:rsidR="00752E4C">
          <w:rPr>
            <w:noProof/>
            <w:webHidden/>
          </w:rPr>
          <w:fldChar w:fldCharType="begin"/>
        </w:r>
        <w:r w:rsidR="00752E4C">
          <w:rPr>
            <w:noProof/>
            <w:webHidden/>
          </w:rPr>
          <w:instrText xml:space="preserve"> PAGEREF _Toc465293435 \h </w:instrText>
        </w:r>
        <w:r w:rsidR="00752E4C">
          <w:rPr>
            <w:noProof/>
            <w:webHidden/>
          </w:rPr>
        </w:r>
        <w:r w:rsidR="00752E4C">
          <w:rPr>
            <w:noProof/>
            <w:webHidden/>
          </w:rPr>
          <w:fldChar w:fldCharType="separate"/>
        </w:r>
        <w:r w:rsidR="00752E4C">
          <w:rPr>
            <w:noProof/>
            <w:webHidden/>
          </w:rPr>
          <w:t>123</w:t>
        </w:r>
        <w:r w:rsidR="00752E4C">
          <w:rPr>
            <w:noProof/>
            <w:webHidden/>
          </w:rPr>
          <w:fldChar w:fldCharType="end"/>
        </w:r>
      </w:hyperlink>
    </w:p>
    <w:p w:rsidR="00752E4C" w:rsidRDefault="00DB496B">
      <w:pPr>
        <w:pStyle w:val="IDC3"/>
        <w:tabs>
          <w:tab w:val="left" w:pos="666"/>
          <w:tab w:val="right" w:pos="9061"/>
        </w:tabs>
        <w:rPr>
          <w:rFonts w:eastAsiaTheme="minorEastAsia"/>
          <w:smallCaps w:val="0"/>
          <w:noProof/>
          <w:lang w:eastAsia="ca-ES"/>
        </w:rPr>
      </w:pPr>
      <w:hyperlink w:anchor="_Toc465293436" w:history="1">
        <w:r w:rsidR="00752E4C" w:rsidRPr="00D0406E">
          <w:rPr>
            <w:rStyle w:val="Enlla"/>
            <w:noProof/>
          </w:rPr>
          <w:t>7.7.4</w:t>
        </w:r>
        <w:r w:rsidR="00752E4C">
          <w:rPr>
            <w:rFonts w:eastAsiaTheme="minorEastAsia"/>
            <w:smallCaps w:val="0"/>
            <w:noProof/>
            <w:lang w:eastAsia="ca-ES"/>
          </w:rPr>
          <w:tab/>
        </w:r>
        <w:r w:rsidR="00752E4C" w:rsidRPr="00D0406E">
          <w:rPr>
            <w:rStyle w:val="Enlla"/>
            <w:noProof/>
          </w:rPr>
          <w:t>Inspecció de guàrdia</w:t>
        </w:r>
        <w:r w:rsidR="00752E4C">
          <w:rPr>
            <w:noProof/>
            <w:webHidden/>
          </w:rPr>
          <w:tab/>
        </w:r>
        <w:r w:rsidR="00752E4C">
          <w:rPr>
            <w:noProof/>
            <w:webHidden/>
          </w:rPr>
          <w:fldChar w:fldCharType="begin"/>
        </w:r>
        <w:r w:rsidR="00752E4C">
          <w:rPr>
            <w:noProof/>
            <w:webHidden/>
          </w:rPr>
          <w:instrText xml:space="preserve"> PAGEREF _Toc465293436 \h </w:instrText>
        </w:r>
        <w:r w:rsidR="00752E4C">
          <w:rPr>
            <w:noProof/>
            <w:webHidden/>
          </w:rPr>
        </w:r>
        <w:r w:rsidR="00752E4C">
          <w:rPr>
            <w:noProof/>
            <w:webHidden/>
          </w:rPr>
          <w:fldChar w:fldCharType="separate"/>
        </w:r>
        <w:r w:rsidR="00752E4C">
          <w:rPr>
            <w:noProof/>
            <w:webHidden/>
          </w:rPr>
          <w:t>123</w:t>
        </w:r>
        <w:r w:rsidR="00752E4C">
          <w:rPr>
            <w:noProof/>
            <w:webHidden/>
          </w:rPr>
          <w:fldChar w:fldCharType="end"/>
        </w:r>
      </w:hyperlink>
    </w:p>
    <w:p w:rsidR="00752E4C" w:rsidRDefault="00DB496B">
      <w:pPr>
        <w:pStyle w:val="IDC1"/>
        <w:tabs>
          <w:tab w:val="left" w:pos="332"/>
          <w:tab w:val="right" w:pos="9061"/>
        </w:tabs>
        <w:rPr>
          <w:rFonts w:eastAsiaTheme="minorEastAsia"/>
          <w:b w:val="0"/>
          <w:bCs w:val="0"/>
          <w:caps w:val="0"/>
          <w:noProof/>
          <w:u w:val="none"/>
          <w:lang w:eastAsia="ca-ES"/>
        </w:rPr>
      </w:pPr>
      <w:hyperlink w:anchor="_Toc465293437" w:history="1">
        <w:r w:rsidR="00752E4C" w:rsidRPr="00D0406E">
          <w:rPr>
            <w:rStyle w:val="Enlla"/>
            <w:noProof/>
            <w14:cntxtAlts/>
          </w:rPr>
          <w:t>8</w:t>
        </w:r>
        <w:r w:rsidR="00752E4C">
          <w:rPr>
            <w:rFonts w:eastAsiaTheme="minorEastAsia"/>
            <w:b w:val="0"/>
            <w:bCs w:val="0"/>
            <w:caps w:val="0"/>
            <w:noProof/>
            <w:u w:val="none"/>
            <w:lang w:eastAsia="ca-ES"/>
          </w:rPr>
          <w:tab/>
        </w:r>
        <w:r w:rsidR="00752E4C" w:rsidRPr="00D0406E">
          <w:rPr>
            <w:rStyle w:val="Enlla"/>
            <w:noProof/>
          </w:rPr>
          <w:t>Recursos Humans</w:t>
        </w:r>
        <w:r w:rsidR="00752E4C">
          <w:rPr>
            <w:noProof/>
            <w:webHidden/>
          </w:rPr>
          <w:tab/>
        </w:r>
        <w:r w:rsidR="00752E4C">
          <w:rPr>
            <w:noProof/>
            <w:webHidden/>
          </w:rPr>
          <w:fldChar w:fldCharType="begin"/>
        </w:r>
        <w:r w:rsidR="00752E4C">
          <w:rPr>
            <w:noProof/>
            <w:webHidden/>
          </w:rPr>
          <w:instrText xml:space="preserve"> PAGEREF _Toc465293437 \h </w:instrText>
        </w:r>
        <w:r w:rsidR="00752E4C">
          <w:rPr>
            <w:noProof/>
            <w:webHidden/>
          </w:rPr>
        </w:r>
        <w:r w:rsidR="00752E4C">
          <w:rPr>
            <w:noProof/>
            <w:webHidden/>
          </w:rPr>
          <w:fldChar w:fldCharType="separate"/>
        </w:r>
        <w:r w:rsidR="00752E4C">
          <w:rPr>
            <w:noProof/>
            <w:webHidden/>
          </w:rPr>
          <w:t>124</w:t>
        </w:r>
        <w:r w:rsidR="00752E4C">
          <w:rPr>
            <w:noProof/>
            <w:webHidden/>
          </w:rPr>
          <w:fldChar w:fldCharType="end"/>
        </w:r>
      </w:hyperlink>
    </w:p>
    <w:p w:rsidR="00752E4C" w:rsidRDefault="00DB496B">
      <w:pPr>
        <w:pStyle w:val="IDC2"/>
        <w:tabs>
          <w:tab w:val="left" w:pos="502"/>
          <w:tab w:val="right" w:pos="9061"/>
        </w:tabs>
        <w:rPr>
          <w:rFonts w:eastAsiaTheme="minorEastAsia"/>
          <w:b w:val="0"/>
          <w:bCs w:val="0"/>
          <w:smallCaps w:val="0"/>
          <w:noProof/>
          <w:lang w:eastAsia="ca-ES"/>
        </w:rPr>
      </w:pPr>
      <w:hyperlink w:anchor="_Toc465293438" w:history="1">
        <w:r w:rsidR="00752E4C" w:rsidRPr="00D0406E">
          <w:rPr>
            <w:rStyle w:val="Enlla"/>
            <w:noProof/>
          </w:rPr>
          <w:t>8.1</w:t>
        </w:r>
        <w:r w:rsidR="00752E4C">
          <w:rPr>
            <w:rFonts w:eastAsiaTheme="minorEastAsia"/>
            <w:b w:val="0"/>
            <w:bCs w:val="0"/>
            <w:smallCaps w:val="0"/>
            <w:noProof/>
            <w:lang w:eastAsia="ca-ES"/>
          </w:rPr>
          <w:tab/>
        </w:r>
        <w:r w:rsidR="00752E4C" w:rsidRPr="00D0406E">
          <w:rPr>
            <w:rStyle w:val="Enlla"/>
            <w:noProof/>
          </w:rPr>
          <w:t>La funció pública penitenciària catalana</w:t>
        </w:r>
        <w:r w:rsidR="00752E4C">
          <w:rPr>
            <w:noProof/>
            <w:webHidden/>
          </w:rPr>
          <w:tab/>
        </w:r>
        <w:r w:rsidR="00752E4C">
          <w:rPr>
            <w:noProof/>
            <w:webHidden/>
          </w:rPr>
          <w:fldChar w:fldCharType="begin"/>
        </w:r>
        <w:r w:rsidR="00752E4C">
          <w:rPr>
            <w:noProof/>
            <w:webHidden/>
          </w:rPr>
          <w:instrText xml:space="preserve"> PAGEREF _Toc465293438 \h </w:instrText>
        </w:r>
        <w:r w:rsidR="00752E4C">
          <w:rPr>
            <w:noProof/>
            <w:webHidden/>
          </w:rPr>
        </w:r>
        <w:r w:rsidR="00752E4C">
          <w:rPr>
            <w:noProof/>
            <w:webHidden/>
          </w:rPr>
          <w:fldChar w:fldCharType="separate"/>
        </w:r>
        <w:r w:rsidR="00752E4C">
          <w:rPr>
            <w:noProof/>
            <w:webHidden/>
          </w:rPr>
          <w:t>124</w:t>
        </w:r>
        <w:r w:rsidR="00752E4C">
          <w:rPr>
            <w:noProof/>
            <w:webHidden/>
          </w:rPr>
          <w:fldChar w:fldCharType="end"/>
        </w:r>
      </w:hyperlink>
    </w:p>
    <w:p w:rsidR="00752E4C" w:rsidRDefault="00DB496B">
      <w:pPr>
        <w:pStyle w:val="IDC3"/>
        <w:tabs>
          <w:tab w:val="left" w:pos="666"/>
          <w:tab w:val="right" w:pos="9061"/>
        </w:tabs>
        <w:rPr>
          <w:rFonts w:eastAsiaTheme="minorEastAsia"/>
          <w:smallCaps w:val="0"/>
          <w:noProof/>
          <w:lang w:eastAsia="ca-ES"/>
        </w:rPr>
      </w:pPr>
      <w:hyperlink w:anchor="_Toc465293439" w:history="1">
        <w:r w:rsidR="00752E4C" w:rsidRPr="00D0406E">
          <w:rPr>
            <w:rStyle w:val="Enlla"/>
            <w:noProof/>
          </w:rPr>
          <w:t>8.1.1</w:t>
        </w:r>
        <w:r w:rsidR="00752E4C">
          <w:rPr>
            <w:rFonts w:eastAsiaTheme="minorEastAsia"/>
            <w:smallCaps w:val="0"/>
            <w:noProof/>
            <w:lang w:eastAsia="ca-ES"/>
          </w:rPr>
          <w:tab/>
        </w:r>
        <w:r w:rsidR="00752E4C" w:rsidRPr="00D0406E">
          <w:rPr>
            <w:rStyle w:val="Enlla"/>
            <w:noProof/>
          </w:rPr>
          <w:t>Estructuració i ordenació de la funció pública penitenciària catalana</w:t>
        </w:r>
        <w:r w:rsidR="00752E4C">
          <w:rPr>
            <w:noProof/>
            <w:webHidden/>
          </w:rPr>
          <w:tab/>
        </w:r>
        <w:r w:rsidR="00752E4C">
          <w:rPr>
            <w:noProof/>
            <w:webHidden/>
          </w:rPr>
          <w:fldChar w:fldCharType="begin"/>
        </w:r>
        <w:r w:rsidR="00752E4C">
          <w:rPr>
            <w:noProof/>
            <w:webHidden/>
          </w:rPr>
          <w:instrText xml:space="preserve"> PAGEREF _Toc465293439 \h </w:instrText>
        </w:r>
        <w:r w:rsidR="00752E4C">
          <w:rPr>
            <w:noProof/>
            <w:webHidden/>
          </w:rPr>
        </w:r>
        <w:r w:rsidR="00752E4C">
          <w:rPr>
            <w:noProof/>
            <w:webHidden/>
          </w:rPr>
          <w:fldChar w:fldCharType="separate"/>
        </w:r>
        <w:r w:rsidR="00752E4C">
          <w:rPr>
            <w:noProof/>
            <w:webHidden/>
          </w:rPr>
          <w:t>124</w:t>
        </w:r>
        <w:r w:rsidR="00752E4C">
          <w:rPr>
            <w:noProof/>
            <w:webHidden/>
          </w:rPr>
          <w:fldChar w:fldCharType="end"/>
        </w:r>
      </w:hyperlink>
    </w:p>
    <w:p w:rsidR="00752E4C" w:rsidRDefault="00DB496B">
      <w:pPr>
        <w:pStyle w:val="IDC3"/>
        <w:tabs>
          <w:tab w:val="left" w:pos="666"/>
          <w:tab w:val="right" w:pos="9061"/>
        </w:tabs>
        <w:rPr>
          <w:rFonts w:eastAsiaTheme="minorEastAsia"/>
          <w:smallCaps w:val="0"/>
          <w:noProof/>
          <w:lang w:eastAsia="ca-ES"/>
        </w:rPr>
      </w:pPr>
      <w:hyperlink w:anchor="_Toc465293440" w:history="1">
        <w:r w:rsidR="00752E4C" w:rsidRPr="00D0406E">
          <w:rPr>
            <w:rStyle w:val="Enlla"/>
            <w:noProof/>
          </w:rPr>
          <w:t>8.1.2</w:t>
        </w:r>
        <w:r w:rsidR="00752E4C">
          <w:rPr>
            <w:rFonts w:eastAsiaTheme="minorEastAsia"/>
            <w:smallCaps w:val="0"/>
            <w:noProof/>
            <w:lang w:eastAsia="ca-ES"/>
          </w:rPr>
          <w:tab/>
        </w:r>
        <w:r w:rsidR="00752E4C" w:rsidRPr="00D0406E">
          <w:rPr>
            <w:rStyle w:val="Enlla"/>
            <w:noProof/>
          </w:rPr>
          <w:t>Evolució de les plantilles de personal dels centres penitenciaris</w:t>
        </w:r>
        <w:r w:rsidR="00752E4C">
          <w:rPr>
            <w:noProof/>
            <w:webHidden/>
          </w:rPr>
          <w:tab/>
        </w:r>
        <w:r w:rsidR="00752E4C">
          <w:rPr>
            <w:noProof/>
            <w:webHidden/>
          </w:rPr>
          <w:fldChar w:fldCharType="begin"/>
        </w:r>
        <w:r w:rsidR="00752E4C">
          <w:rPr>
            <w:noProof/>
            <w:webHidden/>
          </w:rPr>
          <w:instrText xml:space="preserve"> PAGEREF _Toc465293440 \h </w:instrText>
        </w:r>
        <w:r w:rsidR="00752E4C">
          <w:rPr>
            <w:noProof/>
            <w:webHidden/>
          </w:rPr>
        </w:r>
        <w:r w:rsidR="00752E4C">
          <w:rPr>
            <w:noProof/>
            <w:webHidden/>
          </w:rPr>
          <w:fldChar w:fldCharType="separate"/>
        </w:r>
        <w:r w:rsidR="00752E4C">
          <w:rPr>
            <w:noProof/>
            <w:webHidden/>
          </w:rPr>
          <w:t>129</w:t>
        </w:r>
        <w:r w:rsidR="00752E4C">
          <w:rPr>
            <w:noProof/>
            <w:webHidden/>
          </w:rPr>
          <w:fldChar w:fldCharType="end"/>
        </w:r>
      </w:hyperlink>
    </w:p>
    <w:p w:rsidR="00752E4C" w:rsidRDefault="00DB496B">
      <w:pPr>
        <w:pStyle w:val="IDC3"/>
        <w:tabs>
          <w:tab w:val="left" w:pos="666"/>
          <w:tab w:val="right" w:pos="9061"/>
        </w:tabs>
        <w:rPr>
          <w:rFonts w:eastAsiaTheme="minorEastAsia"/>
          <w:smallCaps w:val="0"/>
          <w:noProof/>
          <w:lang w:eastAsia="ca-ES"/>
        </w:rPr>
      </w:pPr>
      <w:hyperlink w:anchor="_Toc465293441" w:history="1">
        <w:r w:rsidR="00752E4C" w:rsidRPr="00D0406E">
          <w:rPr>
            <w:rStyle w:val="Enlla"/>
            <w:noProof/>
          </w:rPr>
          <w:t>8.1.3</w:t>
        </w:r>
        <w:r w:rsidR="00752E4C">
          <w:rPr>
            <w:rFonts w:eastAsiaTheme="minorEastAsia"/>
            <w:smallCaps w:val="0"/>
            <w:noProof/>
            <w:lang w:eastAsia="ca-ES"/>
          </w:rPr>
          <w:tab/>
        </w:r>
        <w:r w:rsidR="00752E4C" w:rsidRPr="00D0406E">
          <w:rPr>
            <w:rStyle w:val="Enlla"/>
            <w:noProof/>
          </w:rPr>
          <w:t>La selecció de personal i la provisió de llocs de treball</w:t>
        </w:r>
        <w:r w:rsidR="00752E4C">
          <w:rPr>
            <w:noProof/>
            <w:webHidden/>
          </w:rPr>
          <w:tab/>
        </w:r>
        <w:r w:rsidR="00752E4C">
          <w:rPr>
            <w:noProof/>
            <w:webHidden/>
          </w:rPr>
          <w:fldChar w:fldCharType="begin"/>
        </w:r>
        <w:r w:rsidR="00752E4C">
          <w:rPr>
            <w:noProof/>
            <w:webHidden/>
          </w:rPr>
          <w:instrText xml:space="preserve"> PAGEREF _Toc465293441 \h </w:instrText>
        </w:r>
        <w:r w:rsidR="00752E4C">
          <w:rPr>
            <w:noProof/>
            <w:webHidden/>
          </w:rPr>
        </w:r>
        <w:r w:rsidR="00752E4C">
          <w:rPr>
            <w:noProof/>
            <w:webHidden/>
          </w:rPr>
          <w:fldChar w:fldCharType="separate"/>
        </w:r>
        <w:r w:rsidR="00752E4C">
          <w:rPr>
            <w:noProof/>
            <w:webHidden/>
          </w:rPr>
          <w:t>133</w:t>
        </w:r>
        <w:r w:rsidR="00752E4C">
          <w:rPr>
            <w:noProof/>
            <w:webHidden/>
          </w:rPr>
          <w:fldChar w:fldCharType="end"/>
        </w:r>
      </w:hyperlink>
    </w:p>
    <w:p w:rsidR="00752E4C" w:rsidRDefault="00DB496B">
      <w:pPr>
        <w:pStyle w:val="IDC3"/>
        <w:tabs>
          <w:tab w:val="left" w:pos="666"/>
          <w:tab w:val="right" w:pos="9061"/>
        </w:tabs>
        <w:rPr>
          <w:rFonts w:eastAsiaTheme="minorEastAsia"/>
          <w:smallCaps w:val="0"/>
          <w:noProof/>
          <w:lang w:eastAsia="ca-ES"/>
        </w:rPr>
      </w:pPr>
      <w:hyperlink w:anchor="_Toc465293442" w:history="1">
        <w:r w:rsidR="00752E4C" w:rsidRPr="00D0406E">
          <w:rPr>
            <w:rStyle w:val="Enlla"/>
            <w:noProof/>
          </w:rPr>
          <w:t>8.1.4</w:t>
        </w:r>
        <w:r w:rsidR="00752E4C">
          <w:rPr>
            <w:rFonts w:eastAsiaTheme="minorEastAsia"/>
            <w:smallCaps w:val="0"/>
            <w:noProof/>
            <w:lang w:eastAsia="ca-ES"/>
          </w:rPr>
          <w:tab/>
        </w:r>
        <w:r w:rsidR="00752E4C" w:rsidRPr="00D0406E">
          <w:rPr>
            <w:rStyle w:val="Enlla"/>
            <w:noProof/>
          </w:rPr>
          <w:t>La formació en l’àmbit de l’execució penal</w:t>
        </w:r>
        <w:r w:rsidR="00752E4C">
          <w:rPr>
            <w:noProof/>
            <w:webHidden/>
          </w:rPr>
          <w:tab/>
        </w:r>
        <w:r w:rsidR="00752E4C">
          <w:rPr>
            <w:noProof/>
            <w:webHidden/>
          </w:rPr>
          <w:fldChar w:fldCharType="begin"/>
        </w:r>
        <w:r w:rsidR="00752E4C">
          <w:rPr>
            <w:noProof/>
            <w:webHidden/>
          </w:rPr>
          <w:instrText xml:space="preserve"> PAGEREF _Toc465293442 \h </w:instrText>
        </w:r>
        <w:r w:rsidR="00752E4C">
          <w:rPr>
            <w:noProof/>
            <w:webHidden/>
          </w:rPr>
        </w:r>
        <w:r w:rsidR="00752E4C">
          <w:rPr>
            <w:noProof/>
            <w:webHidden/>
          </w:rPr>
          <w:fldChar w:fldCharType="separate"/>
        </w:r>
        <w:r w:rsidR="00752E4C">
          <w:rPr>
            <w:noProof/>
            <w:webHidden/>
          </w:rPr>
          <w:t>138</w:t>
        </w:r>
        <w:r w:rsidR="00752E4C">
          <w:rPr>
            <w:noProof/>
            <w:webHidden/>
          </w:rPr>
          <w:fldChar w:fldCharType="end"/>
        </w:r>
      </w:hyperlink>
    </w:p>
    <w:p w:rsidR="00752E4C" w:rsidRDefault="00DB496B">
      <w:pPr>
        <w:pStyle w:val="IDC3"/>
        <w:tabs>
          <w:tab w:val="left" w:pos="666"/>
          <w:tab w:val="right" w:pos="9061"/>
        </w:tabs>
        <w:rPr>
          <w:rFonts w:eastAsiaTheme="minorEastAsia"/>
          <w:smallCaps w:val="0"/>
          <w:noProof/>
          <w:lang w:eastAsia="ca-ES"/>
        </w:rPr>
      </w:pPr>
      <w:hyperlink w:anchor="_Toc465293443" w:history="1">
        <w:r w:rsidR="00752E4C" w:rsidRPr="00D0406E">
          <w:rPr>
            <w:rStyle w:val="Enlla"/>
            <w:noProof/>
          </w:rPr>
          <w:t>8.1.5</w:t>
        </w:r>
        <w:r w:rsidR="00752E4C">
          <w:rPr>
            <w:rFonts w:eastAsiaTheme="minorEastAsia"/>
            <w:smallCaps w:val="0"/>
            <w:noProof/>
            <w:lang w:eastAsia="ca-ES"/>
          </w:rPr>
          <w:tab/>
        </w:r>
        <w:r w:rsidR="00752E4C" w:rsidRPr="00D0406E">
          <w:rPr>
            <w:rStyle w:val="Enlla"/>
            <w:noProof/>
          </w:rPr>
          <w:t>La carrera professional</w:t>
        </w:r>
        <w:r w:rsidR="00752E4C">
          <w:rPr>
            <w:noProof/>
            <w:webHidden/>
          </w:rPr>
          <w:tab/>
        </w:r>
        <w:r w:rsidR="00752E4C">
          <w:rPr>
            <w:noProof/>
            <w:webHidden/>
          </w:rPr>
          <w:fldChar w:fldCharType="begin"/>
        </w:r>
        <w:r w:rsidR="00752E4C">
          <w:rPr>
            <w:noProof/>
            <w:webHidden/>
          </w:rPr>
          <w:instrText xml:space="preserve"> PAGEREF _Toc465293443 \h </w:instrText>
        </w:r>
        <w:r w:rsidR="00752E4C">
          <w:rPr>
            <w:noProof/>
            <w:webHidden/>
          </w:rPr>
        </w:r>
        <w:r w:rsidR="00752E4C">
          <w:rPr>
            <w:noProof/>
            <w:webHidden/>
          </w:rPr>
          <w:fldChar w:fldCharType="separate"/>
        </w:r>
        <w:r w:rsidR="00752E4C">
          <w:rPr>
            <w:noProof/>
            <w:webHidden/>
          </w:rPr>
          <w:t>139</w:t>
        </w:r>
        <w:r w:rsidR="00752E4C">
          <w:rPr>
            <w:noProof/>
            <w:webHidden/>
          </w:rPr>
          <w:fldChar w:fldCharType="end"/>
        </w:r>
      </w:hyperlink>
    </w:p>
    <w:p w:rsidR="00752E4C" w:rsidRDefault="00DB496B">
      <w:pPr>
        <w:pStyle w:val="IDC3"/>
        <w:tabs>
          <w:tab w:val="left" w:pos="666"/>
          <w:tab w:val="right" w:pos="9061"/>
        </w:tabs>
        <w:rPr>
          <w:rFonts w:eastAsiaTheme="minorEastAsia"/>
          <w:smallCaps w:val="0"/>
          <w:noProof/>
          <w:lang w:eastAsia="ca-ES"/>
        </w:rPr>
      </w:pPr>
      <w:hyperlink w:anchor="_Toc465293444" w:history="1">
        <w:r w:rsidR="00752E4C" w:rsidRPr="00D0406E">
          <w:rPr>
            <w:rStyle w:val="Enlla"/>
            <w:noProof/>
          </w:rPr>
          <w:t>8.1.6</w:t>
        </w:r>
        <w:r w:rsidR="00752E4C">
          <w:rPr>
            <w:rFonts w:eastAsiaTheme="minorEastAsia"/>
            <w:smallCaps w:val="0"/>
            <w:noProof/>
            <w:lang w:eastAsia="ca-ES"/>
          </w:rPr>
          <w:tab/>
        </w:r>
        <w:r w:rsidR="00752E4C" w:rsidRPr="00D0406E">
          <w:rPr>
            <w:rStyle w:val="Enlla"/>
            <w:noProof/>
          </w:rPr>
          <w:t>La funció directiva penitenciària</w:t>
        </w:r>
        <w:r w:rsidR="00752E4C">
          <w:rPr>
            <w:noProof/>
            <w:webHidden/>
          </w:rPr>
          <w:tab/>
        </w:r>
        <w:r w:rsidR="00752E4C">
          <w:rPr>
            <w:noProof/>
            <w:webHidden/>
          </w:rPr>
          <w:fldChar w:fldCharType="begin"/>
        </w:r>
        <w:r w:rsidR="00752E4C">
          <w:rPr>
            <w:noProof/>
            <w:webHidden/>
          </w:rPr>
          <w:instrText xml:space="preserve"> PAGEREF _Toc465293444 \h </w:instrText>
        </w:r>
        <w:r w:rsidR="00752E4C">
          <w:rPr>
            <w:noProof/>
            <w:webHidden/>
          </w:rPr>
        </w:r>
        <w:r w:rsidR="00752E4C">
          <w:rPr>
            <w:noProof/>
            <w:webHidden/>
          </w:rPr>
          <w:fldChar w:fldCharType="separate"/>
        </w:r>
        <w:r w:rsidR="00752E4C">
          <w:rPr>
            <w:noProof/>
            <w:webHidden/>
          </w:rPr>
          <w:t>142</w:t>
        </w:r>
        <w:r w:rsidR="00752E4C">
          <w:rPr>
            <w:noProof/>
            <w:webHidden/>
          </w:rPr>
          <w:fldChar w:fldCharType="end"/>
        </w:r>
      </w:hyperlink>
    </w:p>
    <w:p w:rsidR="00752E4C" w:rsidRDefault="00DB496B">
      <w:pPr>
        <w:pStyle w:val="IDC3"/>
        <w:tabs>
          <w:tab w:val="left" w:pos="666"/>
          <w:tab w:val="right" w:pos="9061"/>
        </w:tabs>
        <w:rPr>
          <w:rFonts w:eastAsiaTheme="minorEastAsia"/>
          <w:smallCaps w:val="0"/>
          <w:noProof/>
          <w:lang w:eastAsia="ca-ES"/>
        </w:rPr>
      </w:pPr>
      <w:hyperlink w:anchor="_Toc465293445" w:history="1">
        <w:r w:rsidR="00752E4C" w:rsidRPr="00D0406E">
          <w:rPr>
            <w:rStyle w:val="Enlla"/>
            <w:noProof/>
          </w:rPr>
          <w:t>8.1.7</w:t>
        </w:r>
        <w:r w:rsidR="00752E4C">
          <w:rPr>
            <w:rFonts w:eastAsiaTheme="minorEastAsia"/>
            <w:smallCaps w:val="0"/>
            <w:noProof/>
            <w:lang w:eastAsia="ca-ES"/>
          </w:rPr>
          <w:tab/>
        </w:r>
        <w:r w:rsidR="00752E4C" w:rsidRPr="00D0406E">
          <w:rPr>
            <w:rStyle w:val="Enlla"/>
            <w:noProof/>
          </w:rPr>
          <w:t>Les condicions de treball</w:t>
        </w:r>
        <w:r w:rsidR="00752E4C">
          <w:rPr>
            <w:noProof/>
            <w:webHidden/>
          </w:rPr>
          <w:tab/>
        </w:r>
        <w:r w:rsidR="00752E4C">
          <w:rPr>
            <w:noProof/>
            <w:webHidden/>
          </w:rPr>
          <w:fldChar w:fldCharType="begin"/>
        </w:r>
        <w:r w:rsidR="00752E4C">
          <w:rPr>
            <w:noProof/>
            <w:webHidden/>
          </w:rPr>
          <w:instrText xml:space="preserve"> PAGEREF _Toc465293445 \h </w:instrText>
        </w:r>
        <w:r w:rsidR="00752E4C">
          <w:rPr>
            <w:noProof/>
            <w:webHidden/>
          </w:rPr>
        </w:r>
        <w:r w:rsidR="00752E4C">
          <w:rPr>
            <w:noProof/>
            <w:webHidden/>
          </w:rPr>
          <w:fldChar w:fldCharType="separate"/>
        </w:r>
        <w:r w:rsidR="00752E4C">
          <w:rPr>
            <w:noProof/>
            <w:webHidden/>
          </w:rPr>
          <w:t>144</w:t>
        </w:r>
        <w:r w:rsidR="00752E4C">
          <w:rPr>
            <w:noProof/>
            <w:webHidden/>
          </w:rPr>
          <w:fldChar w:fldCharType="end"/>
        </w:r>
      </w:hyperlink>
    </w:p>
    <w:p w:rsidR="00752E4C" w:rsidRDefault="00DB496B">
      <w:pPr>
        <w:pStyle w:val="IDC2"/>
        <w:tabs>
          <w:tab w:val="left" w:pos="502"/>
          <w:tab w:val="right" w:pos="9061"/>
        </w:tabs>
        <w:rPr>
          <w:rFonts w:eastAsiaTheme="minorEastAsia"/>
          <w:b w:val="0"/>
          <w:bCs w:val="0"/>
          <w:smallCaps w:val="0"/>
          <w:noProof/>
          <w:lang w:eastAsia="ca-ES"/>
        </w:rPr>
      </w:pPr>
      <w:hyperlink w:anchor="_Toc465293446" w:history="1">
        <w:r w:rsidR="00752E4C" w:rsidRPr="00D0406E">
          <w:rPr>
            <w:rStyle w:val="Enlla"/>
            <w:noProof/>
          </w:rPr>
          <w:t>8.2</w:t>
        </w:r>
        <w:r w:rsidR="00752E4C">
          <w:rPr>
            <w:rFonts w:eastAsiaTheme="minorEastAsia"/>
            <w:b w:val="0"/>
            <w:bCs w:val="0"/>
            <w:smallCaps w:val="0"/>
            <w:noProof/>
            <w:lang w:eastAsia="ca-ES"/>
          </w:rPr>
          <w:tab/>
        </w:r>
        <w:r w:rsidR="00752E4C" w:rsidRPr="00D0406E">
          <w:rPr>
            <w:rStyle w:val="Enlla"/>
            <w:noProof/>
          </w:rPr>
          <w:t>La situació actual</w:t>
        </w:r>
        <w:r w:rsidR="00752E4C">
          <w:rPr>
            <w:noProof/>
            <w:webHidden/>
          </w:rPr>
          <w:tab/>
        </w:r>
        <w:r w:rsidR="00752E4C">
          <w:rPr>
            <w:noProof/>
            <w:webHidden/>
          </w:rPr>
          <w:fldChar w:fldCharType="begin"/>
        </w:r>
        <w:r w:rsidR="00752E4C">
          <w:rPr>
            <w:noProof/>
            <w:webHidden/>
          </w:rPr>
          <w:instrText xml:space="preserve"> PAGEREF _Toc465293446 \h </w:instrText>
        </w:r>
        <w:r w:rsidR="00752E4C">
          <w:rPr>
            <w:noProof/>
            <w:webHidden/>
          </w:rPr>
        </w:r>
        <w:r w:rsidR="00752E4C">
          <w:rPr>
            <w:noProof/>
            <w:webHidden/>
          </w:rPr>
          <w:fldChar w:fldCharType="separate"/>
        </w:r>
        <w:r w:rsidR="00752E4C">
          <w:rPr>
            <w:noProof/>
            <w:webHidden/>
          </w:rPr>
          <w:t>167</w:t>
        </w:r>
        <w:r w:rsidR="00752E4C">
          <w:rPr>
            <w:noProof/>
            <w:webHidden/>
          </w:rPr>
          <w:fldChar w:fldCharType="end"/>
        </w:r>
      </w:hyperlink>
    </w:p>
    <w:p w:rsidR="00752E4C" w:rsidRDefault="00DB496B">
      <w:pPr>
        <w:pStyle w:val="IDC3"/>
        <w:tabs>
          <w:tab w:val="left" w:pos="666"/>
          <w:tab w:val="right" w:pos="9061"/>
        </w:tabs>
        <w:rPr>
          <w:rFonts w:eastAsiaTheme="minorEastAsia"/>
          <w:smallCaps w:val="0"/>
          <w:noProof/>
          <w:lang w:eastAsia="ca-ES"/>
        </w:rPr>
      </w:pPr>
      <w:hyperlink w:anchor="_Toc465293447" w:history="1">
        <w:r w:rsidR="00752E4C" w:rsidRPr="00D0406E">
          <w:rPr>
            <w:rStyle w:val="Enlla"/>
            <w:noProof/>
          </w:rPr>
          <w:t>8.2.1</w:t>
        </w:r>
        <w:r w:rsidR="00752E4C">
          <w:rPr>
            <w:rFonts w:eastAsiaTheme="minorEastAsia"/>
            <w:smallCaps w:val="0"/>
            <w:noProof/>
            <w:lang w:eastAsia="ca-ES"/>
          </w:rPr>
          <w:tab/>
        </w:r>
        <w:r w:rsidR="00752E4C" w:rsidRPr="00D0406E">
          <w:rPr>
            <w:rStyle w:val="Enlla"/>
            <w:noProof/>
          </w:rPr>
          <w:t>Model organitzatiu i estructura de llocs dels centres penitenciaris</w:t>
        </w:r>
        <w:r w:rsidR="00752E4C">
          <w:rPr>
            <w:noProof/>
            <w:webHidden/>
          </w:rPr>
          <w:tab/>
        </w:r>
        <w:r w:rsidR="00752E4C">
          <w:rPr>
            <w:noProof/>
            <w:webHidden/>
          </w:rPr>
          <w:fldChar w:fldCharType="begin"/>
        </w:r>
        <w:r w:rsidR="00752E4C">
          <w:rPr>
            <w:noProof/>
            <w:webHidden/>
          </w:rPr>
          <w:instrText xml:space="preserve"> PAGEREF _Toc465293447 \h </w:instrText>
        </w:r>
        <w:r w:rsidR="00752E4C">
          <w:rPr>
            <w:noProof/>
            <w:webHidden/>
          </w:rPr>
        </w:r>
        <w:r w:rsidR="00752E4C">
          <w:rPr>
            <w:noProof/>
            <w:webHidden/>
          </w:rPr>
          <w:fldChar w:fldCharType="separate"/>
        </w:r>
        <w:r w:rsidR="00752E4C">
          <w:rPr>
            <w:noProof/>
            <w:webHidden/>
          </w:rPr>
          <w:t>167</w:t>
        </w:r>
        <w:r w:rsidR="00752E4C">
          <w:rPr>
            <w:noProof/>
            <w:webHidden/>
          </w:rPr>
          <w:fldChar w:fldCharType="end"/>
        </w:r>
      </w:hyperlink>
    </w:p>
    <w:p w:rsidR="00752E4C" w:rsidRDefault="00DB496B">
      <w:pPr>
        <w:pStyle w:val="IDC3"/>
        <w:tabs>
          <w:tab w:val="left" w:pos="666"/>
          <w:tab w:val="right" w:pos="9061"/>
        </w:tabs>
        <w:rPr>
          <w:rFonts w:eastAsiaTheme="minorEastAsia"/>
          <w:smallCaps w:val="0"/>
          <w:noProof/>
          <w:lang w:eastAsia="ca-ES"/>
        </w:rPr>
      </w:pPr>
      <w:hyperlink w:anchor="_Toc465293448" w:history="1">
        <w:r w:rsidR="00752E4C" w:rsidRPr="00D0406E">
          <w:rPr>
            <w:rStyle w:val="Enlla"/>
            <w:noProof/>
          </w:rPr>
          <w:t>8.2.2</w:t>
        </w:r>
        <w:r w:rsidR="00752E4C">
          <w:rPr>
            <w:rFonts w:eastAsiaTheme="minorEastAsia"/>
            <w:smallCaps w:val="0"/>
            <w:noProof/>
            <w:lang w:eastAsia="ca-ES"/>
          </w:rPr>
          <w:tab/>
        </w:r>
        <w:r w:rsidR="00752E4C" w:rsidRPr="00D0406E">
          <w:rPr>
            <w:rStyle w:val="Enlla"/>
            <w:noProof/>
          </w:rPr>
          <w:t>Selecció i provisió</w:t>
        </w:r>
        <w:r w:rsidR="00752E4C">
          <w:rPr>
            <w:noProof/>
            <w:webHidden/>
          </w:rPr>
          <w:tab/>
        </w:r>
        <w:r w:rsidR="00752E4C">
          <w:rPr>
            <w:noProof/>
            <w:webHidden/>
          </w:rPr>
          <w:fldChar w:fldCharType="begin"/>
        </w:r>
        <w:r w:rsidR="00752E4C">
          <w:rPr>
            <w:noProof/>
            <w:webHidden/>
          </w:rPr>
          <w:instrText xml:space="preserve"> PAGEREF _Toc465293448 \h </w:instrText>
        </w:r>
        <w:r w:rsidR="00752E4C">
          <w:rPr>
            <w:noProof/>
            <w:webHidden/>
          </w:rPr>
        </w:r>
        <w:r w:rsidR="00752E4C">
          <w:rPr>
            <w:noProof/>
            <w:webHidden/>
          </w:rPr>
          <w:fldChar w:fldCharType="separate"/>
        </w:r>
        <w:r w:rsidR="00752E4C">
          <w:rPr>
            <w:noProof/>
            <w:webHidden/>
          </w:rPr>
          <w:t>167</w:t>
        </w:r>
        <w:r w:rsidR="00752E4C">
          <w:rPr>
            <w:noProof/>
            <w:webHidden/>
          </w:rPr>
          <w:fldChar w:fldCharType="end"/>
        </w:r>
      </w:hyperlink>
    </w:p>
    <w:p w:rsidR="00752E4C" w:rsidRDefault="00DB496B">
      <w:pPr>
        <w:pStyle w:val="IDC3"/>
        <w:tabs>
          <w:tab w:val="left" w:pos="666"/>
          <w:tab w:val="right" w:pos="9061"/>
        </w:tabs>
        <w:rPr>
          <w:rFonts w:eastAsiaTheme="minorEastAsia"/>
          <w:smallCaps w:val="0"/>
          <w:noProof/>
          <w:lang w:eastAsia="ca-ES"/>
        </w:rPr>
      </w:pPr>
      <w:hyperlink w:anchor="_Toc465293449" w:history="1">
        <w:r w:rsidR="00752E4C" w:rsidRPr="00D0406E">
          <w:rPr>
            <w:rStyle w:val="Enlla"/>
            <w:noProof/>
          </w:rPr>
          <w:t>8.2.3</w:t>
        </w:r>
        <w:r w:rsidR="00752E4C">
          <w:rPr>
            <w:rFonts w:eastAsiaTheme="minorEastAsia"/>
            <w:smallCaps w:val="0"/>
            <w:noProof/>
            <w:lang w:eastAsia="ca-ES"/>
          </w:rPr>
          <w:tab/>
        </w:r>
        <w:r w:rsidR="00752E4C" w:rsidRPr="00D0406E">
          <w:rPr>
            <w:rStyle w:val="Enlla"/>
            <w:noProof/>
          </w:rPr>
          <w:t>Formació</w:t>
        </w:r>
        <w:r w:rsidR="00752E4C">
          <w:rPr>
            <w:noProof/>
            <w:webHidden/>
          </w:rPr>
          <w:tab/>
        </w:r>
        <w:r w:rsidR="00752E4C">
          <w:rPr>
            <w:noProof/>
            <w:webHidden/>
          </w:rPr>
          <w:fldChar w:fldCharType="begin"/>
        </w:r>
        <w:r w:rsidR="00752E4C">
          <w:rPr>
            <w:noProof/>
            <w:webHidden/>
          </w:rPr>
          <w:instrText xml:space="preserve"> PAGEREF _Toc465293449 \h </w:instrText>
        </w:r>
        <w:r w:rsidR="00752E4C">
          <w:rPr>
            <w:noProof/>
            <w:webHidden/>
          </w:rPr>
        </w:r>
        <w:r w:rsidR="00752E4C">
          <w:rPr>
            <w:noProof/>
            <w:webHidden/>
          </w:rPr>
          <w:fldChar w:fldCharType="separate"/>
        </w:r>
        <w:r w:rsidR="00752E4C">
          <w:rPr>
            <w:noProof/>
            <w:webHidden/>
          </w:rPr>
          <w:t>168</w:t>
        </w:r>
        <w:r w:rsidR="00752E4C">
          <w:rPr>
            <w:noProof/>
            <w:webHidden/>
          </w:rPr>
          <w:fldChar w:fldCharType="end"/>
        </w:r>
      </w:hyperlink>
    </w:p>
    <w:p w:rsidR="00752E4C" w:rsidRDefault="00DB496B">
      <w:pPr>
        <w:pStyle w:val="IDC3"/>
        <w:tabs>
          <w:tab w:val="left" w:pos="666"/>
          <w:tab w:val="right" w:pos="9061"/>
        </w:tabs>
        <w:rPr>
          <w:rFonts w:eastAsiaTheme="minorEastAsia"/>
          <w:smallCaps w:val="0"/>
          <w:noProof/>
          <w:lang w:eastAsia="ca-ES"/>
        </w:rPr>
      </w:pPr>
      <w:hyperlink w:anchor="_Toc465293450" w:history="1">
        <w:r w:rsidR="00752E4C" w:rsidRPr="00D0406E">
          <w:rPr>
            <w:rStyle w:val="Enlla"/>
            <w:noProof/>
          </w:rPr>
          <w:t>8.2.4</w:t>
        </w:r>
        <w:r w:rsidR="00752E4C">
          <w:rPr>
            <w:rFonts w:eastAsiaTheme="minorEastAsia"/>
            <w:smallCaps w:val="0"/>
            <w:noProof/>
            <w:lang w:eastAsia="ca-ES"/>
          </w:rPr>
          <w:tab/>
        </w:r>
        <w:r w:rsidR="00752E4C" w:rsidRPr="00D0406E">
          <w:rPr>
            <w:rStyle w:val="Enlla"/>
            <w:noProof/>
          </w:rPr>
          <w:t>Jornada i horaris</w:t>
        </w:r>
        <w:r w:rsidR="00752E4C">
          <w:rPr>
            <w:noProof/>
            <w:webHidden/>
          </w:rPr>
          <w:tab/>
        </w:r>
        <w:r w:rsidR="00752E4C">
          <w:rPr>
            <w:noProof/>
            <w:webHidden/>
          </w:rPr>
          <w:fldChar w:fldCharType="begin"/>
        </w:r>
        <w:r w:rsidR="00752E4C">
          <w:rPr>
            <w:noProof/>
            <w:webHidden/>
          </w:rPr>
          <w:instrText xml:space="preserve"> PAGEREF _Toc465293450 \h </w:instrText>
        </w:r>
        <w:r w:rsidR="00752E4C">
          <w:rPr>
            <w:noProof/>
            <w:webHidden/>
          </w:rPr>
        </w:r>
        <w:r w:rsidR="00752E4C">
          <w:rPr>
            <w:noProof/>
            <w:webHidden/>
          </w:rPr>
          <w:fldChar w:fldCharType="separate"/>
        </w:r>
        <w:r w:rsidR="00752E4C">
          <w:rPr>
            <w:noProof/>
            <w:webHidden/>
          </w:rPr>
          <w:t>169</w:t>
        </w:r>
        <w:r w:rsidR="00752E4C">
          <w:rPr>
            <w:noProof/>
            <w:webHidden/>
          </w:rPr>
          <w:fldChar w:fldCharType="end"/>
        </w:r>
      </w:hyperlink>
    </w:p>
    <w:p w:rsidR="00752E4C" w:rsidRDefault="00DB496B">
      <w:pPr>
        <w:pStyle w:val="IDC3"/>
        <w:tabs>
          <w:tab w:val="left" w:pos="666"/>
          <w:tab w:val="right" w:pos="9061"/>
        </w:tabs>
        <w:rPr>
          <w:rFonts w:eastAsiaTheme="minorEastAsia"/>
          <w:smallCaps w:val="0"/>
          <w:noProof/>
          <w:lang w:eastAsia="ca-ES"/>
        </w:rPr>
      </w:pPr>
      <w:hyperlink w:anchor="_Toc465293451" w:history="1">
        <w:r w:rsidR="00752E4C" w:rsidRPr="00D0406E">
          <w:rPr>
            <w:rStyle w:val="Enlla"/>
            <w:noProof/>
          </w:rPr>
          <w:t>8.2.5</w:t>
        </w:r>
        <w:r w:rsidR="00752E4C">
          <w:rPr>
            <w:rFonts w:eastAsiaTheme="minorEastAsia"/>
            <w:smallCaps w:val="0"/>
            <w:noProof/>
            <w:lang w:eastAsia="ca-ES"/>
          </w:rPr>
          <w:tab/>
        </w:r>
        <w:r w:rsidR="00752E4C" w:rsidRPr="00D0406E">
          <w:rPr>
            <w:rStyle w:val="Enlla"/>
            <w:noProof/>
          </w:rPr>
          <w:t>La carrera professional</w:t>
        </w:r>
        <w:r w:rsidR="00752E4C">
          <w:rPr>
            <w:noProof/>
            <w:webHidden/>
          </w:rPr>
          <w:tab/>
        </w:r>
        <w:r w:rsidR="00752E4C">
          <w:rPr>
            <w:noProof/>
            <w:webHidden/>
          </w:rPr>
          <w:fldChar w:fldCharType="begin"/>
        </w:r>
        <w:r w:rsidR="00752E4C">
          <w:rPr>
            <w:noProof/>
            <w:webHidden/>
          </w:rPr>
          <w:instrText xml:space="preserve"> PAGEREF _Toc465293451 \h </w:instrText>
        </w:r>
        <w:r w:rsidR="00752E4C">
          <w:rPr>
            <w:noProof/>
            <w:webHidden/>
          </w:rPr>
        </w:r>
        <w:r w:rsidR="00752E4C">
          <w:rPr>
            <w:noProof/>
            <w:webHidden/>
          </w:rPr>
          <w:fldChar w:fldCharType="separate"/>
        </w:r>
        <w:r w:rsidR="00752E4C">
          <w:rPr>
            <w:noProof/>
            <w:webHidden/>
          </w:rPr>
          <w:t>169</w:t>
        </w:r>
        <w:r w:rsidR="00752E4C">
          <w:rPr>
            <w:noProof/>
            <w:webHidden/>
          </w:rPr>
          <w:fldChar w:fldCharType="end"/>
        </w:r>
      </w:hyperlink>
    </w:p>
    <w:p w:rsidR="00752E4C" w:rsidRDefault="00DB496B">
      <w:pPr>
        <w:pStyle w:val="IDC3"/>
        <w:tabs>
          <w:tab w:val="left" w:pos="666"/>
          <w:tab w:val="right" w:pos="9061"/>
        </w:tabs>
        <w:rPr>
          <w:rFonts w:eastAsiaTheme="minorEastAsia"/>
          <w:smallCaps w:val="0"/>
          <w:noProof/>
          <w:lang w:eastAsia="ca-ES"/>
        </w:rPr>
      </w:pPr>
      <w:hyperlink w:anchor="_Toc465293452" w:history="1">
        <w:r w:rsidR="00752E4C" w:rsidRPr="00D0406E">
          <w:rPr>
            <w:rStyle w:val="Enlla"/>
            <w:noProof/>
          </w:rPr>
          <w:t>8.2.6</w:t>
        </w:r>
        <w:r w:rsidR="00752E4C">
          <w:rPr>
            <w:rFonts w:eastAsiaTheme="minorEastAsia"/>
            <w:smallCaps w:val="0"/>
            <w:noProof/>
            <w:lang w:eastAsia="ca-ES"/>
          </w:rPr>
          <w:tab/>
        </w:r>
        <w:r w:rsidR="00752E4C" w:rsidRPr="00D0406E">
          <w:rPr>
            <w:rStyle w:val="Enlla"/>
            <w:noProof/>
          </w:rPr>
          <w:t>La funció directiva penitenciària</w:t>
        </w:r>
        <w:r w:rsidR="00752E4C">
          <w:rPr>
            <w:noProof/>
            <w:webHidden/>
          </w:rPr>
          <w:tab/>
        </w:r>
        <w:r w:rsidR="00752E4C">
          <w:rPr>
            <w:noProof/>
            <w:webHidden/>
          </w:rPr>
          <w:fldChar w:fldCharType="begin"/>
        </w:r>
        <w:r w:rsidR="00752E4C">
          <w:rPr>
            <w:noProof/>
            <w:webHidden/>
          </w:rPr>
          <w:instrText xml:space="preserve"> PAGEREF _Toc465293452 \h </w:instrText>
        </w:r>
        <w:r w:rsidR="00752E4C">
          <w:rPr>
            <w:noProof/>
            <w:webHidden/>
          </w:rPr>
        </w:r>
        <w:r w:rsidR="00752E4C">
          <w:rPr>
            <w:noProof/>
            <w:webHidden/>
          </w:rPr>
          <w:fldChar w:fldCharType="separate"/>
        </w:r>
        <w:r w:rsidR="00752E4C">
          <w:rPr>
            <w:noProof/>
            <w:webHidden/>
          </w:rPr>
          <w:t>170</w:t>
        </w:r>
        <w:r w:rsidR="00752E4C">
          <w:rPr>
            <w:noProof/>
            <w:webHidden/>
          </w:rPr>
          <w:fldChar w:fldCharType="end"/>
        </w:r>
      </w:hyperlink>
    </w:p>
    <w:p w:rsidR="00752E4C" w:rsidRDefault="00DB496B">
      <w:pPr>
        <w:pStyle w:val="IDC3"/>
        <w:tabs>
          <w:tab w:val="left" w:pos="666"/>
          <w:tab w:val="right" w:pos="9061"/>
        </w:tabs>
        <w:rPr>
          <w:rFonts w:eastAsiaTheme="minorEastAsia"/>
          <w:smallCaps w:val="0"/>
          <w:noProof/>
          <w:lang w:eastAsia="ca-ES"/>
        </w:rPr>
      </w:pPr>
      <w:hyperlink w:anchor="_Toc465293453" w:history="1">
        <w:r w:rsidR="00752E4C" w:rsidRPr="00D0406E">
          <w:rPr>
            <w:rStyle w:val="Enlla"/>
            <w:noProof/>
          </w:rPr>
          <w:t>8.2.7</w:t>
        </w:r>
        <w:r w:rsidR="00752E4C">
          <w:rPr>
            <w:rFonts w:eastAsiaTheme="minorEastAsia"/>
            <w:smallCaps w:val="0"/>
            <w:noProof/>
            <w:lang w:eastAsia="ca-ES"/>
          </w:rPr>
          <w:tab/>
        </w:r>
        <w:r w:rsidR="00752E4C" w:rsidRPr="00D0406E">
          <w:rPr>
            <w:rStyle w:val="Enlla"/>
            <w:noProof/>
          </w:rPr>
          <w:t>Segona activitat</w:t>
        </w:r>
        <w:r w:rsidR="00752E4C">
          <w:rPr>
            <w:noProof/>
            <w:webHidden/>
          </w:rPr>
          <w:tab/>
        </w:r>
        <w:r w:rsidR="00752E4C">
          <w:rPr>
            <w:noProof/>
            <w:webHidden/>
          </w:rPr>
          <w:fldChar w:fldCharType="begin"/>
        </w:r>
        <w:r w:rsidR="00752E4C">
          <w:rPr>
            <w:noProof/>
            <w:webHidden/>
          </w:rPr>
          <w:instrText xml:space="preserve"> PAGEREF _Toc465293453 \h </w:instrText>
        </w:r>
        <w:r w:rsidR="00752E4C">
          <w:rPr>
            <w:noProof/>
            <w:webHidden/>
          </w:rPr>
        </w:r>
        <w:r w:rsidR="00752E4C">
          <w:rPr>
            <w:noProof/>
            <w:webHidden/>
          </w:rPr>
          <w:fldChar w:fldCharType="separate"/>
        </w:r>
        <w:r w:rsidR="00752E4C">
          <w:rPr>
            <w:noProof/>
            <w:webHidden/>
          </w:rPr>
          <w:t>171</w:t>
        </w:r>
        <w:r w:rsidR="00752E4C">
          <w:rPr>
            <w:noProof/>
            <w:webHidden/>
          </w:rPr>
          <w:fldChar w:fldCharType="end"/>
        </w:r>
      </w:hyperlink>
    </w:p>
    <w:p w:rsidR="00752E4C" w:rsidRDefault="00DB496B">
      <w:pPr>
        <w:pStyle w:val="IDC3"/>
        <w:tabs>
          <w:tab w:val="left" w:pos="666"/>
          <w:tab w:val="right" w:pos="9061"/>
        </w:tabs>
        <w:rPr>
          <w:rFonts w:eastAsiaTheme="minorEastAsia"/>
          <w:smallCaps w:val="0"/>
          <w:noProof/>
          <w:lang w:eastAsia="ca-ES"/>
        </w:rPr>
      </w:pPr>
      <w:hyperlink w:anchor="_Toc465293454" w:history="1">
        <w:r w:rsidR="00752E4C" w:rsidRPr="00D0406E">
          <w:rPr>
            <w:rStyle w:val="Enlla"/>
            <w:noProof/>
          </w:rPr>
          <w:t>8.2.8</w:t>
        </w:r>
        <w:r w:rsidR="00752E4C">
          <w:rPr>
            <w:rFonts w:eastAsiaTheme="minorEastAsia"/>
            <w:smallCaps w:val="0"/>
            <w:noProof/>
            <w:lang w:eastAsia="ca-ES"/>
          </w:rPr>
          <w:tab/>
        </w:r>
        <w:r w:rsidR="00752E4C" w:rsidRPr="00D0406E">
          <w:rPr>
            <w:rStyle w:val="Enlla"/>
            <w:noProof/>
          </w:rPr>
          <w:t>Gestió de la borsa d’interins</w:t>
        </w:r>
        <w:r w:rsidR="00752E4C">
          <w:rPr>
            <w:noProof/>
            <w:webHidden/>
          </w:rPr>
          <w:tab/>
        </w:r>
        <w:r w:rsidR="00752E4C">
          <w:rPr>
            <w:noProof/>
            <w:webHidden/>
          </w:rPr>
          <w:fldChar w:fldCharType="begin"/>
        </w:r>
        <w:r w:rsidR="00752E4C">
          <w:rPr>
            <w:noProof/>
            <w:webHidden/>
          </w:rPr>
          <w:instrText xml:space="preserve"> PAGEREF _Toc465293454 \h </w:instrText>
        </w:r>
        <w:r w:rsidR="00752E4C">
          <w:rPr>
            <w:noProof/>
            <w:webHidden/>
          </w:rPr>
        </w:r>
        <w:r w:rsidR="00752E4C">
          <w:rPr>
            <w:noProof/>
            <w:webHidden/>
          </w:rPr>
          <w:fldChar w:fldCharType="separate"/>
        </w:r>
        <w:r w:rsidR="00752E4C">
          <w:rPr>
            <w:noProof/>
            <w:webHidden/>
          </w:rPr>
          <w:t>171</w:t>
        </w:r>
        <w:r w:rsidR="00752E4C">
          <w:rPr>
            <w:noProof/>
            <w:webHidden/>
          </w:rPr>
          <w:fldChar w:fldCharType="end"/>
        </w:r>
      </w:hyperlink>
    </w:p>
    <w:p w:rsidR="00752E4C" w:rsidRDefault="00DB496B">
      <w:pPr>
        <w:pStyle w:val="IDC1"/>
        <w:tabs>
          <w:tab w:val="left" w:pos="332"/>
          <w:tab w:val="right" w:pos="9061"/>
        </w:tabs>
        <w:rPr>
          <w:rFonts w:eastAsiaTheme="minorEastAsia"/>
          <w:b w:val="0"/>
          <w:bCs w:val="0"/>
          <w:caps w:val="0"/>
          <w:noProof/>
          <w:u w:val="none"/>
          <w:lang w:eastAsia="ca-ES"/>
        </w:rPr>
      </w:pPr>
      <w:hyperlink w:anchor="_Toc465293455" w:history="1">
        <w:r w:rsidR="00752E4C" w:rsidRPr="00D0406E">
          <w:rPr>
            <w:rStyle w:val="Enlla"/>
            <w:noProof/>
            <w14:cntxtAlts/>
          </w:rPr>
          <w:t>9</w:t>
        </w:r>
        <w:r w:rsidR="00752E4C">
          <w:rPr>
            <w:rFonts w:eastAsiaTheme="minorEastAsia"/>
            <w:b w:val="0"/>
            <w:bCs w:val="0"/>
            <w:caps w:val="0"/>
            <w:noProof/>
            <w:u w:val="none"/>
            <w:lang w:eastAsia="ca-ES"/>
          </w:rPr>
          <w:tab/>
        </w:r>
        <w:r w:rsidR="00752E4C" w:rsidRPr="00D0406E">
          <w:rPr>
            <w:rStyle w:val="Enlla"/>
            <w:noProof/>
          </w:rPr>
          <w:t>Els equipaments: el disseny com a resposta a la missió de l’organització</w:t>
        </w:r>
        <w:r w:rsidR="00752E4C">
          <w:rPr>
            <w:noProof/>
            <w:webHidden/>
          </w:rPr>
          <w:tab/>
        </w:r>
        <w:r w:rsidR="00752E4C">
          <w:rPr>
            <w:noProof/>
            <w:webHidden/>
          </w:rPr>
          <w:fldChar w:fldCharType="begin"/>
        </w:r>
        <w:r w:rsidR="00752E4C">
          <w:rPr>
            <w:noProof/>
            <w:webHidden/>
          </w:rPr>
          <w:instrText xml:space="preserve"> PAGEREF _Toc465293455 \h </w:instrText>
        </w:r>
        <w:r w:rsidR="00752E4C">
          <w:rPr>
            <w:noProof/>
            <w:webHidden/>
          </w:rPr>
        </w:r>
        <w:r w:rsidR="00752E4C">
          <w:rPr>
            <w:noProof/>
            <w:webHidden/>
          </w:rPr>
          <w:fldChar w:fldCharType="separate"/>
        </w:r>
        <w:r w:rsidR="00752E4C">
          <w:rPr>
            <w:noProof/>
            <w:webHidden/>
          </w:rPr>
          <w:t>173</w:t>
        </w:r>
        <w:r w:rsidR="00752E4C">
          <w:rPr>
            <w:noProof/>
            <w:webHidden/>
          </w:rPr>
          <w:fldChar w:fldCharType="end"/>
        </w:r>
      </w:hyperlink>
    </w:p>
    <w:p w:rsidR="00752E4C" w:rsidRDefault="00DB496B">
      <w:pPr>
        <w:pStyle w:val="IDC2"/>
        <w:tabs>
          <w:tab w:val="left" w:pos="502"/>
          <w:tab w:val="right" w:pos="9061"/>
        </w:tabs>
        <w:rPr>
          <w:rFonts w:eastAsiaTheme="minorEastAsia"/>
          <w:b w:val="0"/>
          <w:bCs w:val="0"/>
          <w:smallCaps w:val="0"/>
          <w:noProof/>
          <w:lang w:eastAsia="ca-ES"/>
        </w:rPr>
      </w:pPr>
      <w:hyperlink w:anchor="_Toc465293456" w:history="1">
        <w:r w:rsidR="00752E4C" w:rsidRPr="00D0406E">
          <w:rPr>
            <w:rStyle w:val="Enlla"/>
            <w:noProof/>
          </w:rPr>
          <w:t>9.1</w:t>
        </w:r>
        <w:r w:rsidR="00752E4C">
          <w:rPr>
            <w:rFonts w:eastAsiaTheme="minorEastAsia"/>
            <w:b w:val="0"/>
            <w:bCs w:val="0"/>
            <w:smallCaps w:val="0"/>
            <w:noProof/>
            <w:lang w:eastAsia="ca-ES"/>
          </w:rPr>
          <w:tab/>
        </w:r>
        <w:r w:rsidR="00752E4C" w:rsidRPr="00D0406E">
          <w:rPr>
            <w:rStyle w:val="Enlla"/>
            <w:noProof/>
          </w:rPr>
          <w:t>La ubicació i l’equilibri territorial</w:t>
        </w:r>
        <w:r w:rsidR="00752E4C">
          <w:rPr>
            <w:noProof/>
            <w:webHidden/>
          </w:rPr>
          <w:tab/>
        </w:r>
        <w:r w:rsidR="00752E4C">
          <w:rPr>
            <w:noProof/>
            <w:webHidden/>
          </w:rPr>
          <w:fldChar w:fldCharType="begin"/>
        </w:r>
        <w:r w:rsidR="00752E4C">
          <w:rPr>
            <w:noProof/>
            <w:webHidden/>
          </w:rPr>
          <w:instrText xml:space="preserve"> PAGEREF _Toc465293456 \h </w:instrText>
        </w:r>
        <w:r w:rsidR="00752E4C">
          <w:rPr>
            <w:noProof/>
            <w:webHidden/>
          </w:rPr>
        </w:r>
        <w:r w:rsidR="00752E4C">
          <w:rPr>
            <w:noProof/>
            <w:webHidden/>
          </w:rPr>
          <w:fldChar w:fldCharType="separate"/>
        </w:r>
        <w:r w:rsidR="00752E4C">
          <w:rPr>
            <w:noProof/>
            <w:webHidden/>
          </w:rPr>
          <w:t>173</w:t>
        </w:r>
        <w:r w:rsidR="00752E4C">
          <w:rPr>
            <w:noProof/>
            <w:webHidden/>
          </w:rPr>
          <w:fldChar w:fldCharType="end"/>
        </w:r>
      </w:hyperlink>
    </w:p>
    <w:p w:rsidR="00752E4C" w:rsidRDefault="00DB496B">
      <w:pPr>
        <w:pStyle w:val="IDC2"/>
        <w:tabs>
          <w:tab w:val="left" w:pos="502"/>
          <w:tab w:val="right" w:pos="9061"/>
        </w:tabs>
        <w:rPr>
          <w:rFonts w:eastAsiaTheme="minorEastAsia"/>
          <w:b w:val="0"/>
          <w:bCs w:val="0"/>
          <w:smallCaps w:val="0"/>
          <w:noProof/>
          <w:lang w:eastAsia="ca-ES"/>
        </w:rPr>
      </w:pPr>
      <w:hyperlink w:anchor="_Toc465293457" w:history="1">
        <w:r w:rsidR="00752E4C" w:rsidRPr="00D0406E">
          <w:rPr>
            <w:rStyle w:val="Enlla"/>
            <w:noProof/>
          </w:rPr>
          <w:t>9.2</w:t>
        </w:r>
        <w:r w:rsidR="00752E4C">
          <w:rPr>
            <w:rFonts w:eastAsiaTheme="minorEastAsia"/>
            <w:b w:val="0"/>
            <w:bCs w:val="0"/>
            <w:smallCaps w:val="0"/>
            <w:noProof/>
            <w:lang w:eastAsia="ca-ES"/>
          </w:rPr>
          <w:tab/>
        </w:r>
        <w:r w:rsidR="00752E4C" w:rsidRPr="00D0406E">
          <w:rPr>
            <w:rStyle w:val="Enlla"/>
            <w:noProof/>
          </w:rPr>
          <w:t>Característiques arquitectòniques de les infraestructures</w:t>
        </w:r>
        <w:r w:rsidR="00752E4C">
          <w:rPr>
            <w:noProof/>
            <w:webHidden/>
          </w:rPr>
          <w:tab/>
        </w:r>
        <w:r w:rsidR="00752E4C">
          <w:rPr>
            <w:noProof/>
            <w:webHidden/>
          </w:rPr>
          <w:fldChar w:fldCharType="begin"/>
        </w:r>
        <w:r w:rsidR="00752E4C">
          <w:rPr>
            <w:noProof/>
            <w:webHidden/>
          </w:rPr>
          <w:instrText xml:space="preserve"> PAGEREF _Toc465293457 \h </w:instrText>
        </w:r>
        <w:r w:rsidR="00752E4C">
          <w:rPr>
            <w:noProof/>
            <w:webHidden/>
          </w:rPr>
        </w:r>
        <w:r w:rsidR="00752E4C">
          <w:rPr>
            <w:noProof/>
            <w:webHidden/>
          </w:rPr>
          <w:fldChar w:fldCharType="separate"/>
        </w:r>
        <w:r w:rsidR="00752E4C">
          <w:rPr>
            <w:noProof/>
            <w:webHidden/>
          </w:rPr>
          <w:t>176</w:t>
        </w:r>
        <w:r w:rsidR="00752E4C">
          <w:rPr>
            <w:noProof/>
            <w:webHidden/>
          </w:rPr>
          <w:fldChar w:fldCharType="end"/>
        </w:r>
      </w:hyperlink>
    </w:p>
    <w:p w:rsidR="00752E4C" w:rsidRDefault="00DB496B">
      <w:pPr>
        <w:pStyle w:val="IDC3"/>
        <w:tabs>
          <w:tab w:val="left" w:pos="666"/>
          <w:tab w:val="right" w:pos="9061"/>
        </w:tabs>
        <w:rPr>
          <w:rFonts w:eastAsiaTheme="minorEastAsia"/>
          <w:smallCaps w:val="0"/>
          <w:noProof/>
          <w:lang w:eastAsia="ca-ES"/>
        </w:rPr>
      </w:pPr>
      <w:hyperlink w:anchor="_Toc465293458" w:history="1">
        <w:r w:rsidR="00752E4C" w:rsidRPr="00D0406E">
          <w:rPr>
            <w:rStyle w:val="Enlla"/>
            <w:noProof/>
          </w:rPr>
          <w:t>9.2.1</w:t>
        </w:r>
        <w:r w:rsidR="00752E4C">
          <w:rPr>
            <w:rFonts w:eastAsiaTheme="minorEastAsia"/>
            <w:smallCaps w:val="0"/>
            <w:noProof/>
            <w:lang w:eastAsia="ca-ES"/>
          </w:rPr>
          <w:tab/>
        </w:r>
        <w:r w:rsidR="00752E4C" w:rsidRPr="00D0406E">
          <w:rPr>
            <w:rStyle w:val="Enlla"/>
            <w:noProof/>
          </w:rPr>
          <w:t>Les presons model</w:t>
        </w:r>
        <w:r w:rsidR="00752E4C">
          <w:rPr>
            <w:noProof/>
            <w:webHidden/>
          </w:rPr>
          <w:tab/>
        </w:r>
        <w:r w:rsidR="00752E4C">
          <w:rPr>
            <w:noProof/>
            <w:webHidden/>
          </w:rPr>
          <w:fldChar w:fldCharType="begin"/>
        </w:r>
        <w:r w:rsidR="00752E4C">
          <w:rPr>
            <w:noProof/>
            <w:webHidden/>
          </w:rPr>
          <w:instrText xml:space="preserve"> PAGEREF _Toc465293458 \h </w:instrText>
        </w:r>
        <w:r w:rsidR="00752E4C">
          <w:rPr>
            <w:noProof/>
            <w:webHidden/>
          </w:rPr>
        </w:r>
        <w:r w:rsidR="00752E4C">
          <w:rPr>
            <w:noProof/>
            <w:webHidden/>
          </w:rPr>
          <w:fldChar w:fldCharType="separate"/>
        </w:r>
        <w:r w:rsidR="00752E4C">
          <w:rPr>
            <w:noProof/>
            <w:webHidden/>
          </w:rPr>
          <w:t>177</w:t>
        </w:r>
        <w:r w:rsidR="00752E4C">
          <w:rPr>
            <w:noProof/>
            <w:webHidden/>
          </w:rPr>
          <w:fldChar w:fldCharType="end"/>
        </w:r>
      </w:hyperlink>
    </w:p>
    <w:p w:rsidR="00752E4C" w:rsidRDefault="00DB496B">
      <w:pPr>
        <w:pStyle w:val="IDC3"/>
        <w:tabs>
          <w:tab w:val="left" w:pos="666"/>
          <w:tab w:val="right" w:pos="9061"/>
        </w:tabs>
        <w:rPr>
          <w:rFonts w:eastAsiaTheme="minorEastAsia"/>
          <w:smallCaps w:val="0"/>
          <w:noProof/>
          <w:lang w:eastAsia="ca-ES"/>
        </w:rPr>
      </w:pPr>
      <w:hyperlink w:anchor="_Toc465293459" w:history="1">
        <w:r w:rsidR="00752E4C" w:rsidRPr="00D0406E">
          <w:rPr>
            <w:rStyle w:val="Enlla"/>
            <w:noProof/>
          </w:rPr>
          <w:t>9.2.2</w:t>
        </w:r>
        <w:r w:rsidR="00752E4C">
          <w:rPr>
            <w:rFonts w:eastAsiaTheme="minorEastAsia"/>
            <w:smallCaps w:val="0"/>
            <w:noProof/>
            <w:lang w:eastAsia="ca-ES"/>
          </w:rPr>
          <w:tab/>
        </w:r>
        <w:r w:rsidR="00752E4C" w:rsidRPr="00D0406E">
          <w:rPr>
            <w:rStyle w:val="Enlla"/>
            <w:noProof/>
          </w:rPr>
          <w:t>Primer canvi en la concepció de l’ús dels espais</w:t>
        </w:r>
        <w:r w:rsidR="00752E4C">
          <w:rPr>
            <w:noProof/>
            <w:webHidden/>
          </w:rPr>
          <w:tab/>
        </w:r>
        <w:r w:rsidR="00752E4C">
          <w:rPr>
            <w:noProof/>
            <w:webHidden/>
          </w:rPr>
          <w:fldChar w:fldCharType="begin"/>
        </w:r>
        <w:r w:rsidR="00752E4C">
          <w:rPr>
            <w:noProof/>
            <w:webHidden/>
          </w:rPr>
          <w:instrText xml:space="preserve"> PAGEREF _Toc465293459 \h </w:instrText>
        </w:r>
        <w:r w:rsidR="00752E4C">
          <w:rPr>
            <w:noProof/>
            <w:webHidden/>
          </w:rPr>
        </w:r>
        <w:r w:rsidR="00752E4C">
          <w:rPr>
            <w:noProof/>
            <w:webHidden/>
          </w:rPr>
          <w:fldChar w:fldCharType="separate"/>
        </w:r>
        <w:r w:rsidR="00752E4C">
          <w:rPr>
            <w:noProof/>
            <w:webHidden/>
          </w:rPr>
          <w:t>178</w:t>
        </w:r>
        <w:r w:rsidR="00752E4C">
          <w:rPr>
            <w:noProof/>
            <w:webHidden/>
          </w:rPr>
          <w:fldChar w:fldCharType="end"/>
        </w:r>
      </w:hyperlink>
    </w:p>
    <w:p w:rsidR="00752E4C" w:rsidRDefault="00DB496B">
      <w:pPr>
        <w:pStyle w:val="IDC3"/>
        <w:tabs>
          <w:tab w:val="left" w:pos="666"/>
          <w:tab w:val="right" w:pos="9061"/>
        </w:tabs>
        <w:rPr>
          <w:rFonts w:eastAsiaTheme="minorEastAsia"/>
          <w:smallCaps w:val="0"/>
          <w:noProof/>
          <w:lang w:eastAsia="ca-ES"/>
        </w:rPr>
      </w:pPr>
      <w:hyperlink w:anchor="_Toc465293460" w:history="1">
        <w:r w:rsidR="00752E4C" w:rsidRPr="00D0406E">
          <w:rPr>
            <w:rStyle w:val="Enlla"/>
            <w:noProof/>
          </w:rPr>
          <w:t>9.2.3</w:t>
        </w:r>
        <w:r w:rsidR="00752E4C">
          <w:rPr>
            <w:rFonts w:eastAsiaTheme="minorEastAsia"/>
            <w:smallCaps w:val="0"/>
            <w:noProof/>
            <w:lang w:eastAsia="ca-ES"/>
          </w:rPr>
          <w:tab/>
        </w:r>
        <w:r w:rsidR="00752E4C" w:rsidRPr="00D0406E">
          <w:rPr>
            <w:rStyle w:val="Enlla"/>
            <w:noProof/>
          </w:rPr>
          <w:t>Adaptacions als centres destinats a dones i joves</w:t>
        </w:r>
        <w:r w:rsidR="00752E4C">
          <w:rPr>
            <w:noProof/>
            <w:webHidden/>
          </w:rPr>
          <w:tab/>
        </w:r>
        <w:r w:rsidR="00752E4C">
          <w:rPr>
            <w:noProof/>
            <w:webHidden/>
          </w:rPr>
          <w:fldChar w:fldCharType="begin"/>
        </w:r>
        <w:r w:rsidR="00752E4C">
          <w:rPr>
            <w:noProof/>
            <w:webHidden/>
          </w:rPr>
          <w:instrText xml:space="preserve"> PAGEREF _Toc465293460 \h </w:instrText>
        </w:r>
        <w:r w:rsidR="00752E4C">
          <w:rPr>
            <w:noProof/>
            <w:webHidden/>
          </w:rPr>
        </w:r>
        <w:r w:rsidR="00752E4C">
          <w:rPr>
            <w:noProof/>
            <w:webHidden/>
          </w:rPr>
          <w:fldChar w:fldCharType="separate"/>
        </w:r>
        <w:r w:rsidR="00752E4C">
          <w:rPr>
            <w:noProof/>
            <w:webHidden/>
          </w:rPr>
          <w:t>178</w:t>
        </w:r>
        <w:r w:rsidR="00752E4C">
          <w:rPr>
            <w:noProof/>
            <w:webHidden/>
          </w:rPr>
          <w:fldChar w:fldCharType="end"/>
        </w:r>
      </w:hyperlink>
    </w:p>
    <w:p w:rsidR="00752E4C" w:rsidRDefault="00DB496B">
      <w:pPr>
        <w:pStyle w:val="IDC3"/>
        <w:tabs>
          <w:tab w:val="left" w:pos="666"/>
          <w:tab w:val="right" w:pos="9061"/>
        </w:tabs>
        <w:rPr>
          <w:rFonts w:eastAsiaTheme="minorEastAsia"/>
          <w:smallCaps w:val="0"/>
          <w:noProof/>
          <w:lang w:eastAsia="ca-ES"/>
        </w:rPr>
      </w:pPr>
      <w:hyperlink w:anchor="_Toc465293461" w:history="1">
        <w:r w:rsidR="00752E4C" w:rsidRPr="00D0406E">
          <w:rPr>
            <w:rStyle w:val="Enlla"/>
            <w:noProof/>
          </w:rPr>
          <w:t>9.2.4</w:t>
        </w:r>
        <w:r w:rsidR="00752E4C">
          <w:rPr>
            <w:rFonts w:eastAsiaTheme="minorEastAsia"/>
            <w:smallCaps w:val="0"/>
            <w:noProof/>
            <w:lang w:eastAsia="ca-ES"/>
          </w:rPr>
          <w:tab/>
        </w:r>
        <w:r w:rsidR="00752E4C" w:rsidRPr="00D0406E">
          <w:rPr>
            <w:rStyle w:val="Enlla"/>
            <w:noProof/>
          </w:rPr>
          <w:t>El disseny adaptat a les necessitats de la rehabilitació</w:t>
        </w:r>
        <w:r w:rsidR="00752E4C">
          <w:rPr>
            <w:noProof/>
            <w:webHidden/>
          </w:rPr>
          <w:tab/>
        </w:r>
        <w:r w:rsidR="00752E4C">
          <w:rPr>
            <w:noProof/>
            <w:webHidden/>
          </w:rPr>
          <w:fldChar w:fldCharType="begin"/>
        </w:r>
        <w:r w:rsidR="00752E4C">
          <w:rPr>
            <w:noProof/>
            <w:webHidden/>
          </w:rPr>
          <w:instrText xml:space="preserve"> PAGEREF _Toc465293461 \h </w:instrText>
        </w:r>
        <w:r w:rsidR="00752E4C">
          <w:rPr>
            <w:noProof/>
            <w:webHidden/>
          </w:rPr>
        </w:r>
        <w:r w:rsidR="00752E4C">
          <w:rPr>
            <w:noProof/>
            <w:webHidden/>
          </w:rPr>
          <w:fldChar w:fldCharType="separate"/>
        </w:r>
        <w:r w:rsidR="00752E4C">
          <w:rPr>
            <w:noProof/>
            <w:webHidden/>
          </w:rPr>
          <w:t>179</w:t>
        </w:r>
        <w:r w:rsidR="00752E4C">
          <w:rPr>
            <w:noProof/>
            <w:webHidden/>
          </w:rPr>
          <w:fldChar w:fldCharType="end"/>
        </w:r>
      </w:hyperlink>
    </w:p>
    <w:p w:rsidR="00752E4C" w:rsidRDefault="00DB496B">
      <w:pPr>
        <w:pStyle w:val="IDC2"/>
        <w:tabs>
          <w:tab w:val="left" w:pos="502"/>
          <w:tab w:val="right" w:pos="9061"/>
        </w:tabs>
        <w:rPr>
          <w:rFonts w:eastAsiaTheme="minorEastAsia"/>
          <w:b w:val="0"/>
          <w:bCs w:val="0"/>
          <w:smallCaps w:val="0"/>
          <w:noProof/>
          <w:lang w:eastAsia="ca-ES"/>
        </w:rPr>
      </w:pPr>
      <w:hyperlink w:anchor="_Toc465293462" w:history="1">
        <w:r w:rsidR="00752E4C" w:rsidRPr="00D0406E">
          <w:rPr>
            <w:rStyle w:val="Enlla"/>
            <w:noProof/>
          </w:rPr>
          <w:t>9.3</w:t>
        </w:r>
        <w:r w:rsidR="00752E4C">
          <w:rPr>
            <w:rFonts w:eastAsiaTheme="minorEastAsia"/>
            <w:b w:val="0"/>
            <w:bCs w:val="0"/>
            <w:smallCaps w:val="0"/>
            <w:noProof/>
            <w:lang w:eastAsia="ca-ES"/>
          </w:rPr>
          <w:tab/>
        </w:r>
        <w:r w:rsidR="00752E4C" w:rsidRPr="00D0406E">
          <w:rPr>
            <w:rStyle w:val="Enlla"/>
            <w:noProof/>
          </w:rPr>
          <w:t>CP 500: Els centres com a mitjà de socialització i l’escala humana</w:t>
        </w:r>
        <w:r w:rsidR="00752E4C">
          <w:rPr>
            <w:noProof/>
            <w:webHidden/>
          </w:rPr>
          <w:tab/>
        </w:r>
        <w:r w:rsidR="00752E4C">
          <w:rPr>
            <w:noProof/>
            <w:webHidden/>
          </w:rPr>
          <w:fldChar w:fldCharType="begin"/>
        </w:r>
        <w:r w:rsidR="00752E4C">
          <w:rPr>
            <w:noProof/>
            <w:webHidden/>
          </w:rPr>
          <w:instrText xml:space="preserve"> PAGEREF _Toc465293462 \h </w:instrText>
        </w:r>
        <w:r w:rsidR="00752E4C">
          <w:rPr>
            <w:noProof/>
            <w:webHidden/>
          </w:rPr>
        </w:r>
        <w:r w:rsidR="00752E4C">
          <w:rPr>
            <w:noProof/>
            <w:webHidden/>
          </w:rPr>
          <w:fldChar w:fldCharType="separate"/>
        </w:r>
        <w:r w:rsidR="00752E4C">
          <w:rPr>
            <w:noProof/>
            <w:webHidden/>
          </w:rPr>
          <w:t>182</w:t>
        </w:r>
        <w:r w:rsidR="00752E4C">
          <w:rPr>
            <w:noProof/>
            <w:webHidden/>
          </w:rPr>
          <w:fldChar w:fldCharType="end"/>
        </w:r>
      </w:hyperlink>
    </w:p>
    <w:p w:rsidR="00752E4C" w:rsidRDefault="00DB496B">
      <w:pPr>
        <w:pStyle w:val="IDC2"/>
        <w:tabs>
          <w:tab w:val="left" w:pos="502"/>
          <w:tab w:val="right" w:pos="9061"/>
        </w:tabs>
        <w:rPr>
          <w:rFonts w:eastAsiaTheme="minorEastAsia"/>
          <w:b w:val="0"/>
          <w:bCs w:val="0"/>
          <w:smallCaps w:val="0"/>
          <w:noProof/>
          <w:lang w:eastAsia="ca-ES"/>
        </w:rPr>
      </w:pPr>
      <w:hyperlink w:anchor="_Toc465293463" w:history="1">
        <w:r w:rsidR="00752E4C" w:rsidRPr="00D0406E">
          <w:rPr>
            <w:rStyle w:val="Enlla"/>
            <w:noProof/>
          </w:rPr>
          <w:t>9.4</w:t>
        </w:r>
        <w:r w:rsidR="00752E4C">
          <w:rPr>
            <w:rFonts w:eastAsiaTheme="minorEastAsia"/>
            <w:b w:val="0"/>
            <w:bCs w:val="0"/>
            <w:smallCaps w:val="0"/>
            <w:noProof/>
            <w:lang w:eastAsia="ca-ES"/>
          </w:rPr>
          <w:tab/>
        </w:r>
        <w:r w:rsidR="00752E4C" w:rsidRPr="00D0406E">
          <w:rPr>
            <w:rStyle w:val="Enlla"/>
            <w:noProof/>
          </w:rPr>
          <w:t>Característiques del compliment en règim obert</w:t>
        </w:r>
        <w:r w:rsidR="00752E4C">
          <w:rPr>
            <w:noProof/>
            <w:webHidden/>
          </w:rPr>
          <w:tab/>
        </w:r>
        <w:r w:rsidR="00752E4C">
          <w:rPr>
            <w:noProof/>
            <w:webHidden/>
          </w:rPr>
          <w:fldChar w:fldCharType="begin"/>
        </w:r>
        <w:r w:rsidR="00752E4C">
          <w:rPr>
            <w:noProof/>
            <w:webHidden/>
          </w:rPr>
          <w:instrText xml:space="preserve"> PAGEREF _Toc465293463 \h </w:instrText>
        </w:r>
        <w:r w:rsidR="00752E4C">
          <w:rPr>
            <w:noProof/>
            <w:webHidden/>
          </w:rPr>
        </w:r>
        <w:r w:rsidR="00752E4C">
          <w:rPr>
            <w:noProof/>
            <w:webHidden/>
          </w:rPr>
          <w:fldChar w:fldCharType="separate"/>
        </w:r>
        <w:r w:rsidR="00752E4C">
          <w:rPr>
            <w:noProof/>
            <w:webHidden/>
          </w:rPr>
          <w:t>187</w:t>
        </w:r>
        <w:r w:rsidR="00752E4C">
          <w:rPr>
            <w:noProof/>
            <w:webHidden/>
          </w:rPr>
          <w:fldChar w:fldCharType="end"/>
        </w:r>
      </w:hyperlink>
    </w:p>
    <w:p w:rsidR="00752E4C" w:rsidRDefault="00DB496B">
      <w:pPr>
        <w:pStyle w:val="IDC2"/>
        <w:tabs>
          <w:tab w:val="left" w:pos="502"/>
          <w:tab w:val="right" w:pos="9061"/>
        </w:tabs>
        <w:rPr>
          <w:rFonts w:eastAsiaTheme="minorEastAsia"/>
          <w:b w:val="0"/>
          <w:bCs w:val="0"/>
          <w:smallCaps w:val="0"/>
          <w:noProof/>
          <w:lang w:eastAsia="ca-ES"/>
        </w:rPr>
      </w:pPr>
      <w:hyperlink w:anchor="_Toc465293464" w:history="1">
        <w:r w:rsidR="00752E4C" w:rsidRPr="00D0406E">
          <w:rPr>
            <w:rStyle w:val="Enlla"/>
            <w:noProof/>
          </w:rPr>
          <w:t>9.5</w:t>
        </w:r>
        <w:r w:rsidR="00752E4C">
          <w:rPr>
            <w:rFonts w:eastAsiaTheme="minorEastAsia"/>
            <w:b w:val="0"/>
            <w:bCs w:val="0"/>
            <w:smallCaps w:val="0"/>
            <w:noProof/>
            <w:lang w:eastAsia="ca-ES"/>
          </w:rPr>
          <w:tab/>
        </w:r>
        <w:r w:rsidR="00752E4C" w:rsidRPr="00D0406E">
          <w:rPr>
            <w:rStyle w:val="Enlla"/>
            <w:noProof/>
          </w:rPr>
          <w:t>El pla d’equipaments</w:t>
        </w:r>
        <w:r w:rsidR="00752E4C">
          <w:rPr>
            <w:noProof/>
            <w:webHidden/>
          </w:rPr>
          <w:tab/>
        </w:r>
        <w:r w:rsidR="00752E4C">
          <w:rPr>
            <w:noProof/>
            <w:webHidden/>
          </w:rPr>
          <w:fldChar w:fldCharType="begin"/>
        </w:r>
        <w:r w:rsidR="00752E4C">
          <w:rPr>
            <w:noProof/>
            <w:webHidden/>
          </w:rPr>
          <w:instrText xml:space="preserve"> PAGEREF _Toc465293464 \h </w:instrText>
        </w:r>
        <w:r w:rsidR="00752E4C">
          <w:rPr>
            <w:noProof/>
            <w:webHidden/>
          </w:rPr>
        </w:r>
        <w:r w:rsidR="00752E4C">
          <w:rPr>
            <w:noProof/>
            <w:webHidden/>
          </w:rPr>
          <w:fldChar w:fldCharType="separate"/>
        </w:r>
        <w:r w:rsidR="00752E4C">
          <w:rPr>
            <w:noProof/>
            <w:webHidden/>
          </w:rPr>
          <w:t>189</w:t>
        </w:r>
        <w:r w:rsidR="00752E4C">
          <w:rPr>
            <w:noProof/>
            <w:webHidden/>
          </w:rPr>
          <w:fldChar w:fldCharType="end"/>
        </w:r>
      </w:hyperlink>
    </w:p>
    <w:p w:rsidR="00752E4C" w:rsidRDefault="00DB496B">
      <w:pPr>
        <w:pStyle w:val="IDC1"/>
        <w:tabs>
          <w:tab w:val="left" w:pos="443"/>
          <w:tab w:val="right" w:pos="9061"/>
        </w:tabs>
        <w:rPr>
          <w:rFonts w:eastAsiaTheme="minorEastAsia"/>
          <w:b w:val="0"/>
          <w:bCs w:val="0"/>
          <w:caps w:val="0"/>
          <w:noProof/>
          <w:u w:val="none"/>
          <w:lang w:eastAsia="ca-ES"/>
        </w:rPr>
      </w:pPr>
      <w:hyperlink w:anchor="_Toc465293465" w:history="1">
        <w:r w:rsidR="00752E4C" w:rsidRPr="00D0406E">
          <w:rPr>
            <w:rStyle w:val="Enlla"/>
            <w:noProof/>
            <w14:cntxtAlts/>
          </w:rPr>
          <w:t>10</w:t>
        </w:r>
        <w:r w:rsidR="00752E4C">
          <w:rPr>
            <w:rFonts w:eastAsiaTheme="minorEastAsia"/>
            <w:b w:val="0"/>
            <w:bCs w:val="0"/>
            <w:caps w:val="0"/>
            <w:noProof/>
            <w:u w:val="none"/>
            <w:lang w:eastAsia="ca-ES"/>
          </w:rPr>
          <w:tab/>
        </w:r>
        <w:r w:rsidR="00752E4C" w:rsidRPr="00D0406E">
          <w:rPr>
            <w:rStyle w:val="Enlla"/>
            <w:noProof/>
          </w:rPr>
          <w:t>El sistema d’informació i la tecnologia com a eix de modernització de l’execució penal</w:t>
        </w:r>
        <w:r w:rsidR="00752E4C">
          <w:rPr>
            <w:noProof/>
            <w:webHidden/>
          </w:rPr>
          <w:tab/>
        </w:r>
        <w:r w:rsidR="00752E4C">
          <w:rPr>
            <w:noProof/>
            <w:webHidden/>
          </w:rPr>
          <w:fldChar w:fldCharType="begin"/>
        </w:r>
        <w:r w:rsidR="00752E4C">
          <w:rPr>
            <w:noProof/>
            <w:webHidden/>
          </w:rPr>
          <w:instrText xml:space="preserve"> PAGEREF _Toc465293465 \h </w:instrText>
        </w:r>
        <w:r w:rsidR="00752E4C">
          <w:rPr>
            <w:noProof/>
            <w:webHidden/>
          </w:rPr>
        </w:r>
        <w:r w:rsidR="00752E4C">
          <w:rPr>
            <w:noProof/>
            <w:webHidden/>
          </w:rPr>
          <w:fldChar w:fldCharType="separate"/>
        </w:r>
        <w:r w:rsidR="00752E4C">
          <w:rPr>
            <w:noProof/>
            <w:webHidden/>
          </w:rPr>
          <w:t>191</w:t>
        </w:r>
        <w:r w:rsidR="00752E4C">
          <w:rPr>
            <w:noProof/>
            <w:webHidden/>
          </w:rPr>
          <w:fldChar w:fldCharType="end"/>
        </w:r>
      </w:hyperlink>
    </w:p>
    <w:p w:rsidR="00752E4C" w:rsidRDefault="00DB496B">
      <w:pPr>
        <w:pStyle w:val="IDC2"/>
        <w:tabs>
          <w:tab w:val="left" w:pos="613"/>
          <w:tab w:val="right" w:pos="9061"/>
        </w:tabs>
        <w:rPr>
          <w:rFonts w:eastAsiaTheme="minorEastAsia"/>
          <w:b w:val="0"/>
          <w:bCs w:val="0"/>
          <w:smallCaps w:val="0"/>
          <w:noProof/>
          <w:lang w:eastAsia="ca-ES"/>
        </w:rPr>
      </w:pPr>
      <w:hyperlink w:anchor="_Toc465293466" w:history="1">
        <w:r w:rsidR="00752E4C" w:rsidRPr="00D0406E">
          <w:rPr>
            <w:rStyle w:val="Enlla"/>
            <w:noProof/>
          </w:rPr>
          <w:t>10.1</w:t>
        </w:r>
        <w:r w:rsidR="00752E4C">
          <w:rPr>
            <w:rFonts w:eastAsiaTheme="minorEastAsia"/>
            <w:b w:val="0"/>
            <w:bCs w:val="0"/>
            <w:smallCaps w:val="0"/>
            <w:noProof/>
            <w:lang w:eastAsia="ca-ES"/>
          </w:rPr>
          <w:tab/>
        </w:r>
        <w:r w:rsidR="00752E4C" w:rsidRPr="00D0406E">
          <w:rPr>
            <w:rStyle w:val="Enlla"/>
            <w:noProof/>
          </w:rPr>
          <w:t>Antecedents</w:t>
        </w:r>
        <w:r w:rsidR="00752E4C">
          <w:rPr>
            <w:noProof/>
            <w:webHidden/>
          </w:rPr>
          <w:tab/>
        </w:r>
        <w:r w:rsidR="00752E4C">
          <w:rPr>
            <w:noProof/>
            <w:webHidden/>
          </w:rPr>
          <w:fldChar w:fldCharType="begin"/>
        </w:r>
        <w:r w:rsidR="00752E4C">
          <w:rPr>
            <w:noProof/>
            <w:webHidden/>
          </w:rPr>
          <w:instrText xml:space="preserve"> PAGEREF _Toc465293466 \h </w:instrText>
        </w:r>
        <w:r w:rsidR="00752E4C">
          <w:rPr>
            <w:noProof/>
            <w:webHidden/>
          </w:rPr>
        </w:r>
        <w:r w:rsidR="00752E4C">
          <w:rPr>
            <w:noProof/>
            <w:webHidden/>
          </w:rPr>
          <w:fldChar w:fldCharType="separate"/>
        </w:r>
        <w:r w:rsidR="00752E4C">
          <w:rPr>
            <w:noProof/>
            <w:webHidden/>
          </w:rPr>
          <w:t>191</w:t>
        </w:r>
        <w:r w:rsidR="00752E4C">
          <w:rPr>
            <w:noProof/>
            <w:webHidden/>
          </w:rPr>
          <w:fldChar w:fldCharType="end"/>
        </w:r>
      </w:hyperlink>
    </w:p>
    <w:p w:rsidR="00752E4C" w:rsidRDefault="00DB496B">
      <w:pPr>
        <w:pStyle w:val="IDC3"/>
        <w:tabs>
          <w:tab w:val="left" w:pos="777"/>
          <w:tab w:val="right" w:pos="9061"/>
        </w:tabs>
        <w:rPr>
          <w:rFonts w:eastAsiaTheme="minorEastAsia"/>
          <w:smallCaps w:val="0"/>
          <w:noProof/>
          <w:lang w:eastAsia="ca-ES"/>
        </w:rPr>
      </w:pPr>
      <w:hyperlink w:anchor="_Toc465293467" w:history="1">
        <w:r w:rsidR="00752E4C" w:rsidRPr="00D0406E">
          <w:rPr>
            <w:rStyle w:val="Enlla"/>
            <w:noProof/>
          </w:rPr>
          <w:t>10.1.1</w:t>
        </w:r>
        <w:r w:rsidR="00752E4C">
          <w:rPr>
            <w:rFonts w:eastAsiaTheme="minorEastAsia"/>
            <w:smallCaps w:val="0"/>
            <w:noProof/>
            <w:lang w:eastAsia="ca-ES"/>
          </w:rPr>
          <w:tab/>
        </w:r>
        <w:r w:rsidR="00752E4C" w:rsidRPr="00D0406E">
          <w:rPr>
            <w:rStyle w:val="Enlla"/>
            <w:noProof/>
          </w:rPr>
          <w:t>Sistemes d’informació per a la gestió de l’execució penal</w:t>
        </w:r>
        <w:r w:rsidR="00752E4C">
          <w:rPr>
            <w:noProof/>
            <w:webHidden/>
          </w:rPr>
          <w:tab/>
        </w:r>
        <w:r w:rsidR="00752E4C">
          <w:rPr>
            <w:noProof/>
            <w:webHidden/>
          </w:rPr>
          <w:fldChar w:fldCharType="begin"/>
        </w:r>
        <w:r w:rsidR="00752E4C">
          <w:rPr>
            <w:noProof/>
            <w:webHidden/>
          </w:rPr>
          <w:instrText xml:space="preserve"> PAGEREF _Toc465293467 \h </w:instrText>
        </w:r>
        <w:r w:rsidR="00752E4C">
          <w:rPr>
            <w:noProof/>
            <w:webHidden/>
          </w:rPr>
        </w:r>
        <w:r w:rsidR="00752E4C">
          <w:rPr>
            <w:noProof/>
            <w:webHidden/>
          </w:rPr>
          <w:fldChar w:fldCharType="separate"/>
        </w:r>
        <w:r w:rsidR="00752E4C">
          <w:rPr>
            <w:noProof/>
            <w:webHidden/>
          </w:rPr>
          <w:t>191</w:t>
        </w:r>
        <w:r w:rsidR="00752E4C">
          <w:rPr>
            <w:noProof/>
            <w:webHidden/>
          </w:rPr>
          <w:fldChar w:fldCharType="end"/>
        </w:r>
      </w:hyperlink>
    </w:p>
    <w:p w:rsidR="00752E4C" w:rsidRDefault="00DB496B">
      <w:pPr>
        <w:pStyle w:val="IDC3"/>
        <w:tabs>
          <w:tab w:val="left" w:pos="777"/>
          <w:tab w:val="right" w:pos="9061"/>
        </w:tabs>
        <w:rPr>
          <w:rFonts w:eastAsiaTheme="minorEastAsia"/>
          <w:smallCaps w:val="0"/>
          <w:noProof/>
          <w:lang w:eastAsia="ca-ES"/>
        </w:rPr>
      </w:pPr>
      <w:hyperlink w:anchor="_Toc465293468" w:history="1">
        <w:r w:rsidR="00752E4C" w:rsidRPr="00D0406E">
          <w:rPr>
            <w:rStyle w:val="Enlla"/>
            <w:noProof/>
          </w:rPr>
          <w:t>10.1.2</w:t>
        </w:r>
        <w:r w:rsidR="00752E4C">
          <w:rPr>
            <w:rFonts w:eastAsiaTheme="minorEastAsia"/>
            <w:smallCaps w:val="0"/>
            <w:noProof/>
            <w:lang w:eastAsia="ca-ES"/>
          </w:rPr>
          <w:tab/>
        </w:r>
        <w:r w:rsidR="00752E4C" w:rsidRPr="00D0406E">
          <w:rPr>
            <w:rStyle w:val="Enlla"/>
            <w:noProof/>
          </w:rPr>
          <w:t>Sistemes d’informació per a la gestió de les mesures penals alternatives</w:t>
        </w:r>
        <w:r w:rsidR="00752E4C">
          <w:rPr>
            <w:noProof/>
            <w:webHidden/>
          </w:rPr>
          <w:tab/>
        </w:r>
        <w:r w:rsidR="00752E4C">
          <w:rPr>
            <w:noProof/>
            <w:webHidden/>
          </w:rPr>
          <w:fldChar w:fldCharType="begin"/>
        </w:r>
        <w:r w:rsidR="00752E4C">
          <w:rPr>
            <w:noProof/>
            <w:webHidden/>
          </w:rPr>
          <w:instrText xml:space="preserve"> PAGEREF _Toc465293468 \h </w:instrText>
        </w:r>
        <w:r w:rsidR="00752E4C">
          <w:rPr>
            <w:noProof/>
            <w:webHidden/>
          </w:rPr>
        </w:r>
        <w:r w:rsidR="00752E4C">
          <w:rPr>
            <w:noProof/>
            <w:webHidden/>
          </w:rPr>
          <w:fldChar w:fldCharType="separate"/>
        </w:r>
        <w:r w:rsidR="00752E4C">
          <w:rPr>
            <w:noProof/>
            <w:webHidden/>
          </w:rPr>
          <w:t>192</w:t>
        </w:r>
        <w:r w:rsidR="00752E4C">
          <w:rPr>
            <w:noProof/>
            <w:webHidden/>
          </w:rPr>
          <w:fldChar w:fldCharType="end"/>
        </w:r>
      </w:hyperlink>
    </w:p>
    <w:p w:rsidR="00752E4C" w:rsidRDefault="00DB496B">
      <w:pPr>
        <w:pStyle w:val="IDC2"/>
        <w:tabs>
          <w:tab w:val="left" w:pos="613"/>
          <w:tab w:val="right" w:pos="9061"/>
        </w:tabs>
        <w:rPr>
          <w:rFonts w:eastAsiaTheme="minorEastAsia"/>
          <w:b w:val="0"/>
          <w:bCs w:val="0"/>
          <w:smallCaps w:val="0"/>
          <w:noProof/>
          <w:lang w:eastAsia="ca-ES"/>
        </w:rPr>
      </w:pPr>
      <w:hyperlink w:anchor="_Toc465293469" w:history="1">
        <w:r w:rsidR="00752E4C" w:rsidRPr="00D0406E">
          <w:rPr>
            <w:rStyle w:val="Enlla"/>
            <w:noProof/>
          </w:rPr>
          <w:t>10.2</w:t>
        </w:r>
        <w:r w:rsidR="00752E4C">
          <w:rPr>
            <w:rFonts w:eastAsiaTheme="minorEastAsia"/>
            <w:b w:val="0"/>
            <w:bCs w:val="0"/>
            <w:smallCaps w:val="0"/>
            <w:noProof/>
            <w:lang w:eastAsia="ca-ES"/>
          </w:rPr>
          <w:tab/>
        </w:r>
        <w:r w:rsidR="00752E4C" w:rsidRPr="00D0406E">
          <w:rPr>
            <w:rStyle w:val="Enlla"/>
            <w:noProof/>
          </w:rPr>
          <w:t>Anàlisi de la situació actual i noves necessitats</w:t>
        </w:r>
        <w:r w:rsidR="00752E4C">
          <w:rPr>
            <w:noProof/>
            <w:webHidden/>
          </w:rPr>
          <w:tab/>
        </w:r>
        <w:r w:rsidR="00752E4C">
          <w:rPr>
            <w:noProof/>
            <w:webHidden/>
          </w:rPr>
          <w:fldChar w:fldCharType="begin"/>
        </w:r>
        <w:r w:rsidR="00752E4C">
          <w:rPr>
            <w:noProof/>
            <w:webHidden/>
          </w:rPr>
          <w:instrText xml:space="preserve"> PAGEREF _Toc465293469 \h </w:instrText>
        </w:r>
        <w:r w:rsidR="00752E4C">
          <w:rPr>
            <w:noProof/>
            <w:webHidden/>
          </w:rPr>
        </w:r>
        <w:r w:rsidR="00752E4C">
          <w:rPr>
            <w:noProof/>
            <w:webHidden/>
          </w:rPr>
          <w:fldChar w:fldCharType="separate"/>
        </w:r>
        <w:r w:rsidR="00752E4C">
          <w:rPr>
            <w:noProof/>
            <w:webHidden/>
          </w:rPr>
          <w:t>192</w:t>
        </w:r>
        <w:r w:rsidR="00752E4C">
          <w:rPr>
            <w:noProof/>
            <w:webHidden/>
          </w:rPr>
          <w:fldChar w:fldCharType="end"/>
        </w:r>
      </w:hyperlink>
    </w:p>
    <w:p w:rsidR="00752E4C" w:rsidRDefault="00DB496B">
      <w:pPr>
        <w:pStyle w:val="IDC3"/>
        <w:tabs>
          <w:tab w:val="left" w:pos="777"/>
          <w:tab w:val="right" w:pos="9061"/>
        </w:tabs>
        <w:rPr>
          <w:rFonts w:eastAsiaTheme="minorEastAsia"/>
          <w:smallCaps w:val="0"/>
          <w:noProof/>
          <w:lang w:eastAsia="ca-ES"/>
        </w:rPr>
      </w:pPr>
      <w:hyperlink w:anchor="_Toc465293470" w:history="1">
        <w:r w:rsidR="00752E4C" w:rsidRPr="00D0406E">
          <w:rPr>
            <w:rStyle w:val="Enlla"/>
            <w:noProof/>
          </w:rPr>
          <w:t>10.2.1</w:t>
        </w:r>
        <w:r w:rsidR="00752E4C">
          <w:rPr>
            <w:rFonts w:eastAsiaTheme="minorEastAsia"/>
            <w:smallCaps w:val="0"/>
            <w:noProof/>
            <w:lang w:eastAsia="ca-ES"/>
          </w:rPr>
          <w:tab/>
        </w:r>
        <w:r w:rsidR="00752E4C" w:rsidRPr="00D0406E">
          <w:rPr>
            <w:rStyle w:val="Enlla"/>
            <w:noProof/>
          </w:rPr>
          <w:t>Els sistemes d’informació</w:t>
        </w:r>
        <w:r w:rsidR="00752E4C">
          <w:rPr>
            <w:noProof/>
            <w:webHidden/>
          </w:rPr>
          <w:tab/>
        </w:r>
        <w:r w:rsidR="00752E4C">
          <w:rPr>
            <w:noProof/>
            <w:webHidden/>
          </w:rPr>
          <w:fldChar w:fldCharType="begin"/>
        </w:r>
        <w:r w:rsidR="00752E4C">
          <w:rPr>
            <w:noProof/>
            <w:webHidden/>
          </w:rPr>
          <w:instrText xml:space="preserve"> PAGEREF _Toc465293470 \h </w:instrText>
        </w:r>
        <w:r w:rsidR="00752E4C">
          <w:rPr>
            <w:noProof/>
            <w:webHidden/>
          </w:rPr>
        </w:r>
        <w:r w:rsidR="00752E4C">
          <w:rPr>
            <w:noProof/>
            <w:webHidden/>
          </w:rPr>
          <w:fldChar w:fldCharType="separate"/>
        </w:r>
        <w:r w:rsidR="00752E4C">
          <w:rPr>
            <w:noProof/>
            <w:webHidden/>
          </w:rPr>
          <w:t>192</w:t>
        </w:r>
        <w:r w:rsidR="00752E4C">
          <w:rPr>
            <w:noProof/>
            <w:webHidden/>
          </w:rPr>
          <w:fldChar w:fldCharType="end"/>
        </w:r>
      </w:hyperlink>
    </w:p>
    <w:p w:rsidR="00752E4C" w:rsidRDefault="00DB496B">
      <w:pPr>
        <w:pStyle w:val="IDC3"/>
        <w:tabs>
          <w:tab w:val="left" w:pos="777"/>
          <w:tab w:val="right" w:pos="9061"/>
        </w:tabs>
        <w:rPr>
          <w:rFonts w:eastAsiaTheme="minorEastAsia"/>
          <w:smallCaps w:val="0"/>
          <w:noProof/>
          <w:lang w:eastAsia="ca-ES"/>
        </w:rPr>
      </w:pPr>
      <w:hyperlink w:anchor="_Toc465293471" w:history="1">
        <w:r w:rsidR="00752E4C" w:rsidRPr="00D0406E">
          <w:rPr>
            <w:rStyle w:val="Enlla"/>
            <w:noProof/>
          </w:rPr>
          <w:t>10.2.2</w:t>
        </w:r>
        <w:r w:rsidR="00752E4C">
          <w:rPr>
            <w:rFonts w:eastAsiaTheme="minorEastAsia"/>
            <w:smallCaps w:val="0"/>
            <w:noProof/>
            <w:lang w:eastAsia="ca-ES"/>
          </w:rPr>
          <w:tab/>
        </w:r>
        <w:r w:rsidR="00752E4C" w:rsidRPr="00D0406E">
          <w:rPr>
            <w:rStyle w:val="Enlla"/>
            <w:noProof/>
          </w:rPr>
          <w:t>Anàlisi de la situació actual</w:t>
        </w:r>
        <w:r w:rsidR="00752E4C">
          <w:rPr>
            <w:noProof/>
            <w:webHidden/>
          </w:rPr>
          <w:tab/>
        </w:r>
        <w:r w:rsidR="00752E4C">
          <w:rPr>
            <w:noProof/>
            <w:webHidden/>
          </w:rPr>
          <w:fldChar w:fldCharType="begin"/>
        </w:r>
        <w:r w:rsidR="00752E4C">
          <w:rPr>
            <w:noProof/>
            <w:webHidden/>
          </w:rPr>
          <w:instrText xml:space="preserve"> PAGEREF _Toc465293471 \h </w:instrText>
        </w:r>
        <w:r w:rsidR="00752E4C">
          <w:rPr>
            <w:noProof/>
            <w:webHidden/>
          </w:rPr>
        </w:r>
        <w:r w:rsidR="00752E4C">
          <w:rPr>
            <w:noProof/>
            <w:webHidden/>
          </w:rPr>
          <w:fldChar w:fldCharType="separate"/>
        </w:r>
        <w:r w:rsidR="00752E4C">
          <w:rPr>
            <w:noProof/>
            <w:webHidden/>
          </w:rPr>
          <w:t>193</w:t>
        </w:r>
        <w:r w:rsidR="00752E4C">
          <w:rPr>
            <w:noProof/>
            <w:webHidden/>
          </w:rPr>
          <w:fldChar w:fldCharType="end"/>
        </w:r>
      </w:hyperlink>
    </w:p>
    <w:p w:rsidR="00752E4C" w:rsidRDefault="00DB496B">
      <w:pPr>
        <w:pStyle w:val="IDC3"/>
        <w:tabs>
          <w:tab w:val="left" w:pos="777"/>
          <w:tab w:val="right" w:pos="9061"/>
        </w:tabs>
        <w:rPr>
          <w:rFonts w:eastAsiaTheme="minorEastAsia"/>
          <w:smallCaps w:val="0"/>
          <w:noProof/>
          <w:lang w:eastAsia="ca-ES"/>
        </w:rPr>
      </w:pPr>
      <w:hyperlink w:anchor="_Toc465293472" w:history="1">
        <w:r w:rsidR="00752E4C" w:rsidRPr="00D0406E">
          <w:rPr>
            <w:rStyle w:val="Enlla"/>
            <w:noProof/>
          </w:rPr>
          <w:t>10.2.3</w:t>
        </w:r>
        <w:r w:rsidR="00752E4C">
          <w:rPr>
            <w:rFonts w:eastAsiaTheme="minorEastAsia"/>
            <w:smallCaps w:val="0"/>
            <w:noProof/>
            <w:lang w:eastAsia="ca-ES"/>
          </w:rPr>
          <w:tab/>
        </w:r>
        <w:r w:rsidR="00752E4C" w:rsidRPr="00D0406E">
          <w:rPr>
            <w:rStyle w:val="Enlla"/>
            <w:iCs/>
            <w:noProof/>
            <w14:textFill>
              <w14:solidFill>
                <w14:schemeClr w14:val="hlink">
                  <w14:lumMod w14:val="50000"/>
                  <w14:lumMod w14:val="25000"/>
                  <w14:lumMod w14:val="25000"/>
                  <w14:lumMod w14:val="25000"/>
                </w14:schemeClr>
              </w14:solidFill>
            </w14:textFill>
          </w:rPr>
          <w:t>N</w:t>
        </w:r>
        <w:r w:rsidR="00752E4C" w:rsidRPr="00D0406E">
          <w:rPr>
            <w:rStyle w:val="Enlla"/>
            <w:noProof/>
          </w:rPr>
          <w:t>ecessitats d’evolució</w:t>
        </w:r>
        <w:r w:rsidR="00752E4C">
          <w:rPr>
            <w:noProof/>
            <w:webHidden/>
          </w:rPr>
          <w:tab/>
        </w:r>
        <w:r w:rsidR="00752E4C">
          <w:rPr>
            <w:noProof/>
            <w:webHidden/>
          </w:rPr>
          <w:fldChar w:fldCharType="begin"/>
        </w:r>
        <w:r w:rsidR="00752E4C">
          <w:rPr>
            <w:noProof/>
            <w:webHidden/>
          </w:rPr>
          <w:instrText xml:space="preserve"> PAGEREF _Toc465293472 \h </w:instrText>
        </w:r>
        <w:r w:rsidR="00752E4C">
          <w:rPr>
            <w:noProof/>
            <w:webHidden/>
          </w:rPr>
        </w:r>
        <w:r w:rsidR="00752E4C">
          <w:rPr>
            <w:noProof/>
            <w:webHidden/>
          </w:rPr>
          <w:fldChar w:fldCharType="separate"/>
        </w:r>
        <w:r w:rsidR="00752E4C">
          <w:rPr>
            <w:noProof/>
            <w:webHidden/>
          </w:rPr>
          <w:t>193</w:t>
        </w:r>
        <w:r w:rsidR="00752E4C">
          <w:rPr>
            <w:noProof/>
            <w:webHidden/>
          </w:rPr>
          <w:fldChar w:fldCharType="end"/>
        </w:r>
      </w:hyperlink>
    </w:p>
    <w:p w:rsidR="00752E4C" w:rsidRDefault="00DB496B">
      <w:pPr>
        <w:pStyle w:val="IDC2"/>
        <w:tabs>
          <w:tab w:val="left" w:pos="613"/>
          <w:tab w:val="right" w:pos="9061"/>
        </w:tabs>
        <w:rPr>
          <w:rFonts w:eastAsiaTheme="minorEastAsia"/>
          <w:b w:val="0"/>
          <w:bCs w:val="0"/>
          <w:smallCaps w:val="0"/>
          <w:noProof/>
          <w:lang w:eastAsia="ca-ES"/>
        </w:rPr>
      </w:pPr>
      <w:hyperlink w:anchor="_Toc465293473" w:history="1">
        <w:r w:rsidR="00752E4C" w:rsidRPr="00D0406E">
          <w:rPr>
            <w:rStyle w:val="Enlla"/>
            <w:noProof/>
          </w:rPr>
          <w:t>10.3</w:t>
        </w:r>
        <w:r w:rsidR="00752E4C">
          <w:rPr>
            <w:rFonts w:eastAsiaTheme="minorEastAsia"/>
            <w:b w:val="0"/>
            <w:bCs w:val="0"/>
            <w:smallCaps w:val="0"/>
            <w:noProof/>
            <w:lang w:eastAsia="ca-ES"/>
          </w:rPr>
          <w:tab/>
        </w:r>
        <w:r w:rsidR="00752E4C" w:rsidRPr="00D0406E">
          <w:rPr>
            <w:rStyle w:val="Enlla"/>
            <w:noProof/>
          </w:rPr>
          <w:t>Punts de referència internacional</w:t>
        </w:r>
        <w:r w:rsidR="00752E4C">
          <w:rPr>
            <w:noProof/>
            <w:webHidden/>
          </w:rPr>
          <w:tab/>
        </w:r>
        <w:r w:rsidR="00752E4C">
          <w:rPr>
            <w:noProof/>
            <w:webHidden/>
          </w:rPr>
          <w:fldChar w:fldCharType="begin"/>
        </w:r>
        <w:r w:rsidR="00752E4C">
          <w:rPr>
            <w:noProof/>
            <w:webHidden/>
          </w:rPr>
          <w:instrText xml:space="preserve"> PAGEREF _Toc465293473 \h </w:instrText>
        </w:r>
        <w:r w:rsidR="00752E4C">
          <w:rPr>
            <w:noProof/>
            <w:webHidden/>
          </w:rPr>
        </w:r>
        <w:r w:rsidR="00752E4C">
          <w:rPr>
            <w:noProof/>
            <w:webHidden/>
          </w:rPr>
          <w:fldChar w:fldCharType="separate"/>
        </w:r>
        <w:r w:rsidR="00752E4C">
          <w:rPr>
            <w:noProof/>
            <w:webHidden/>
          </w:rPr>
          <w:t>194</w:t>
        </w:r>
        <w:r w:rsidR="00752E4C">
          <w:rPr>
            <w:noProof/>
            <w:webHidden/>
          </w:rPr>
          <w:fldChar w:fldCharType="end"/>
        </w:r>
      </w:hyperlink>
    </w:p>
    <w:p w:rsidR="00752E4C" w:rsidRDefault="00DB496B">
      <w:pPr>
        <w:pStyle w:val="IDC2"/>
        <w:tabs>
          <w:tab w:val="left" w:pos="613"/>
          <w:tab w:val="right" w:pos="9061"/>
        </w:tabs>
        <w:rPr>
          <w:rFonts w:eastAsiaTheme="minorEastAsia"/>
          <w:b w:val="0"/>
          <w:bCs w:val="0"/>
          <w:smallCaps w:val="0"/>
          <w:noProof/>
          <w:lang w:eastAsia="ca-ES"/>
        </w:rPr>
      </w:pPr>
      <w:hyperlink w:anchor="_Toc465293474" w:history="1">
        <w:r w:rsidR="00752E4C" w:rsidRPr="00D0406E">
          <w:rPr>
            <w:rStyle w:val="Enlla"/>
            <w:noProof/>
          </w:rPr>
          <w:t>10.4</w:t>
        </w:r>
        <w:r w:rsidR="00752E4C">
          <w:rPr>
            <w:rFonts w:eastAsiaTheme="minorEastAsia"/>
            <w:b w:val="0"/>
            <w:bCs w:val="0"/>
            <w:smallCaps w:val="0"/>
            <w:noProof/>
            <w:lang w:eastAsia="ca-ES"/>
          </w:rPr>
          <w:tab/>
        </w:r>
        <w:r w:rsidR="00752E4C" w:rsidRPr="00D0406E">
          <w:rPr>
            <w:rStyle w:val="Enlla"/>
            <w:noProof/>
          </w:rPr>
          <w:t>Palanques tecnològiques</w:t>
        </w:r>
        <w:r w:rsidR="00752E4C">
          <w:rPr>
            <w:noProof/>
            <w:webHidden/>
          </w:rPr>
          <w:tab/>
        </w:r>
        <w:r w:rsidR="00752E4C">
          <w:rPr>
            <w:noProof/>
            <w:webHidden/>
          </w:rPr>
          <w:fldChar w:fldCharType="begin"/>
        </w:r>
        <w:r w:rsidR="00752E4C">
          <w:rPr>
            <w:noProof/>
            <w:webHidden/>
          </w:rPr>
          <w:instrText xml:space="preserve"> PAGEREF _Toc465293474 \h </w:instrText>
        </w:r>
        <w:r w:rsidR="00752E4C">
          <w:rPr>
            <w:noProof/>
            <w:webHidden/>
          </w:rPr>
        </w:r>
        <w:r w:rsidR="00752E4C">
          <w:rPr>
            <w:noProof/>
            <w:webHidden/>
          </w:rPr>
          <w:fldChar w:fldCharType="separate"/>
        </w:r>
        <w:r w:rsidR="00752E4C">
          <w:rPr>
            <w:noProof/>
            <w:webHidden/>
          </w:rPr>
          <w:t>195</w:t>
        </w:r>
        <w:r w:rsidR="00752E4C">
          <w:rPr>
            <w:noProof/>
            <w:webHidden/>
          </w:rPr>
          <w:fldChar w:fldCharType="end"/>
        </w:r>
      </w:hyperlink>
    </w:p>
    <w:p w:rsidR="00752E4C" w:rsidRDefault="00DB496B">
      <w:pPr>
        <w:pStyle w:val="IDC3"/>
        <w:tabs>
          <w:tab w:val="left" w:pos="777"/>
          <w:tab w:val="right" w:pos="9061"/>
        </w:tabs>
        <w:rPr>
          <w:rFonts w:eastAsiaTheme="minorEastAsia"/>
          <w:smallCaps w:val="0"/>
          <w:noProof/>
          <w:lang w:eastAsia="ca-ES"/>
        </w:rPr>
      </w:pPr>
      <w:hyperlink w:anchor="_Toc465293475" w:history="1">
        <w:r w:rsidR="00752E4C" w:rsidRPr="00D0406E">
          <w:rPr>
            <w:rStyle w:val="Enlla"/>
            <w:noProof/>
          </w:rPr>
          <w:t>10.4.1</w:t>
        </w:r>
        <w:r w:rsidR="00752E4C">
          <w:rPr>
            <w:rFonts w:eastAsiaTheme="minorEastAsia"/>
            <w:smallCaps w:val="0"/>
            <w:noProof/>
            <w:lang w:eastAsia="ca-ES"/>
          </w:rPr>
          <w:tab/>
        </w:r>
        <w:r w:rsidR="00752E4C" w:rsidRPr="00D0406E">
          <w:rPr>
            <w:rStyle w:val="Enlla"/>
            <w:noProof/>
          </w:rPr>
          <w:t>Expedient electrònic i tramitació</w:t>
        </w:r>
        <w:r w:rsidR="00752E4C">
          <w:rPr>
            <w:noProof/>
            <w:webHidden/>
          </w:rPr>
          <w:tab/>
        </w:r>
        <w:r w:rsidR="00752E4C">
          <w:rPr>
            <w:noProof/>
            <w:webHidden/>
          </w:rPr>
          <w:fldChar w:fldCharType="begin"/>
        </w:r>
        <w:r w:rsidR="00752E4C">
          <w:rPr>
            <w:noProof/>
            <w:webHidden/>
          </w:rPr>
          <w:instrText xml:space="preserve"> PAGEREF _Toc465293475 \h </w:instrText>
        </w:r>
        <w:r w:rsidR="00752E4C">
          <w:rPr>
            <w:noProof/>
            <w:webHidden/>
          </w:rPr>
        </w:r>
        <w:r w:rsidR="00752E4C">
          <w:rPr>
            <w:noProof/>
            <w:webHidden/>
          </w:rPr>
          <w:fldChar w:fldCharType="separate"/>
        </w:r>
        <w:r w:rsidR="00752E4C">
          <w:rPr>
            <w:noProof/>
            <w:webHidden/>
          </w:rPr>
          <w:t>195</w:t>
        </w:r>
        <w:r w:rsidR="00752E4C">
          <w:rPr>
            <w:noProof/>
            <w:webHidden/>
          </w:rPr>
          <w:fldChar w:fldCharType="end"/>
        </w:r>
      </w:hyperlink>
    </w:p>
    <w:p w:rsidR="00752E4C" w:rsidRDefault="00DB496B">
      <w:pPr>
        <w:pStyle w:val="IDC3"/>
        <w:tabs>
          <w:tab w:val="left" w:pos="777"/>
          <w:tab w:val="right" w:pos="9061"/>
        </w:tabs>
        <w:rPr>
          <w:rFonts w:eastAsiaTheme="minorEastAsia"/>
          <w:smallCaps w:val="0"/>
          <w:noProof/>
          <w:lang w:eastAsia="ca-ES"/>
        </w:rPr>
      </w:pPr>
      <w:hyperlink w:anchor="_Toc465293476" w:history="1">
        <w:r w:rsidR="00752E4C" w:rsidRPr="00D0406E">
          <w:rPr>
            <w:rStyle w:val="Enlla"/>
            <w:noProof/>
          </w:rPr>
          <w:t>10.4.2</w:t>
        </w:r>
        <w:r w:rsidR="00752E4C">
          <w:rPr>
            <w:rFonts w:eastAsiaTheme="minorEastAsia"/>
            <w:smallCaps w:val="0"/>
            <w:noProof/>
            <w:lang w:eastAsia="ca-ES"/>
          </w:rPr>
          <w:tab/>
        </w:r>
        <w:r w:rsidR="00752E4C" w:rsidRPr="00D0406E">
          <w:rPr>
            <w:rStyle w:val="Enlla"/>
            <w:noProof/>
          </w:rPr>
          <w:t>Sistemes de biometria i altres components tecnològics específics</w:t>
        </w:r>
        <w:r w:rsidR="00752E4C">
          <w:rPr>
            <w:noProof/>
            <w:webHidden/>
          </w:rPr>
          <w:tab/>
        </w:r>
        <w:r w:rsidR="00752E4C">
          <w:rPr>
            <w:noProof/>
            <w:webHidden/>
          </w:rPr>
          <w:fldChar w:fldCharType="begin"/>
        </w:r>
        <w:r w:rsidR="00752E4C">
          <w:rPr>
            <w:noProof/>
            <w:webHidden/>
          </w:rPr>
          <w:instrText xml:space="preserve"> PAGEREF _Toc465293476 \h </w:instrText>
        </w:r>
        <w:r w:rsidR="00752E4C">
          <w:rPr>
            <w:noProof/>
            <w:webHidden/>
          </w:rPr>
        </w:r>
        <w:r w:rsidR="00752E4C">
          <w:rPr>
            <w:noProof/>
            <w:webHidden/>
          </w:rPr>
          <w:fldChar w:fldCharType="separate"/>
        </w:r>
        <w:r w:rsidR="00752E4C">
          <w:rPr>
            <w:noProof/>
            <w:webHidden/>
          </w:rPr>
          <w:t>195</w:t>
        </w:r>
        <w:r w:rsidR="00752E4C">
          <w:rPr>
            <w:noProof/>
            <w:webHidden/>
          </w:rPr>
          <w:fldChar w:fldCharType="end"/>
        </w:r>
      </w:hyperlink>
    </w:p>
    <w:p w:rsidR="00752E4C" w:rsidRDefault="00DB496B">
      <w:pPr>
        <w:pStyle w:val="IDC3"/>
        <w:tabs>
          <w:tab w:val="left" w:pos="777"/>
          <w:tab w:val="right" w:pos="9061"/>
        </w:tabs>
        <w:rPr>
          <w:rFonts w:eastAsiaTheme="minorEastAsia"/>
          <w:smallCaps w:val="0"/>
          <w:noProof/>
          <w:lang w:eastAsia="ca-ES"/>
        </w:rPr>
      </w:pPr>
      <w:hyperlink w:anchor="_Toc465293477" w:history="1">
        <w:r w:rsidR="00752E4C" w:rsidRPr="00D0406E">
          <w:rPr>
            <w:rStyle w:val="Enlla"/>
            <w:noProof/>
          </w:rPr>
          <w:t>10.4.3</w:t>
        </w:r>
        <w:r w:rsidR="00752E4C">
          <w:rPr>
            <w:rFonts w:eastAsiaTheme="minorEastAsia"/>
            <w:smallCaps w:val="0"/>
            <w:noProof/>
            <w:lang w:eastAsia="ca-ES"/>
          </w:rPr>
          <w:tab/>
        </w:r>
        <w:r w:rsidR="00752E4C" w:rsidRPr="00D0406E">
          <w:rPr>
            <w:rStyle w:val="Enlla"/>
            <w:noProof/>
          </w:rPr>
          <w:t>Interoperabilitat</w:t>
        </w:r>
        <w:r w:rsidR="00752E4C">
          <w:rPr>
            <w:noProof/>
            <w:webHidden/>
          </w:rPr>
          <w:tab/>
        </w:r>
        <w:r w:rsidR="00752E4C">
          <w:rPr>
            <w:noProof/>
            <w:webHidden/>
          </w:rPr>
          <w:fldChar w:fldCharType="begin"/>
        </w:r>
        <w:r w:rsidR="00752E4C">
          <w:rPr>
            <w:noProof/>
            <w:webHidden/>
          </w:rPr>
          <w:instrText xml:space="preserve"> PAGEREF _Toc465293477 \h </w:instrText>
        </w:r>
        <w:r w:rsidR="00752E4C">
          <w:rPr>
            <w:noProof/>
            <w:webHidden/>
          </w:rPr>
        </w:r>
        <w:r w:rsidR="00752E4C">
          <w:rPr>
            <w:noProof/>
            <w:webHidden/>
          </w:rPr>
          <w:fldChar w:fldCharType="separate"/>
        </w:r>
        <w:r w:rsidR="00752E4C">
          <w:rPr>
            <w:noProof/>
            <w:webHidden/>
          </w:rPr>
          <w:t>196</w:t>
        </w:r>
        <w:r w:rsidR="00752E4C">
          <w:rPr>
            <w:noProof/>
            <w:webHidden/>
          </w:rPr>
          <w:fldChar w:fldCharType="end"/>
        </w:r>
      </w:hyperlink>
    </w:p>
    <w:p w:rsidR="00752E4C" w:rsidRDefault="00DB496B">
      <w:pPr>
        <w:pStyle w:val="IDC3"/>
        <w:tabs>
          <w:tab w:val="left" w:pos="777"/>
          <w:tab w:val="right" w:pos="9061"/>
        </w:tabs>
        <w:rPr>
          <w:rFonts w:eastAsiaTheme="minorEastAsia"/>
          <w:smallCaps w:val="0"/>
          <w:noProof/>
          <w:lang w:eastAsia="ca-ES"/>
        </w:rPr>
      </w:pPr>
      <w:hyperlink w:anchor="_Toc465293478" w:history="1">
        <w:r w:rsidR="00752E4C" w:rsidRPr="00D0406E">
          <w:rPr>
            <w:rStyle w:val="Enlla"/>
            <w:noProof/>
          </w:rPr>
          <w:t>10.4.4</w:t>
        </w:r>
        <w:r w:rsidR="00752E4C">
          <w:rPr>
            <w:rFonts w:eastAsiaTheme="minorEastAsia"/>
            <w:smallCaps w:val="0"/>
            <w:noProof/>
            <w:lang w:eastAsia="ca-ES"/>
          </w:rPr>
          <w:tab/>
        </w:r>
        <w:r w:rsidR="00752E4C" w:rsidRPr="00D0406E">
          <w:rPr>
            <w:rStyle w:val="Enlla"/>
            <w:noProof/>
          </w:rPr>
          <w:t>Autoservei</w:t>
        </w:r>
        <w:r w:rsidR="00752E4C">
          <w:rPr>
            <w:noProof/>
            <w:webHidden/>
          </w:rPr>
          <w:tab/>
        </w:r>
        <w:r w:rsidR="00752E4C">
          <w:rPr>
            <w:noProof/>
            <w:webHidden/>
          </w:rPr>
          <w:fldChar w:fldCharType="begin"/>
        </w:r>
        <w:r w:rsidR="00752E4C">
          <w:rPr>
            <w:noProof/>
            <w:webHidden/>
          </w:rPr>
          <w:instrText xml:space="preserve"> PAGEREF _Toc465293478 \h </w:instrText>
        </w:r>
        <w:r w:rsidR="00752E4C">
          <w:rPr>
            <w:noProof/>
            <w:webHidden/>
          </w:rPr>
        </w:r>
        <w:r w:rsidR="00752E4C">
          <w:rPr>
            <w:noProof/>
            <w:webHidden/>
          </w:rPr>
          <w:fldChar w:fldCharType="separate"/>
        </w:r>
        <w:r w:rsidR="00752E4C">
          <w:rPr>
            <w:noProof/>
            <w:webHidden/>
          </w:rPr>
          <w:t>196</w:t>
        </w:r>
        <w:r w:rsidR="00752E4C">
          <w:rPr>
            <w:noProof/>
            <w:webHidden/>
          </w:rPr>
          <w:fldChar w:fldCharType="end"/>
        </w:r>
      </w:hyperlink>
    </w:p>
    <w:p w:rsidR="00752E4C" w:rsidRDefault="00DB496B">
      <w:pPr>
        <w:pStyle w:val="IDC2"/>
        <w:tabs>
          <w:tab w:val="left" w:pos="613"/>
          <w:tab w:val="right" w:pos="9061"/>
        </w:tabs>
        <w:rPr>
          <w:rFonts w:eastAsiaTheme="minorEastAsia"/>
          <w:b w:val="0"/>
          <w:bCs w:val="0"/>
          <w:smallCaps w:val="0"/>
          <w:noProof/>
          <w:lang w:eastAsia="ca-ES"/>
        </w:rPr>
      </w:pPr>
      <w:hyperlink w:anchor="_Toc465293479" w:history="1">
        <w:r w:rsidR="00752E4C" w:rsidRPr="00D0406E">
          <w:rPr>
            <w:rStyle w:val="Enlla"/>
            <w:noProof/>
          </w:rPr>
          <w:t>10.5</w:t>
        </w:r>
        <w:r w:rsidR="00752E4C">
          <w:rPr>
            <w:rFonts w:eastAsiaTheme="minorEastAsia"/>
            <w:b w:val="0"/>
            <w:bCs w:val="0"/>
            <w:smallCaps w:val="0"/>
            <w:noProof/>
            <w:lang w:eastAsia="ca-ES"/>
          </w:rPr>
          <w:tab/>
        </w:r>
        <w:r w:rsidR="00752E4C" w:rsidRPr="00D0406E">
          <w:rPr>
            <w:rStyle w:val="Enlla"/>
            <w:noProof/>
          </w:rPr>
          <w:t>Enfocament del nou sistema d’informació</w:t>
        </w:r>
        <w:r w:rsidR="00752E4C">
          <w:rPr>
            <w:noProof/>
            <w:webHidden/>
          </w:rPr>
          <w:tab/>
        </w:r>
        <w:r w:rsidR="00752E4C">
          <w:rPr>
            <w:noProof/>
            <w:webHidden/>
          </w:rPr>
          <w:fldChar w:fldCharType="begin"/>
        </w:r>
        <w:r w:rsidR="00752E4C">
          <w:rPr>
            <w:noProof/>
            <w:webHidden/>
          </w:rPr>
          <w:instrText xml:space="preserve"> PAGEREF _Toc465293479 \h </w:instrText>
        </w:r>
        <w:r w:rsidR="00752E4C">
          <w:rPr>
            <w:noProof/>
            <w:webHidden/>
          </w:rPr>
        </w:r>
        <w:r w:rsidR="00752E4C">
          <w:rPr>
            <w:noProof/>
            <w:webHidden/>
          </w:rPr>
          <w:fldChar w:fldCharType="separate"/>
        </w:r>
        <w:r w:rsidR="00752E4C">
          <w:rPr>
            <w:noProof/>
            <w:webHidden/>
          </w:rPr>
          <w:t>197</w:t>
        </w:r>
        <w:r w:rsidR="00752E4C">
          <w:rPr>
            <w:noProof/>
            <w:webHidden/>
          </w:rPr>
          <w:fldChar w:fldCharType="end"/>
        </w:r>
      </w:hyperlink>
    </w:p>
    <w:p w:rsidR="00752E4C" w:rsidRDefault="00DB496B">
      <w:pPr>
        <w:pStyle w:val="IDC3"/>
        <w:tabs>
          <w:tab w:val="left" w:pos="777"/>
          <w:tab w:val="right" w:pos="9061"/>
        </w:tabs>
        <w:rPr>
          <w:rFonts w:eastAsiaTheme="minorEastAsia"/>
          <w:smallCaps w:val="0"/>
          <w:noProof/>
          <w:lang w:eastAsia="ca-ES"/>
        </w:rPr>
      </w:pPr>
      <w:hyperlink w:anchor="_Toc465293480" w:history="1">
        <w:r w:rsidR="00752E4C" w:rsidRPr="00D0406E">
          <w:rPr>
            <w:rStyle w:val="Enlla"/>
            <w:noProof/>
          </w:rPr>
          <w:t>10.5.1</w:t>
        </w:r>
        <w:r w:rsidR="00752E4C">
          <w:rPr>
            <w:rFonts w:eastAsiaTheme="minorEastAsia"/>
            <w:smallCaps w:val="0"/>
            <w:noProof/>
            <w:lang w:eastAsia="ca-ES"/>
          </w:rPr>
          <w:tab/>
        </w:r>
        <w:r w:rsidR="00752E4C" w:rsidRPr="00D0406E">
          <w:rPr>
            <w:rStyle w:val="Enlla"/>
            <w:noProof/>
          </w:rPr>
          <w:t>Model de gestió de procediments</w:t>
        </w:r>
        <w:r w:rsidR="00752E4C">
          <w:rPr>
            <w:noProof/>
            <w:webHidden/>
          </w:rPr>
          <w:tab/>
        </w:r>
        <w:r w:rsidR="00752E4C">
          <w:rPr>
            <w:noProof/>
            <w:webHidden/>
          </w:rPr>
          <w:fldChar w:fldCharType="begin"/>
        </w:r>
        <w:r w:rsidR="00752E4C">
          <w:rPr>
            <w:noProof/>
            <w:webHidden/>
          </w:rPr>
          <w:instrText xml:space="preserve"> PAGEREF _Toc465293480 \h </w:instrText>
        </w:r>
        <w:r w:rsidR="00752E4C">
          <w:rPr>
            <w:noProof/>
            <w:webHidden/>
          </w:rPr>
        </w:r>
        <w:r w:rsidR="00752E4C">
          <w:rPr>
            <w:noProof/>
            <w:webHidden/>
          </w:rPr>
          <w:fldChar w:fldCharType="separate"/>
        </w:r>
        <w:r w:rsidR="00752E4C">
          <w:rPr>
            <w:noProof/>
            <w:webHidden/>
          </w:rPr>
          <w:t>197</w:t>
        </w:r>
        <w:r w:rsidR="00752E4C">
          <w:rPr>
            <w:noProof/>
            <w:webHidden/>
          </w:rPr>
          <w:fldChar w:fldCharType="end"/>
        </w:r>
      </w:hyperlink>
    </w:p>
    <w:p w:rsidR="00752E4C" w:rsidRDefault="00DB496B">
      <w:pPr>
        <w:pStyle w:val="IDC3"/>
        <w:tabs>
          <w:tab w:val="left" w:pos="777"/>
          <w:tab w:val="right" w:pos="9061"/>
        </w:tabs>
        <w:rPr>
          <w:rFonts w:eastAsiaTheme="minorEastAsia"/>
          <w:smallCaps w:val="0"/>
          <w:noProof/>
          <w:lang w:eastAsia="ca-ES"/>
        </w:rPr>
      </w:pPr>
      <w:hyperlink w:anchor="_Toc465293481" w:history="1">
        <w:r w:rsidR="00752E4C" w:rsidRPr="00D0406E">
          <w:rPr>
            <w:rStyle w:val="Enlla"/>
            <w:noProof/>
          </w:rPr>
          <w:t>10.5.2</w:t>
        </w:r>
        <w:r w:rsidR="00752E4C">
          <w:rPr>
            <w:rFonts w:eastAsiaTheme="minorEastAsia"/>
            <w:smallCaps w:val="0"/>
            <w:noProof/>
            <w:lang w:eastAsia="ca-ES"/>
          </w:rPr>
          <w:tab/>
        </w:r>
        <w:r w:rsidR="00752E4C" w:rsidRPr="00D0406E">
          <w:rPr>
            <w:rStyle w:val="Enlla"/>
            <w:noProof/>
          </w:rPr>
          <w:t>Anàlisi funcional detallada</w:t>
        </w:r>
        <w:r w:rsidR="00752E4C">
          <w:rPr>
            <w:noProof/>
            <w:webHidden/>
          </w:rPr>
          <w:tab/>
        </w:r>
        <w:r w:rsidR="00752E4C">
          <w:rPr>
            <w:noProof/>
            <w:webHidden/>
          </w:rPr>
          <w:fldChar w:fldCharType="begin"/>
        </w:r>
        <w:r w:rsidR="00752E4C">
          <w:rPr>
            <w:noProof/>
            <w:webHidden/>
          </w:rPr>
          <w:instrText xml:space="preserve"> PAGEREF _Toc465293481 \h </w:instrText>
        </w:r>
        <w:r w:rsidR="00752E4C">
          <w:rPr>
            <w:noProof/>
            <w:webHidden/>
          </w:rPr>
        </w:r>
        <w:r w:rsidR="00752E4C">
          <w:rPr>
            <w:noProof/>
            <w:webHidden/>
          </w:rPr>
          <w:fldChar w:fldCharType="separate"/>
        </w:r>
        <w:r w:rsidR="00752E4C">
          <w:rPr>
            <w:noProof/>
            <w:webHidden/>
          </w:rPr>
          <w:t>199</w:t>
        </w:r>
        <w:r w:rsidR="00752E4C">
          <w:rPr>
            <w:noProof/>
            <w:webHidden/>
          </w:rPr>
          <w:fldChar w:fldCharType="end"/>
        </w:r>
      </w:hyperlink>
    </w:p>
    <w:p w:rsidR="00752E4C" w:rsidRDefault="00DB496B">
      <w:pPr>
        <w:pStyle w:val="IDC3"/>
        <w:tabs>
          <w:tab w:val="left" w:pos="777"/>
          <w:tab w:val="right" w:pos="9061"/>
        </w:tabs>
        <w:rPr>
          <w:rFonts w:eastAsiaTheme="minorEastAsia"/>
          <w:smallCaps w:val="0"/>
          <w:noProof/>
          <w:lang w:eastAsia="ca-ES"/>
        </w:rPr>
      </w:pPr>
      <w:hyperlink w:anchor="_Toc465293482" w:history="1">
        <w:r w:rsidR="00752E4C" w:rsidRPr="00D0406E">
          <w:rPr>
            <w:rStyle w:val="Enlla"/>
            <w:noProof/>
          </w:rPr>
          <w:t>10.5.3</w:t>
        </w:r>
        <w:r w:rsidR="00752E4C">
          <w:rPr>
            <w:rFonts w:eastAsiaTheme="minorEastAsia"/>
            <w:smallCaps w:val="0"/>
            <w:noProof/>
            <w:lang w:eastAsia="ca-ES"/>
          </w:rPr>
          <w:tab/>
        </w:r>
        <w:r w:rsidR="00752E4C" w:rsidRPr="00D0406E">
          <w:rPr>
            <w:rStyle w:val="Enlla"/>
            <w:noProof/>
          </w:rPr>
          <w:t>Passos següents</w:t>
        </w:r>
        <w:r w:rsidR="00752E4C">
          <w:rPr>
            <w:noProof/>
            <w:webHidden/>
          </w:rPr>
          <w:tab/>
        </w:r>
        <w:r w:rsidR="00752E4C">
          <w:rPr>
            <w:noProof/>
            <w:webHidden/>
          </w:rPr>
          <w:fldChar w:fldCharType="begin"/>
        </w:r>
        <w:r w:rsidR="00752E4C">
          <w:rPr>
            <w:noProof/>
            <w:webHidden/>
          </w:rPr>
          <w:instrText xml:space="preserve"> PAGEREF _Toc465293482 \h </w:instrText>
        </w:r>
        <w:r w:rsidR="00752E4C">
          <w:rPr>
            <w:noProof/>
            <w:webHidden/>
          </w:rPr>
        </w:r>
        <w:r w:rsidR="00752E4C">
          <w:rPr>
            <w:noProof/>
            <w:webHidden/>
          </w:rPr>
          <w:fldChar w:fldCharType="separate"/>
        </w:r>
        <w:r w:rsidR="00752E4C">
          <w:rPr>
            <w:noProof/>
            <w:webHidden/>
          </w:rPr>
          <w:t>199</w:t>
        </w:r>
        <w:r w:rsidR="00752E4C">
          <w:rPr>
            <w:noProof/>
            <w:webHidden/>
          </w:rPr>
          <w:fldChar w:fldCharType="end"/>
        </w:r>
      </w:hyperlink>
    </w:p>
    <w:p w:rsidR="00752E4C" w:rsidRDefault="00DB496B">
      <w:pPr>
        <w:pStyle w:val="IDC3"/>
        <w:tabs>
          <w:tab w:val="left" w:pos="777"/>
          <w:tab w:val="right" w:pos="9061"/>
        </w:tabs>
        <w:rPr>
          <w:rFonts w:eastAsiaTheme="minorEastAsia"/>
          <w:smallCaps w:val="0"/>
          <w:noProof/>
          <w:lang w:eastAsia="ca-ES"/>
        </w:rPr>
      </w:pPr>
      <w:hyperlink w:anchor="_Toc465293483" w:history="1">
        <w:r w:rsidR="00752E4C" w:rsidRPr="00D0406E">
          <w:rPr>
            <w:rStyle w:val="Enlla"/>
            <w:noProof/>
          </w:rPr>
          <w:t>10.5.4</w:t>
        </w:r>
        <w:r w:rsidR="00752E4C">
          <w:rPr>
            <w:rFonts w:eastAsiaTheme="minorEastAsia"/>
            <w:smallCaps w:val="0"/>
            <w:noProof/>
            <w:lang w:eastAsia="ca-ES"/>
          </w:rPr>
          <w:tab/>
        </w:r>
        <w:r w:rsidR="00752E4C" w:rsidRPr="00D0406E">
          <w:rPr>
            <w:rStyle w:val="Enlla"/>
            <w:noProof/>
          </w:rPr>
          <w:t>La importància dels sistemes d’informació</w:t>
        </w:r>
        <w:r w:rsidR="00752E4C">
          <w:rPr>
            <w:noProof/>
            <w:webHidden/>
          </w:rPr>
          <w:tab/>
        </w:r>
        <w:r w:rsidR="00752E4C">
          <w:rPr>
            <w:noProof/>
            <w:webHidden/>
          </w:rPr>
          <w:fldChar w:fldCharType="begin"/>
        </w:r>
        <w:r w:rsidR="00752E4C">
          <w:rPr>
            <w:noProof/>
            <w:webHidden/>
          </w:rPr>
          <w:instrText xml:space="preserve"> PAGEREF _Toc465293483 \h </w:instrText>
        </w:r>
        <w:r w:rsidR="00752E4C">
          <w:rPr>
            <w:noProof/>
            <w:webHidden/>
          </w:rPr>
        </w:r>
        <w:r w:rsidR="00752E4C">
          <w:rPr>
            <w:noProof/>
            <w:webHidden/>
          </w:rPr>
          <w:fldChar w:fldCharType="separate"/>
        </w:r>
        <w:r w:rsidR="00752E4C">
          <w:rPr>
            <w:noProof/>
            <w:webHidden/>
          </w:rPr>
          <w:t>200</w:t>
        </w:r>
        <w:r w:rsidR="00752E4C">
          <w:rPr>
            <w:noProof/>
            <w:webHidden/>
          </w:rPr>
          <w:fldChar w:fldCharType="end"/>
        </w:r>
      </w:hyperlink>
    </w:p>
    <w:p w:rsidR="00752E4C" w:rsidRDefault="00DB496B">
      <w:pPr>
        <w:pStyle w:val="IDC2"/>
        <w:tabs>
          <w:tab w:val="left" w:pos="613"/>
          <w:tab w:val="right" w:pos="9061"/>
        </w:tabs>
        <w:rPr>
          <w:rFonts w:eastAsiaTheme="minorEastAsia"/>
          <w:b w:val="0"/>
          <w:bCs w:val="0"/>
          <w:smallCaps w:val="0"/>
          <w:noProof/>
          <w:lang w:eastAsia="ca-ES"/>
        </w:rPr>
      </w:pPr>
      <w:hyperlink w:anchor="_Toc465293484" w:history="1">
        <w:r w:rsidR="00752E4C" w:rsidRPr="00D0406E">
          <w:rPr>
            <w:rStyle w:val="Enlla"/>
            <w:noProof/>
          </w:rPr>
          <w:t>10.6</w:t>
        </w:r>
        <w:r w:rsidR="00752E4C">
          <w:rPr>
            <w:rFonts w:eastAsiaTheme="minorEastAsia"/>
            <w:b w:val="0"/>
            <w:bCs w:val="0"/>
            <w:smallCaps w:val="0"/>
            <w:noProof/>
            <w:lang w:eastAsia="ca-ES"/>
          </w:rPr>
          <w:tab/>
        </w:r>
        <w:r w:rsidR="00752E4C" w:rsidRPr="00D0406E">
          <w:rPr>
            <w:rStyle w:val="Enlla"/>
            <w:noProof/>
          </w:rPr>
          <w:t>Reduint distàncies: l’impuls de les videoconferències</w:t>
        </w:r>
        <w:r w:rsidR="00752E4C">
          <w:rPr>
            <w:noProof/>
            <w:webHidden/>
          </w:rPr>
          <w:tab/>
        </w:r>
        <w:r w:rsidR="00752E4C">
          <w:rPr>
            <w:noProof/>
            <w:webHidden/>
          </w:rPr>
          <w:fldChar w:fldCharType="begin"/>
        </w:r>
        <w:r w:rsidR="00752E4C">
          <w:rPr>
            <w:noProof/>
            <w:webHidden/>
          </w:rPr>
          <w:instrText xml:space="preserve"> PAGEREF _Toc465293484 \h </w:instrText>
        </w:r>
        <w:r w:rsidR="00752E4C">
          <w:rPr>
            <w:noProof/>
            <w:webHidden/>
          </w:rPr>
        </w:r>
        <w:r w:rsidR="00752E4C">
          <w:rPr>
            <w:noProof/>
            <w:webHidden/>
          </w:rPr>
          <w:fldChar w:fldCharType="separate"/>
        </w:r>
        <w:r w:rsidR="00752E4C">
          <w:rPr>
            <w:noProof/>
            <w:webHidden/>
          </w:rPr>
          <w:t>200</w:t>
        </w:r>
        <w:r w:rsidR="00752E4C">
          <w:rPr>
            <w:noProof/>
            <w:webHidden/>
          </w:rPr>
          <w:fldChar w:fldCharType="end"/>
        </w:r>
      </w:hyperlink>
    </w:p>
    <w:p w:rsidR="00752E4C" w:rsidRDefault="00DB496B">
      <w:pPr>
        <w:pStyle w:val="IDC3"/>
        <w:tabs>
          <w:tab w:val="left" w:pos="777"/>
          <w:tab w:val="right" w:pos="9061"/>
        </w:tabs>
        <w:rPr>
          <w:rFonts w:eastAsiaTheme="minorEastAsia"/>
          <w:smallCaps w:val="0"/>
          <w:noProof/>
          <w:lang w:eastAsia="ca-ES"/>
        </w:rPr>
      </w:pPr>
      <w:hyperlink w:anchor="_Toc465293485" w:history="1">
        <w:r w:rsidR="00752E4C" w:rsidRPr="00D0406E">
          <w:rPr>
            <w:rStyle w:val="Enlla"/>
            <w:noProof/>
          </w:rPr>
          <w:t>10.6.1</w:t>
        </w:r>
        <w:r w:rsidR="00752E4C">
          <w:rPr>
            <w:rFonts w:eastAsiaTheme="minorEastAsia"/>
            <w:smallCaps w:val="0"/>
            <w:noProof/>
            <w:lang w:eastAsia="ca-ES"/>
          </w:rPr>
          <w:tab/>
        </w:r>
        <w:r w:rsidR="00752E4C" w:rsidRPr="00D0406E">
          <w:rPr>
            <w:rStyle w:val="Enlla"/>
            <w:noProof/>
          </w:rPr>
          <w:t>Comunicacions amb advocats</w:t>
        </w:r>
        <w:r w:rsidR="00752E4C">
          <w:rPr>
            <w:noProof/>
            <w:webHidden/>
          </w:rPr>
          <w:tab/>
        </w:r>
        <w:r w:rsidR="00752E4C">
          <w:rPr>
            <w:noProof/>
            <w:webHidden/>
          </w:rPr>
          <w:fldChar w:fldCharType="begin"/>
        </w:r>
        <w:r w:rsidR="00752E4C">
          <w:rPr>
            <w:noProof/>
            <w:webHidden/>
          </w:rPr>
          <w:instrText xml:space="preserve"> PAGEREF _Toc465293485 \h </w:instrText>
        </w:r>
        <w:r w:rsidR="00752E4C">
          <w:rPr>
            <w:noProof/>
            <w:webHidden/>
          </w:rPr>
        </w:r>
        <w:r w:rsidR="00752E4C">
          <w:rPr>
            <w:noProof/>
            <w:webHidden/>
          </w:rPr>
          <w:fldChar w:fldCharType="separate"/>
        </w:r>
        <w:r w:rsidR="00752E4C">
          <w:rPr>
            <w:noProof/>
            <w:webHidden/>
          </w:rPr>
          <w:t>201</w:t>
        </w:r>
        <w:r w:rsidR="00752E4C">
          <w:rPr>
            <w:noProof/>
            <w:webHidden/>
          </w:rPr>
          <w:fldChar w:fldCharType="end"/>
        </w:r>
      </w:hyperlink>
    </w:p>
    <w:p w:rsidR="00752E4C" w:rsidRDefault="00DB496B">
      <w:pPr>
        <w:pStyle w:val="IDC3"/>
        <w:tabs>
          <w:tab w:val="left" w:pos="777"/>
          <w:tab w:val="right" w:pos="9061"/>
        </w:tabs>
        <w:rPr>
          <w:rFonts w:eastAsiaTheme="minorEastAsia"/>
          <w:smallCaps w:val="0"/>
          <w:noProof/>
          <w:lang w:eastAsia="ca-ES"/>
        </w:rPr>
      </w:pPr>
      <w:hyperlink w:anchor="_Toc465293486" w:history="1">
        <w:r w:rsidR="00752E4C" w:rsidRPr="00D0406E">
          <w:rPr>
            <w:rStyle w:val="Enlla"/>
            <w:noProof/>
          </w:rPr>
          <w:t>10.6.2</w:t>
        </w:r>
        <w:r w:rsidR="00752E4C">
          <w:rPr>
            <w:rFonts w:eastAsiaTheme="minorEastAsia"/>
            <w:smallCaps w:val="0"/>
            <w:noProof/>
            <w:lang w:eastAsia="ca-ES"/>
          </w:rPr>
          <w:tab/>
        </w:r>
        <w:r w:rsidR="00752E4C" w:rsidRPr="00D0406E">
          <w:rPr>
            <w:rStyle w:val="Enlla"/>
            <w:noProof/>
          </w:rPr>
          <w:t>Comunicacions amb familiars</w:t>
        </w:r>
        <w:r w:rsidR="00752E4C">
          <w:rPr>
            <w:noProof/>
            <w:webHidden/>
          </w:rPr>
          <w:tab/>
        </w:r>
        <w:r w:rsidR="00752E4C">
          <w:rPr>
            <w:noProof/>
            <w:webHidden/>
          </w:rPr>
          <w:fldChar w:fldCharType="begin"/>
        </w:r>
        <w:r w:rsidR="00752E4C">
          <w:rPr>
            <w:noProof/>
            <w:webHidden/>
          </w:rPr>
          <w:instrText xml:space="preserve"> PAGEREF _Toc465293486 \h </w:instrText>
        </w:r>
        <w:r w:rsidR="00752E4C">
          <w:rPr>
            <w:noProof/>
            <w:webHidden/>
          </w:rPr>
        </w:r>
        <w:r w:rsidR="00752E4C">
          <w:rPr>
            <w:noProof/>
            <w:webHidden/>
          </w:rPr>
          <w:fldChar w:fldCharType="separate"/>
        </w:r>
        <w:r w:rsidR="00752E4C">
          <w:rPr>
            <w:noProof/>
            <w:webHidden/>
          </w:rPr>
          <w:t>201</w:t>
        </w:r>
        <w:r w:rsidR="00752E4C">
          <w:rPr>
            <w:noProof/>
            <w:webHidden/>
          </w:rPr>
          <w:fldChar w:fldCharType="end"/>
        </w:r>
      </w:hyperlink>
    </w:p>
    <w:p w:rsidR="00752E4C" w:rsidRDefault="00DB496B">
      <w:pPr>
        <w:pStyle w:val="IDC3"/>
        <w:tabs>
          <w:tab w:val="left" w:pos="777"/>
          <w:tab w:val="right" w:pos="9061"/>
        </w:tabs>
        <w:rPr>
          <w:rFonts w:eastAsiaTheme="minorEastAsia"/>
          <w:smallCaps w:val="0"/>
          <w:noProof/>
          <w:lang w:eastAsia="ca-ES"/>
        </w:rPr>
      </w:pPr>
      <w:hyperlink w:anchor="_Toc465293487" w:history="1">
        <w:r w:rsidR="00752E4C" w:rsidRPr="00D0406E">
          <w:rPr>
            <w:rStyle w:val="Enlla"/>
            <w:noProof/>
          </w:rPr>
          <w:t>10.6.3</w:t>
        </w:r>
        <w:r w:rsidR="00752E4C">
          <w:rPr>
            <w:rFonts w:eastAsiaTheme="minorEastAsia"/>
            <w:smallCaps w:val="0"/>
            <w:noProof/>
            <w:lang w:eastAsia="ca-ES"/>
          </w:rPr>
          <w:tab/>
        </w:r>
        <w:r w:rsidR="00752E4C" w:rsidRPr="00D0406E">
          <w:rPr>
            <w:rStyle w:val="Enlla"/>
            <w:noProof/>
          </w:rPr>
          <w:t>Diligències judicials</w:t>
        </w:r>
        <w:r w:rsidR="00752E4C">
          <w:rPr>
            <w:noProof/>
            <w:webHidden/>
          </w:rPr>
          <w:tab/>
        </w:r>
        <w:r w:rsidR="00752E4C">
          <w:rPr>
            <w:noProof/>
            <w:webHidden/>
          </w:rPr>
          <w:fldChar w:fldCharType="begin"/>
        </w:r>
        <w:r w:rsidR="00752E4C">
          <w:rPr>
            <w:noProof/>
            <w:webHidden/>
          </w:rPr>
          <w:instrText xml:space="preserve"> PAGEREF _Toc465293487 \h </w:instrText>
        </w:r>
        <w:r w:rsidR="00752E4C">
          <w:rPr>
            <w:noProof/>
            <w:webHidden/>
          </w:rPr>
        </w:r>
        <w:r w:rsidR="00752E4C">
          <w:rPr>
            <w:noProof/>
            <w:webHidden/>
          </w:rPr>
          <w:fldChar w:fldCharType="separate"/>
        </w:r>
        <w:r w:rsidR="00752E4C">
          <w:rPr>
            <w:noProof/>
            <w:webHidden/>
          </w:rPr>
          <w:t>202</w:t>
        </w:r>
        <w:r w:rsidR="00752E4C">
          <w:rPr>
            <w:noProof/>
            <w:webHidden/>
          </w:rPr>
          <w:fldChar w:fldCharType="end"/>
        </w:r>
      </w:hyperlink>
    </w:p>
    <w:p w:rsidR="00752E4C" w:rsidRDefault="00DB496B">
      <w:pPr>
        <w:pStyle w:val="IDC3"/>
        <w:tabs>
          <w:tab w:val="left" w:pos="777"/>
          <w:tab w:val="right" w:pos="9061"/>
        </w:tabs>
        <w:rPr>
          <w:rFonts w:eastAsiaTheme="minorEastAsia"/>
          <w:smallCaps w:val="0"/>
          <w:noProof/>
          <w:lang w:eastAsia="ca-ES"/>
        </w:rPr>
      </w:pPr>
      <w:hyperlink w:anchor="_Toc465293488" w:history="1">
        <w:r w:rsidR="00752E4C" w:rsidRPr="00D0406E">
          <w:rPr>
            <w:rStyle w:val="Enlla"/>
            <w:noProof/>
          </w:rPr>
          <w:t>10.6.4</w:t>
        </w:r>
        <w:r w:rsidR="00752E4C">
          <w:rPr>
            <w:rFonts w:eastAsiaTheme="minorEastAsia"/>
            <w:smallCaps w:val="0"/>
            <w:noProof/>
            <w:lang w:eastAsia="ca-ES"/>
          </w:rPr>
          <w:tab/>
        </w:r>
        <w:r w:rsidR="00752E4C" w:rsidRPr="00D0406E">
          <w:rPr>
            <w:rStyle w:val="Enlla"/>
            <w:noProof/>
          </w:rPr>
          <w:t>Testimonis de funcionaris</w:t>
        </w:r>
        <w:r w:rsidR="00752E4C">
          <w:rPr>
            <w:noProof/>
            <w:webHidden/>
          </w:rPr>
          <w:tab/>
        </w:r>
        <w:r w:rsidR="00752E4C">
          <w:rPr>
            <w:noProof/>
            <w:webHidden/>
          </w:rPr>
          <w:fldChar w:fldCharType="begin"/>
        </w:r>
        <w:r w:rsidR="00752E4C">
          <w:rPr>
            <w:noProof/>
            <w:webHidden/>
          </w:rPr>
          <w:instrText xml:space="preserve"> PAGEREF _Toc465293488 \h </w:instrText>
        </w:r>
        <w:r w:rsidR="00752E4C">
          <w:rPr>
            <w:noProof/>
            <w:webHidden/>
          </w:rPr>
        </w:r>
        <w:r w:rsidR="00752E4C">
          <w:rPr>
            <w:noProof/>
            <w:webHidden/>
          </w:rPr>
          <w:fldChar w:fldCharType="separate"/>
        </w:r>
        <w:r w:rsidR="00752E4C">
          <w:rPr>
            <w:noProof/>
            <w:webHidden/>
          </w:rPr>
          <w:t>202</w:t>
        </w:r>
        <w:r w:rsidR="00752E4C">
          <w:rPr>
            <w:noProof/>
            <w:webHidden/>
          </w:rPr>
          <w:fldChar w:fldCharType="end"/>
        </w:r>
      </w:hyperlink>
    </w:p>
    <w:p w:rsidR="00752E4C" w:rsidRDefault="00DB496B">
      <w:pPr>
        <w:pStyle w:val="IDC3"/>
        <w:tabs>
          <w:tab w:val="left" w:pos="777"/>
          <w:tab w:val="right" w:pos="9061"/>
        </w:tabs>
        <w:rPr>
          <w:rFonts w:eastAsiaTheme="minorEastAsia"/>
          <w:smallCaps w:val="0"/>
          <w:noProof/>
          <w:lang w:eastAsia="ca-ES"/>
        </w:rPr>
      </w:pPr>
      <w:hyperlink w:anchor="_Toc465293489" w:history="1">
        <w:r w:rsidR="00752E4C" w:rsidRPr="00D0406E">
          <w:rPr>
            <w:rStyle w:val="Enlla"/>
            <w:noProof/>
          </w:rPr>
          <w:t>10.6.5</w:t>
        </w:r>
        <w:r w:rsidR="00752E4C">
          <w:rPr>
            <w:rFonts w:eastAsiaTheme="minorEastAsia"/>
            <w:smallCaps w:val="0"/>
            <w:noProof/>
            <w:lang w:eastAsia="ca-ES"/>
          </w:rPr>
          <w:tab/>
        </w:r>
        <w:r w:rsidR="00752E4C" w:rsidRPr="00D0406E">
          <w:rPr>
            <w:rStyle w:val="Enlla"/>
            <w:noProof/>
          </w:rPr>
          <w:t>Notificacions i comunicacions judicials segures</w:t>
        </w:r>
        <w:r w:rsidR="00752E4C">
          <w:rPr>
            <w:noProof/>
            <w:webHidden/>
          </w:rPr>
          <w:tab/>
        </w:r>
        <w:r w:rsidR="00752E4C">
          <w:rPr>
            <w:noProof/>
            <w:webHidden/>
          </w:rPr>
          <w:fldChar w:fldCharType="begin"/>
        </w:r>
        <w:r w:rsidR="00752E4C">
          <w:rPr>
            <w:noProof/>
            <w:webHidden/>
          </w:rPr>
          <w:instrText xml:space="preserve"> PAGEREF _Toc465293489 \h </w:instrText>
        </w:r>
        <w:r w:rsidR="00752E4C">
          <w:rPr>
            <w:noProof/>
            <w:webHidden/>
          </w:rPr>
        </w:r>
        <w:r w:rsidR="00752E4C">
          <w:rPr>
            <w:noProof/>
            <w:webHidden/>
          </w:rPr>
          <w:fldChar w:fldCharType="separate"/>
        </w:r>
        <w:r w:rsidR="00752E4C">
          <w:rPr>
            <w:noProof/>
            <w:webHidden/>
          </w:rPr>
          <w:t>202</w:t>
        </w:r>
        <w:r w:rsidR="00752E4C">
          <w:rPr>
            <w:noProof/>
            <w:webHidden/>
          </w:rPr>
          <w:fldChar w:fldCharType="end"/>
        </w:r>
      </w:hyperlink>
    </w:p>
    <w:p w:rsidR="00752E4C" w:rsidRDefault="00DB496B">
      <w:pPr>
        <w:pStyle w:val="IDC3"/>
        <w:tabs>
          <w:tab w:val="left" w:pos="777"/>
          <w:tab w:val="right" w:pos="9061"/>
        </w:tabs>
        <w:rPr>
          <w:rFonts w:eastAsiaTheme="minorEastAsia"/>
          <w:smallCaps w:val="0"/>
          <w:noProof/>
          <w:lang w:eastAsia="ca-ES"/>
        </w:rPr>
      </w:pPr>
      <w:hyperlink w:anchor="_Toc465293490" w:history="1">
        <w:r w:rsidR="00752E4C" w:rsidRPr="00D0406E">
          <w:rPr>
            <w:rStyle w:val="Enlla"/>
            <w:noProof/>
          </w:rPr>
          <w:t>10.6.6</w:t>
        </w:r>
        <w:r w:rsidR="00752E4C">
          <w:rPr>
            <w:rFonts w:eastAsiaTheme="minorEastAsia"/>
            <w:smallCaps w:val="0"/>
            <w:noProof/>
            <w:lang w:eastAsia="ca-ES"/>
          </w:rPr>
          <w:tab/>
        </w:r>
        <w:r w:rsidR="00752E4C" w:rsidRPr="00D0406E">
          <w:rPr>
            <w:rStyle w:val="Enlla"/>
            <w:noProof/>
          </w:rPr>
          <w:t>Els sistemes d’informació al servei de les videoconferències</w:t>
        </w:r>
        <w:r w:rsidR="00752E4C">
          <w:rPr>
            <w:noProof/>
            <w:webHidden/>
          </w:rPr>
          <w:tab/>
        </w:r>
        <w:r w:rsidR="00752E4C">
          <w:rPr>
            <w:noProof/>
            <w:webHidden/>
          </w:rPr>
          <w:fldChar w:fldCharType="begin"/>
        </w:r>
        <w:r w:rsidR="00752E4C">
          <w:rPr>
            <w:noProof/>
            <w:webHidden/>
          </w:rPr>
          <w:instrText xml:space="preserve"> PAGEREF _Toc465293490 \h </w:instrText>
        </w:r>
        <w:r w:rsidR="00752E4C">
          <w:rPr>
            <w:noProof/>
            <w:webHidden/>
          </w:rPr>
        </w:r>
        <w:r w:rsidR="00752E4C">
          <w:rPr>
            <w:noProof/>
            <w:webHidden/>
          </w:rPr>
          <w:fldChar w:fldCharType="separate"/>
        </w:r>
        <w:r w:rsidR="00752E4C">
          <w:rPr>
            <w:noProof/>
            <w:webHidden/>
          </w:rPr>
          <w:t>202</w:t>
        </w:r>
        <w:r w:rsidR="00752E4C">
          <w:rPr>
            <w:noProof/>
            <w:webHidden/>
          </w:rPr>
          <w:fldChar w:fldCharType="end"/>
        </w:r>
      </w:hyperlink>
    </w:p>
    <w:p w:rsidR="00752E4C" w:rsidRDefault="00DB496B">
      <w:pPr>
        <w:pStyle w:val="IDC1"/>
        <w:tabs>
          <w:tab w:val="left" w:pos="443"/>
          <w:tab w:val="right" w:pos="9061"/>
        </w:tabs>
        <w:rPr>
          <w:rFonts w:eastAsiaTheme="minorEastAsia"/>
          <w:b w:val="0"/>
          <w:bCs w:val="0"/>
          <w:caps w:val="0"/>
          <w:noProof/>
          <w:u w:val="none"/>
          <w:lang w:eastAsia="ca-ES"/>
        </w:rPr>
      </w:pPr>
      <w:hyperlink w:anchor="_Toc465293491" w:history="1">
        <w:r w:rsidR="00752E4C" w:rsidRPr="00D0406E">
          <w:rPr>
            <w:rStyle w:val="Enlla"/>
            <w:noProof/>
            <w14:cntxtAlts/>
          </w:rPr>
          <w:t>11</w:t>
        </w:r>
        <w:r w:rsidR="00752E4C">
          <w:rPr>
            <w:rFonts w:eastAsiaTheme="minorEastAsia"/>
            <w:b w:val="0"/>
            <w:bCs w:val="0"/>
            <w:caps w:val="0"/>
            <w:noProof/>
            <w:u w:val="none"/>
            <w:lang w:eastAsia="ca-ES"/>
          </w:rPr>
          <w:tab/>
        </w:r>
        <w:r w:rsidR="00752E4C" w:rsidRPr="00D0406E">
          <w:rPr>
            <w:rStyle w:val="Enlla"/>
            <w:noProof/>
          </w:rPr>
          <w:t>La participació i la transparència</w:t>
        </w:r>
        <w:r w:rsidR="00752E4C">
          <w:rPr>
            <w:noProof/>
            <w:webHidden/>
          </w:rPr>
          <w:tab/>
        </w:r>
        <w:r w:rsidR="00752E4C">
          <w:rPr>
            <w:noProof/>
            <w:webHidden/>
          </w:rPr>
          <w:fldChar w:fldCharType="begin"/>
        </w:r>
        <w:r w:rsidR="00752E4C">
          <w:rPr>
            <w:noProof/>
            <w:webHidden/>
          </w:rPr>
          <w:instrText xml:space="preserve"> PAGEREF _Toc465293491 \h </w:instrText>
        </w:r>
        <w:r w:rsidR="00752E4C">
          <w:rPr>
            <w:noProof/>
            <w:webHidden/>
          </w:rPr>
        </w:r>
        <w:r w:rsidR="00752E4C">
          <w:rPr>
            <w:noProof/>
            <w:webHidden/>
          </w:rPr>
          <w:fldChar w:fldCharType="separate"/>
        </w:r>
        <w:r w:rsidR="00752E4C">
          <w:rPr>
            <w:noProof/>
            <w:webHidden/>
          </w:rPr>
          <w:t>203</w:t>
        </w:r>
        <w:r w:rsidR="00752E4C">
          <w:rPr>
            <w:noProof/>
            <w:webHidden/>
          </w:rPr>
          <w:fldChar w:fldCharType="end"/>
        </w:r>
      </w:hyperlink>
    </w:p>
    <w:p w:rsidR="00752E4C" w:rsidRDefault="00DB496B">
      <w:pPr>
        <w:pStyle w:val="IDC2"/>
        <w:tabs>
          <w:tab w:val="left" w:pos="613"/>
          <w:tab w:val="right" w:pos="9061"/>
        </w:tabs>
        <w:rPr>
          <w:rFonts w:eastAsiaTheme="minorEastAsia"/>
          <w:b w:val="0"/>
          <w:bCs w:val="0"/>
          <w:smallCaps w:val="0"/>
          <w:noProof/>
          <w:lang w:eastAsia="ca-ES"/>
        </w:rPr>
      </w:pPr>
      <w:hyperlink w:anchor="_Toc465293492" w:history="1">
        <w:r w:rsidR="00752E4C" w:rsidRPr="00D0406E">
          <w:rPr>
            <w:rStyle w:val="Enlla"/>
            <w:noProof/>
          </w:rPr>
          <w:t>11.1</w:t>
        </w:r>
        <w:r w:rsidR="00752E4C">
          <w:rPr>
            <w:rFonts w:eastAsiaTheme="minorEastAsia"/>
            <w:b w:val="0"/>
            <w:bCs w:val="0"/>
            <w:smallCaps w:val="0"/>
            <w:noProof/>
            <w:lang w:eastAsia="ca-ES"/>
          </w:rPr>
          <w:tab/>
        </w:r>
        <w:r w:rsidR="00752E4C" w:rsidRPr="00D0406E">
          <w:rPr>
            <w:rStyle w:val="Enlla"/>
            <w:noProof/>
          </w:rPr>
          <w:t>La participació com a fonament del model d’execució penal</w:t>
        </w:r>
        <w:r w:rsidR="00752E4C">
          <w:rPr>
            <w:noProof/>
            <w:webHidden/>
          </w:rPr>
          <w:tab/>
        </w:r>
        <w:r w:rsidR="00752E4C">
          <w:rPr>
            <w:noProof/>
            <w:webHidden/>
          </w:rPr>
          <w:fldChar w:fldCharType="begin"/>
        </w:r>
        <w:r w:rsidR="00752E4C">
          <w:rPr>
            <w:noProof/>
            <w:webHidden/>
          </w:rPr>
          <w:instrText xml:space="preserve"> PAGEREF _Toc465293492 \h </w:instrText>
        </w:r>
        <w:r w:rsidR="00752E4C">
          <w:rPr>
            <w:noProof/>
            <w:webHidden/>
          </w:rPr>
        </w:r>
        <w:r w:rsidR="00752E4C">
          <w:rPr>
            <w:noProof/>
            <w:webHidden/>
          </w:rPr>
          <w:fldChar w:fldCharType="separate"/>
        </w:r>
        <w:r w:rsidR="00752E4C">
          <w:rPr>
            <w:noProof/>
            <w:webHidden/>
          </w:rPr>
          <w:t>203</w:t>
        </w:r>
        <w:r w:rsidR="00752E4C">
          <w:rPr>
            <w:noProof/>
            <w:webHidden/>
          </w:rPr>
          <w:fldChar w:fldCharType="end"/>
        </w:r>
      </w:hyperlink>
    </w:p>
    <w:p w:rsidR="00752E4C" w:rsidRDefault="00DB496B">
      <w:pPr>
        <w:pStyle w:val="IDC3"/>
        <w:tabs>
          <w:tab w:val="left" w:pos="777"/>
          <w:tab w:val="right" w:pos="9061"/>
        </w:tabs>
        <w:rPr>
          <w:rFonts w:eastAsiaTheme="minorEastAsia"/>
          <w:smallCaps w:val="0"/>
          <w:noProof/>
          <w:lang w:eastAsia="ca-ES"/>
        </w:rPr>
      </w:pPr>
      <w:hyperlink w:anchor="_Toc465293493" w:history="1">
        <w:r w:rsidR="00752E4C" w:rsidRPr="00D0406E">
          <w:rPr>
            <w:rStyle w:val="Enlla"/>
            <w:noProof/>
          </w:rPr>
          <w:t>11.1.1</w:t>
        </w:r>
        <w:r w:rsidR="00752E4C">
          <w:rPr>
            <w:rFonts w:eastAsiaTheme="minorEastAsia"/>
            <w:smallCaps w:val="0"/>
            <w:noProof/>
            <w:lang w:eastAsia="ca-ES"/>
          </w:rPr>
          <w:tab/>
        </w:r>
        <w:r w:rsidR="00752E4C" w:rsidRPr="00D0406E">
          <w:rPr>
            <w:rStyle w:val="Enlla"/>
            <w:noProof/>
          </w:rPr>
          <w:t>Les entitats i el voluntariat social</w:t>
        </w:r>
        <w:r w:rsidR="00752E4C">
          <w:rPr>
            <w:noProof/>
            <w:webHidden/>
          </w:rPr>
          <w:tab/>
        </w:r>
        <w:r w:rsidR="00752E4C">
          <w:rPr>
            <w:noProof/>
            <w:webHidden/>
          </w:rPr>
          <w:fldChar w:fldCharType="begin"/>
        </w:r>
        <w:r w:rsidR="00752E4C">
          <w:rPr>
            <w:noProof/>
            <w:webHidden/>
          </w:rPr>
          <w:instrText xml:space="preserve"> PAGEREF _Toc465293493 \h </w:instrText>
        </w:r>
        <w:r w:rsidR="00752E4C">
          <w:rPr>
            <w:noProof/>
            <w:webHidden/>
          </w:rPr>
        </w:r>
        <w:r w:rsidR="00752E4C">
          <w:rPr>
            <w:noProof/>
            <w:webHidden/>
          </w:rPr>
          <w:fldChar w:fldCharType="separate"/>
        </w:r>
        <w:r w:rsidR="00752E4C">
          <w:rPr>
            <w:noProof/>
            <w:webHidden/>
          </w:rPr>
          <w:t>203</w:t>
        </w:r>
        <w:r w:rsidR="00752E4C">
          <w:rPr>
            <w:noProof/>
            <w:webHidden/>
          </w:rPr>
          <w:fldChar w:fldCharType="end"/>
        </w:r>
      </w:hyperlink>
    </w:p>
    <w:p w:rsidR="00752E4C" w:rsidRDefault="00DB496B">
      <w:pPr>
        <w:pStyle w:val="IDC3"/>
        <w:tabs>
          <w:tab w:val="left" w:pos="777"/>
          <w:tab w:val="right" w:pos="9061"/>
        </w:tabs>
        <w:rPr>
          <w:rFonts w:eastAsiaTheme="minorEastAsia"/>
          <w:smallCaps w:val="0"/>
          <w:noProof/>
          <w:lang w:eastAsia="ca-ES"/>
        </w:rPr>
      </w:pPr>
      <w:hyperlink w:anchor="_Toc465293494" w:history="1">
        <w:r w:rsidR="00752E4C" w:rsidRPr="00D0406E">
          <w:rPr>
            <w:rStyle w:val="Enlla"/>
            <w:noProof/>
          </w:rPr>
          <w:t>11.1.2</w:t>
        </w:r>
        <w:r w:rsidR="00752E4C">
          <w:rPr>
            <w:rFonts w:eastAsiaTheme="minorEastAsia"/>
            <w:smallCaps w:val="0"/>
            <w:noProof/>
            <w:lang w:eastAsia="ca-ES"/>
          </w:rPr>
          <w:tab/>
        </w:r>
        <w:r w:rsidR="00752E4C" w:rsidRPr="00D0406E">
          <w:rPr>
            <w:rStyle w:val="Enlla"/>
            <w:noProof/>
          </w:rPr>
          <w:t>La coordinació interadministrativa</w:t>
        </w:r>
        <w:r w:rsidR="00752E4C">
          <w:rPr>
            <w:noProof/>
            <w:webHidden/>
          </w:rPr>
          <w:tab/>
        </w:r>
        <w:r w:rsidR="00752E4C">
          <w:rPr>
            <w:noProof/>
            <w:webHidden/>
          </w:rPr>
          <w:fldChar w:fldCharType="begin"/>
        </w:r>
        <w:r w:rsidR="00752E4C">
          <w:rPr>
            <w:noProof/>
            <w:webHidden/>
          </w:rPr>
          <w:instrText xml:space="preserve"> PAGEREF _Toc465293494 \h </w:instrText>
        </w:r>
        <w:r w:rsidR="00752E4C">
          <w:rPr>
            <w:noProof/>
            <w:webHidden/>
          </w:rPr>
        </w:r>
        <w:r w:rsidR="00752E4C">
          <w:rPr>
            <w:noProof/>
            <w:webHidden/>
          </w:rPr>
          <w:fldChar w:fldCharType="separate"/>
        </w:r>
        <w:r w:rsidR="00752E4C">
          <w:rPr>
            <w:noProof/>
            <w:webHidden/>
          </w:rPr>
          <w:t>205</w:t>
        </w:r>
        <w:r w:rsidR="00752E4C">
          <w:rPr>
            <w:noProof/>
            <w:webHidden/>
          </w:rPr>
          <w:fldChar w:fldCharType="end"/>
        </w:r>
      </w:hyperlink>
    </w:p>
    <w:p w:rsidR="00752E4C" w:rsidRDefault="00DB496B">
      <w:pPr>
        <w:pStyle w:val="IDC2"/>
        <w:tabs>
          <w:tab w:val="left" w:pos="613"/>
          <w:tab w:val="right" w:pos="9061"/>
        </w:tabs>
        <w:rPr>
          <w:rFonts w:eastAsiaTheme="minorEastAsia"/>
          <w:b w:val="0"/>
          <w:bCs w:val="0"/>
          <w:smallCaps w:val="0"/>
          <w:noProof/>
          <w:lang w:eastAsia="ca-ES"/>
        </w:rPr>
      </w:pPr>
      <w:hyperlink w:anchor="_Toc465293495" w:history="1">
        <w:r w:rsidR="00752E4C" w:rsidRPr="00D0406E">
          <w:rPr>
            <w:rStyle w:val="Enlla"/>
            <w:noProof/>
          </w:rPr>
          <w:t>11.2</w:t>
        </w:r>
        <w:r w:rsidR="00752E4C">
          <w:rPr>
            <w:rFonts w:eastAsiaTheme="minorEastAsia"/>
            <w:b w:val="0"/>
            <w:bCs w:val="0"/>
            <w:smallCaps w:val="0"/>
            <w:noProof/>
            <w:lang w:eastAsia="ca-ES"/>
          </w:rPr>
          <w:tab/>
        </w:r>
        <w:r w:rsidR="00752E4C" w:rsidRPr="00D0406E">
          <w:rPr>
            <w:rStyle w:val="Enlla"/>
            <w:noProof/>
          </w:rPr>
          <w:t>La transparència del sistema D’EXECUCIÓ PENAL</w:t>
        </w:r>
        <w:r w:rsidR="00752E4C">
          <w:rPr>
            <w:noProof/>
            <w:webHidden/>
          </w:rPr>
          <w:tab/>
        </w:r>
        <w:r w:rsidR="00752E4C">
          <w:rPr>
            <w:noProof/>
            <w:webHidden/>
          </w:rPr>
          <w:fldChar w:fldCharType="begin"/>
        </w:r>
        <w:r w:rsidR="00752E4C">
          <w:rPr>
            <w:noProof/>
            <w:webHidden/>
          </w:rPr>
          <w:instrText xml:space="preserve"> PAGEREF _Toc465293495 \h </w:instrText>
        </w:r>
        <w:r w:rsidR="00752E4C">
          <w:rPr>
            <w:noProof/>
            <w:webHidden/>
          </w:rPr>
        </w:r>
        <w:r w:rsidR="00752E4C">
          <w:rPr>
            <w:noProof/>
            <w:webHidden/>
          </w:rPr>
          <w:fldChar w:fldCharType="separate"/>
        </w:r>
        <w:r w:rsidR="00752E4C">
          <w:rPr>
            <w:noProof/>
            <w:webHidden/>
          </w:rPr>
          <w:t>206</w:t>
        </w:r>
        <w:r w:rsidR="00752E4C">
          <w:rPr>
            <w:noProof/>
            <w:webHidden/>
          </w:rPr>
          <w:fldChar w:fldCharType="end"/>
        </w:r>
      </w:hyperlink>
    </w:p>
    <w:p w:rsidR="00752E4C" w:rsidRDefault="00DB496B">
      <w:pPr>
        <w:pStyle w:val="IDC3"/>
        <w:tabs>
          <w:tab w:val="left" w:pos="777"/>
          <w:tab w:val="right" w:pos="9061"/>
        </w:tabs>
        <w:rPr>
          <w:rFonts w:eastAsiaTheme="minorEastAsia"/>
          <w:smallCaps w:val="0"/>
          <w:noProof/>
          <w:lang w:eastAsia="ca-ES"/>
        </w:rPr>
      </w:pPr>
      <w:hyperlink w:anchor="_Toc465293496" w:history="1">
        <w:r w:rsidR="00752E4C" w:rsidRPr="00D0406E">
          <w:rPr>
            <w:rStyle w:val="Enlla"/>
            <w:noProof/>
          </w:rPr>
          <w:t>11.2.1</w:t>
        </w:r>
        <w:r w:rsidR="00752E4C">
          <w:rPr>
            <w:rFonts w:eastAsiaTheme="minorEastAsia"/>
            <w:smallCaps w:val="0"/>
            <w:noProof/>
            <w:lang w:eastAsia="ca-ES"/>
          </w:rPr>
          <w:tab/>
        </w:r>
        <w:r w:rsidR="00752E4C" w:rsidRPr="00D0406E">
          <w:rPr>
            <w:rStyle w:val="Enlla"/>
            <w:noProof/>
          </w:rPr>
          <w:t>Òrgans de supervisió i control</w:t>
        </w:r>
        <w:r w:rsidR="00752E4C">
          <w:rPr>
            <w:noProof/>
            <w:webHidden/>
          </w:rPr>
          <w:tab/>
        </w:r>
        <w:r w:rsidR="00752E4C">
          <w:rPr>
            <w:noProof/>
            <w:webHidden/>
          </w:rPr>
          <w:fldChar w:fldCharType="begin"/>
        </w:r>
        <w:r w:rsidR="00752E4C">
          <w:rPr>
            <w:noProof/>
            <w:webHidden/>
          </w:rPr>
          <w:instrText xml:space="preserve"> PAGEREF _Toc465293496 \h </w:instrText>
        </w:r>
        <w:r w:rsidR="00752E4C">
          <w:rPr>
            <w:noProof/>
            <w:webHidden/>
          </w:rPr>
        </w:r>
        <w:r w:rsidR="00752E4C">
          <w:rPr>
            <w:noProof/>
            <w:webHidden/>
          </w:rPr>
          <w:fldChar w:fldCharType="separate"/>
        </w:r>
        <w:r w:rsidR="00752E4C">
          <w:rPr>
            <w:noProof/>
            <w:webHidden/>
          </w:rPr>
          <w:t>207</w:t>
        </w:r>
        <w:r w:rsidR="00752E4C">
          <w:rPr>
            <w:noProof/>
            <w:webHidden/>
          </w:rPr>
          <w:fldChar w:fldCharType="end"/>
        </w:r>
      </w:hyperlink>
    </w:p>
    <w:p w:rsidR="00752E4C" w:rsidRDefault="00DB496B">
      <w:pPr>
        <w:pStyle w:val="IDC3"/>
        <w:tabs>
          <w:tab w:val="left" w:pos="777"/>
          <w:tab w:val="right" w:pos="9061"/>
        </w:tabs>
        <w:rPr>
          <w:rFonts w:eastAsiaTheme="minorEastAsia"/>
          <w:smallCaps w:val="0"/>
          <w:noProof/>
          <w:lang w:eastAsia="ca-ES"/>
        </w:rPr>
      </w:pPr>
      <w:hyperlink w:anchor="_Toc465293497" w:history="1">
        <w:r w:rsidR="00752E4C" w:rsidRPr="00D0406E">
          <w:rPr>
            <w:rStyle w:val="Enlla"/>
            <w:noProof/>
          </w:rPr>
          <w:t>11.2.2</w:t>
        </w:r>
        <w:r w:rsidR="00752E4C">
          <w:rPr>
            <w:rFonts w:eastAsiaTheme="minorEastAsia"/>
            <w:smallCaps w:val="0"/>
            <w:noProof/>
            <w:lang w:eastAsia="ca-ES"/>
          </w:rPr>
          <w:tab/>
        </w:r>
        <w:r w:rsidR="00752E4C" w:rsidRPr="00D0406E">
          <w:rPr>
            <w:rStyle w:val="Enlla"/>
            <w:noProof/>
          </w:rPr>
          <w:t>La percepció ciutadana</w:t>
        </w:r>
        <w:r w:rsidR="00752E4C">
          <w:rPr>
            <w:noProof/>
            <w:webHidden/>
          </w:rPr>
          <w:tab/>
        </w:r>
        <w:r w:rsidR="00752E4C">
          <w:rPr>
            <w:noProof/>
            <w:webHidden/>
          </w:rPr>
          <w:fldChar w:fldCharType="begin"/>
        </w:r>
        <w:r w:rsidR="00752E4C">
          <w:rPr>
            <w:noProof/>
            <w:webHidden/>
          </w:rPr>
          <w:instrText xml:space="preserve"> PAGEREF _Toc465293497 \h </w:instrText>
        </w:r>
        <w:r w:rsidR="00752E4C">
          <w:rPr>
            <w:noProof/>
            <w:webHidden/>
          </w:rPr>
        </w:r>
        <w:r w:rsidR="00752E4C">
          <w:rPr>
            <w:noProof/>
            <w:webHidden/>
          </w:rPr>
          <w:fldChar w:fldCharType="separate"/>
        </w:r>
        <w:r w:rsidR="00752E4C">
          <w:rPr>
            <w:noProof/>
            <w:webHidden/>
          </w:rPr>
          <w:t>209</w:t>
        </w:r>
        <w:r w:rsidR="00752E4C">
          <w:rPr>
            <w:noProof/>
            <w:webHidden/>
          </w:rPr>
          <w:fldChar w:fldCharType="end"/>
        </w:r>
      </w:hyperlink>
    </w:p>
    <w:p w:rsidR="00752E4C" w:rsidRDefault="00DB496B">
      <w:pPr>
        <w:pStyle w:val="IDC1"/>
        <w:tabs>
          <w:tab w:val="left" w:pos="443"/>
          <w:tab w:val="right" w:pos="9061"/>
        </w:tabs>
        <w:rPr>
          <w:rFonts w:eastAsiaTheme="minorEastAsia"/>
          <w:b w:val="0"/>
          <w:bCs w:val="0"/>
          <w:caps w:val="0"/>
          <w:noProof/>
          <w:u w:val="none"/>
          <w:lang w:eastAsia="ca-ES"/>
        </w:rPr>
      </w:pPr>
      <w:hyperlink w:anchor="_Toc465293498" w:history="1">
        <w:r w:rsidR="00752E4C" w:rsidRPr="00D0406E">
          <w:rPr>
            <w:rStyle w:val="Enlla"/>
            <w:noProof/>
            <w14:cntxtAlts/>
          </w:rPr>
          <w:t>12</w:t>
        </w:r>
        <w:r w:rsidR="00752E4C">
          <w:rPr>
            <w:rFonts w:eastAsiaTheme="minorEastAsia"/>
            <w:b w:val="0"/>
            <w:bCs w:val="0"/>
            <w:caps w:val="0"/>
            <w:noProof/>
            <w:u w:val="none"/>
            <w:lang w:eastAsia="ca-ES"/>
          </w:rPr>
          <w:tab/>
        </w:r>
        <w:r w:rsidR="00752E4C" w:rsidRPr="00D0406E">
          <w:rPr>
            <w:rStyle w:val="Enlla"/>
            <w:noProof/>
          </w:rPr>
          <w:t>Despesa pública</w:t>
        </w:r>
        <w:r w:rsidR="00752E4C">
          <w:rPr>
            <w:noProof/>
            <w:webHidden/>
          </w:rPr>
          <w:tab/>
        </w:r>
        <w:r w:rsidR="00752E4C">
          <w:rPr>
            <w:noProof/>
            <w:webHidden/>
          </w:rPr>
          <w:fldChar w:fldCharType="begin"/>
        </w:r>
        <w:r w:rsidR="00752E4C">
          <w:rPr>
            <w:noProof/>
            <w:webHidden/>
          </w:rPr>
          <w:instrText xml:space="preserve"> PAGEREF _Toc465293498 \h </w:instrText>
        </w:r>
        <w:r w:rsidR="00752E4C">
          <w:rPr>
            <w:noProof/>
            <w:webHidden/>
          </w:rPr>
        </w:r>
        <w:r w:rsidR="00752E4C">
          <w:rPr>
            <w:noProof/>
            <w:webHidden/>
          </w:rPr>
          <w:fldChar w:fldCharType="separate"/>
        </w:r>
        <w:r w:rsidR="00752E4C">
          <w:rPr>
            <w:noProof/>
            <w:webHidden/>
          </w:rPr>
          <w:t>216</w:t>
        </w:r>
        <w:r w:rsidR="00752E4C">
          <w:rPr>
            <w:noProof/>
            <w:webHidden/>
          </w:rPr>
          <w:fldChar w:fldCharType="end"/>
        </w:r>
      </w:hyperlink>
    </w:p>
    <w:p w:rsidR="00752E4C" w:rsidRDefault="00DB496B">
      <w:pPr>
        <w:pStyle w:val="IDC3"/>
        <w:tabs>
          <w:tab w:val="left" w:pos="777"/>
          <w:tab w:val="right" w:pos="9061"/>
        </w:tabs>
        <w:rPr>
          <w:rFonts w:eastAsiaTheme="minorEastAsia"/>
          <w:smallCaps w:val="0"/>
          <w:noProof/>
          <w:lang w:eastAsia="ca-ES"/>
        </w:rPr>
      </w:pPr>
      <w:hyperlink w:anchor="_Toc465293499" w:history="1">
        <w:r w:rsidR="00752E4C" w:rsidRPr="00D0406E">
          <w:rPr>
            <w:rStyle w:val="Enlla"/>
            <w:noProof/>
          </w:rPr>
          <w:t>12.1.1</w:t>
        </w:r>
        <w:r w:rsidR="00752E4C">
          <w:rPr>
            <w:rFonts w:eastAsiaTheme="minorEastAsia"/>
            <w:smallCaps w:val="0"/>
            <w:noProof/>
            <w:lang w:eastAsia="ca-ES"/>
          </w:rPr>
          <w:tab/>
        </w:r>
        <w:r w:rsidR="00752E4C" w:rsidRPr="00D0406E">
          <w:rPr>
            <w:rStyle w:val="Enlla"/>
            <w:noProof/>
          </w:rPr>
          <w:t>Pressupost del Departament de Justícia en execució penal</w:t>
        </w:r>
        <w:r w:rsidR="00752E4C">
          <w:rPr>
            <w:noProof/>
            <w:webHidden/>
          </w:rPr>
          <w:tab/>
        </w:r>
        <w:r w:rsidR="00752E4C">
          <w:rPr>
            <w:noProof/>
            <w:webHidden/>
          </w:rPr>
          <w:fldChar w:fldCharType="begin"/>
        </w:r>
        <w:r w:rsidR="00752E4C">
          <w:rPr>
            <w:noProof/>
            <w:webHidden/>
          </w:rPr>
          <w:instrText xml:space="preserve"> PAGEREF _Toc465293499 \h </w:instrText>
        </w:r>
        <w:r w:rsidR="00752E4C">
          <w:rPr>
            <w:noProof/>
            <w:webHidden/>
          </w:rPr>
        </w:r>
        <w:r w:rsidR="00752E4C">
          <w:rPr>
            <w:noProof/>
            <w:webHidden/>
          </w:rPr>
          <w:fldChar w:fldCharType="separate"/>
        </w:r>
        <w:r w:rsidR="00752E4C">
          <w:rPr>
            <w:noProof/>
            <w:webHidden/>
          </w:rPr>
          <w:t>220</w:t>
        </w:r>
        <w:r w:rsidR="00752E4C">
          <w:rPr>
            <w:noProof/>
            <w:webHidden/>
          </w:rPr>
          <w:fldChar w:fldCharType="end"/>
        </w:r>
      </w:hyperlink>
    </w:p>
    <w:p w:rsidR="00752E4C" w:rsidRDefault="00DB496B">
      <w:pPr>
        <w:pStyle w:val="IDC3"/>
        <w:tabs>
          <w:tab w:val="left" w:pos="777"/>
          <w:tab w:val="right" w:pos="9061"/>
        </w:tabs>
        <w:rPr>
          <w:rFonts w:eastAsiaTheme="minorEastAsia"/>
          <w:smallCaps w:val="0"/>
          <w:noProof/>
          <w:lang w:eastAsia="ca-ES"/>
        </w:rPr>
      </w:pPr>
      <w:hyperlink w:anchor="_Toc465293500" w:history="1">
        <w:r w:rsidR="00752E4C" w:rsidRPr="00D0406E">
          <w:rPr>
            <w:rStyle w:val="Enlla"/>
            <w:noProof/>
          </w:rPr>
          <w:t>12.1.2</w:t>
        </w:r>
        <w:r w:rsidR="00752E4C">
          <w:rPr>
            <w:rFonts w:eastAsiaTheme="minorEastAsia"/>
            <w:smallCaps w:val="0"/>
            <w:noProof/>
            <w:lang w:eastAsia="ca-ES"/>
          </w:rPr>
          <w:tab/>
        </w:r>
        <w:r w:rsidR="00752E4C" w:rsidRPr="00D0406E">
          <w:rPr>
            <w:rStyle w:val="Enlla"/>
            <w:noProof/>
          </w:rPr>
          <w:t>Pressupost d’altres òrgans en execució penal</w:t>
        </w:r>
        <w:r w:rsidR="00752E4C">
          <w:rPr>
            <w:noProof/>
            <w:webHidden/>
          </w:rPr>
          <w:tab/>
        </w:r>
        <w:r w:rsidR="00752E4C">
          <w:rPr>
            <w:noProof/>
            <w:webHidden/>
          </w:rPr>
          <w:fldChar w:fldCharType="begin"/>
        </w:r>
        <w:r w:rsidR="00752E4C">
          <w:rPr>
            <w:noProof/>
            <w:webHidden/>
          </w:rPr>
          <w:instrText xml:space="preserve"> PAGEREF _Toc465293500 \h </w:instrText>
        </w:r>
        <w:r w:rsidR="00752E4C">
          <w:rPr>
            <w:noProof/>
            <w:webHidden/>
          </w:rPr>
        </w:r>
        <w:r w:rsidR="00752E4C">
          <w:rPr>
            <w:noProof/>
            <w:webHidden/>
          </w:rPr>
          <w:fldChar w:fldCharType="separate"/>
        </w:r>
        <w:r w:rsidR="00752E4C">
          <w:rPr>
            <w:noProof/>
            <w:webHidden/>
          </w:rPr>
          <w:t>222</w:t>
        </w:r>
        <w:r w:rsidR="00752E4C">
          <w:rPr>
            <w:noProof/>
            <w:webHidden/>
          </w:rPr>
          <w:fldChar w:fldCharType="end"/>
        </w:r>
      </w:hyperlink>
    </w:p>
    <w:p w:rsidR="00752E4C" w:rsidRDefault="00DB496B">
      <w:pPr>
        <w:pStyle w:val="IDC3"/>
        <w:tabs>
          <w:tab w:val="left" w:pos="777"/>
          <w:tab w:val="right" w:pos="9061"/>
        </w:tabs>
        <w:rPr>
          <w:rFonts w:eastAsiaTheme="minorEastAsia"/>
          <w:smallCaps w:val="0"/>
          <w:noProof/>
          <w:lang w:eastAsia="ca-ES"/>
        </w:rPr>
      </w:pPr>
      <w:hyperlink w:anchor="_Toc465293501" w:history="1">
        <w:r w:rsidR="00752E4C" w:rsidRPr="00D0406E">
          <w:rPr>
            <w:rStyle w:val="Enlla"/>
            <w:noProof/>
          </w:rPr>
          <w:t>12.1.3</w:t>
        </w:r>
        <w:r w:rsidR="00752E4C">
          <w:rPr>
            <w:rFonts w:eastAsiaTheme="minorEastAsia"/>
            <w:smallCaps w:val="0"/>
            <w:noProof/>
            <w:lang w:eastAsia="ca-ES"/>
          </w:rPr>
          <w:tab/>
        </w:r>
        <w:r w:rsidR="00752E4C" w:rsidRPr="00D0406E">
          <w:rPr>
            <w:rStyle w:val="Enlla"/>
            <w:noProof/>
          </w:rPr>
          <w:t>Comparació del pressupost en execució penal de l’Estat amb el de Catalunya</w:t>
        </w:r>
        <w:r w:rsidR="00752E4C">
          <w:rPr>
            <w:noProof/>
            <w:webHidden/>
          </w:rPr>
          <w:tab/>
        </w:r>
        <w:r w:rsidR="00752E4C">
          <w:rPr>
            <w:noProof/>
            <w:webHidden/>
          </w:rPr>
          <w:fldChar w:fldCharType="begin"/>
        </w:r>
        <w:r w:rsidR="00752E4C">
          <w:rPr>
            <w:noProof/>
            <w:webHidden/>
          </w:rPr>
          <w:instrText xml:space="preserve"> PAGEREF _Toc465293501 \h </w:instrText>
        </w:r>
        <w:r w:rsidR="00752E4C">
          <w:rPr>
            <w:noProof/>
            <w:webHidden/>
          </w:rPr>
        </w:r>
        <w:r w:rsidR="00752E4C">
          <w:rPr>
            <w:noProof/>
            <w:webHidden/>
          </w:rPr>
          <w:fldChar w:fldCharType="separate"/>
        </w:r>
        <w:r w:rsidR="00752E4C">
          <w:rPr>
            <w:noProof/>
            <w:webHidden/>
          </w:rPr>
          <w:t>224</w:t>
        </w:r>
        <w:r w:rsidR="00752E4C">
          <w:rPr>
            <w:noProof/>
            <w:webHidden/>
          </w:rPr>
          <w:fldChar w:fldCharType="end"/>
        </w:r>
      </w:hyperlink>
    </w:p>
    <w:p w:rsidR="00752E4C" w:rsidRDefault="00DB496B">
      <w:pPr>
        <w:pStyle w:val="IDC2"/>
        <w:tabs>
          <w:tab w:val="left" w:pos="613"/>
          <w:tab w:val="right" w:pos="9061"/>
        </w:tabs>
        <w:rPr>
          <w:rFonts w:eastAsiaTheme="minorEastAsia"/>
          <w:b w:val="0"/>
          <w:bCs w:val="0"/>
          <w:smallCaps w:val="0"/>
          <w:noProof/>
          <w:lang w:eastAsia="ca-ES"/>
        </w:rPr>
      </w:pPr>
      <w:hyperlink w:anchor="_Toc465293502" w:history="1">
        <w:r w:rsidR="00752E4C" w:rsidRPr="00D0406E">
          <w:rPr>
            <w:rStyle w:val="Enlla"/>
            <w:noProof/>
          </w:rPr>
          <w:t>12.2</w:t>
        </w:r>
        <w:r w:rsidR="00752E4C">
          <w:rPr>
            <w:rFonts w:eastAsiaTheme="minorEastAsia"/>
            <w:b w:val="0"/>
            <w:bCs w:val="0"/>
            <w:smallCaps w:val="0"/>
            <w:noProof/>
            <w:lang w:eastAsia="ca-ES"/>
          </w:rPr>
          <w:tab/>
        </w:r>
        <w:r w:rsidR="00752E4C" w:rsidRPr="00D0406E">
          <w:rPr>
            <w:rStyle w:val="Enlla"/>
            <w:noProof/>
          </w:rPr>
          <w:t>Factors determinants de la despesa</w:t>
        </w:r>
        <w:r w:rsidR="00752E4C">
          <w:rPr>
            <w:noProof/>
            <w:webHidden/>
          </w:rPr>
          <w:tab/>
        </w:r>
        <w:r w:rsidR="00752E4C">
          <w:rPr>
            <w:noProof/>
            <w:webHidden/>
          </w:rPr>
          <w:fldChar w:fldCharType="begin"/>
        </w:r>
        <w:r w:rsidR="00752E4C">
          <w:rPr>
            <w:noProof/>
            <w:webHidden/>
          </w:rPr>
          <w:instrText xml:space="preserve"> PAGEREF _Toc465293502 \h </w:instrText>
        </w:r>
        <w:r w:rsidR="00752E4C">
          <w:rPr>
            <w:noProof/>
            <w:webHidden/>
          </w:rPr>
        </w:r>
        <w:r w:rsidR="00752E4C">
          <w:rPr>
            <w:noProof/>
            <w:webHidden/>
          </w:rPr>
          <w:fldChar w:fldCharType="separate"/>
        </w:r>
        <w:r w:rsidR="00752E4C">
          <w:rPr>
            <w:noProof/>
            <w:webHidden/>
          </w:rPr>
          <w:t>225</w:t>
        </w:r>
        <w:r w:rsidR="00752E4C">
          <w:rPr>
            <w:noProof/>
            <w:webHidden/>
          </w:rPr>
          <w:fldChar w:fldCharType="end"/>
        </w:r>
      </w:hyperlink>
    </w:p>
    <w:p w:rsidR="00752E4C" w:rsidRDefault="00DB496B">
      <w:pPr>
        <w:pStyle w:val="IDC3"/>
        <w:tabs>
          <w:tab w:val="left" w:pos="777"/>
          <w:tab w:val="right" w:pos="9061"/>
        </w:tabs>
        <w:rPr>
          <w:rFonts w:eastAsiaTheme="minorEastAsia"/>
          <w:smallCaps w:val="0"/>
          <w:noProof/>
          <w:lang w:eastAsia="ca-ES"/>
        </w:rPr>
      </w:pPr>
      <w:hyperlink w:anchor="_Toc465293503" w:history="1">
        <w:r w:rsidR="00752E4C" w:rsidRPr="00D0406E">
          <w:rPr>
            <w:rStyle w:val="Enlla"/>
            <w:noProof/>
          </w:rPr>
          <w:t>12.2.1</w:t>
        </w:r>
        <w:r w:rsidR="00752E4C">
          <w:rPr>
            <w:rFonts w:eastAsiaTheme="minorEastAsia"/>
            <w:smallCaps w:val="0"/>
            <w:noProof/>
            <w:lang w:eastAsia="ca-ES"/>
          </w:rPr>
          <w:tab/>
        </w:r>
        <w:r w:rsidR="00752E4C" w:rsidRPr="00D0406E">
          <w:rPr>
            <w:rStyle w:val="Enlla"/>
            <w:noProof/>
          </w:rPr>
          <w:t>Conceptes pressupostaris més significatius</w:t>
        </w:r>
        <w:r w:rsidR="00752E4C">
          <w:rPr>
            <w:noProof/>
            <w:webHidden/>
          </w:rPr>
          <w:tab/>
        </w:r>
        <w:r w:rsidR="00752E4C">
          <w:rPr>
            <w:noProof/>
            <w:webHidden/>
          </w:rPr>
          <w:fldChar w:fldCharType="begin"/>
        </w:r>
        <w:r w:rsidR="00752E4C">
          <w:rPr>
            <w:noProof/>
            <w:webHidden/>
          </w:rPr>
          <w:instrText xml:space="preserve"> PAGEREF _Toc465293503 \h </w:instrText>
        </w:r>
        <w:r w:rsidR="00752E4C">
          <w:rPr>
            <w:noProof/>
            <w:webHidden/>
          </w:rPr>
        </w:r>
        <w:r w:rsidR="00752E4C">
          <w:rPr>
            <w:noProof/>
            <w:webHidden/>
          </w:rPr>
          <w:fldChar w:fldCharType="separate"/>
        </w:r>
        <w:r w:rsidR="00752E4C">
          <w:rPr>
            <w:noProof/>
            <w:webHidden/>
          </w:rPr>
          <w:t>229</w:t>
        </w:r>
        <w:r w:rsidR="00752E4C">
          <w:rPr>
            <w:noProof/>
            <w:webHidden/>
          </w:rPr>
          <w:fldChar w:fldCharType="end"/>
        </w:r>
      </w:hyperlink>
    </w:p>
    <w:p w:rsidR="00752E4C" w:rsidRDefault="00DB496B">
      <w:pPr>
        <w:pStyle w:val="IDC3"/>
        <w:tabs>
          <w:tab w:val="left" w:pos="777"/>
          <w:tab w:val="right" w:pos="9061"/>
        </w:tabs>
        <w:rPr>
          <w:rFonts w:eastAsiaTheme="minorEastAsia"/>
          <w:smallCaps w:val="0"/>
          <w:noProof/>
          <w:lang w:eastAsia="ca-ES"/>
        </w:rPr>
      </w:pPr>
      <w:hyperlink w:anchor="_Toc465293504" w:history="1">
        <w:r w:rsidR="00752E4C" w:rsidRPr="00D0406E">
          <w:rPr>
            <w:rStyle w:val="Enlla"/>
            <w:noProof/>
          </w:rPr>
          <w:t>12.2.2</w:t>
        </w:r>
        <w:r w:rsidR="00752E4C">
          <w:rPr>
            <w:rFonts w:eastAsiaTheme="minorEastAsia"/>
            <w:smallCaps w:val="0"/>
            <w:noProof/>
            <w:lang w:eastAsia="ca-ES"/>
          </w:rPr>
          <w:tab/>
        </w:r>
        <w:r w:rsidR="00752E4C" w:rsidRPr="00D0406E">
          <w:rPr>
            <w:rStyle w:val="Enlla"/>
            <w:noProof/>
          </w:rPr>
          <w:t>Costos recurrents i altres costos</w:t>
        </w:r>
        <w:r w:rsidR="00752E4C">
          <w:rPr>
            <w:noProof/>
            <w:webHidden/>
          </w:rPr>
          <w:tab/>
        </w:r>
        <w:r w:rsidR="00752E4C">
          <w:rPr>
            <w:noProof/>
            <w:webHidden/>
          </w:rPr>
          <w:fldChar w:fldCharType="begin"/>
        </w:r>
        <w:r w:rsidR="00752E4C">
          <w:rPr>
            <w:noProof/>
            <w:webHidden/>
          </w:rPr>
          <w:instrText xml:space="preserve"> PAGEREF _Toc465293504 \h </w:instrText>
        </w:r>
        <w:r w:rsidR="00752E4C">
          <w:rPr>
            <w:noProof/>
            <w:webHidden/>
          </w:rPr>
        </w:r>
        <w:r w:rsidR="00752E4C">
          <w:rPr>
            <w:noProof/>
            <w:webHidden/>
          </w:rPr>
          <w:fldChar w:fldCharType="separate"/>
        </w:r>
        <w:r w:rsidR="00752E4C">
          <w:rPr>
            <w:noProof/>
            <w:webHidden/>
          </w:rPr>
          <w:t>230</w:t>
        </w:r>
        <w:r w:rsidR="00752E4C">
          <w:rPr>
            <w:noProof/>
            <w:webHidden/>
          </w:rPr>
          <w:fldChar w:fldCharType="end"/>
        </w:r>
      </w:hyperlink>
    </w:p>
    <w:p w:rsidR="00752E4C" w:rsidRDefault="00DB496B">
      <w:pPr>
        <w:pStyle w:val="IDC2"/>
        <w:tabs>
          <w:tab w:val="left" w:pos="613"/>
          <w:tab w:val="right" w:pos="9061"/>
        </w:tabs>
        <w:rPr>
          <w:rFonts w:eastAsiaTheme="minorEastAsia"/>
          <w:b w:val="0"/>
          <w:bCs w:val="0"/>
          <w:smallCaps w:val="0"/>
          <w:noProof/>
          <w:lang w:eastAsia="ca-ES"/>
        </w:rPr>
      </w:pPr>
      <w:hyperlink w:anchor="_Toc465293505" w:history="1">
        <w:r w:rsidR="00752E4C" w:rsidRPr="00D0406E">
          <w:rPr>
            <w:rStyle w:val="Enlla"/>
            <w:noProof/>
          </w:rPr>
          <w:t>12.3</w:t>
        </w:r>
        <w:r w:rsidR="00752E4C">
          <w:rPr>
            <w:rFonts w:eastAsiaTheme="minorEastAsia"/>
            <w:b w:val="0"/>
            <w:bCs w:val="0"/>
            <w:smallCaps w:val="0"/>
            <w:noProof/>
            <w:lang w:eastAsia="ca-ES"/>
          </w:rPr>
          <w:tab/>
        </w:r>
        <w:r w:rsidR="00752E4C" w:rsidRPr="00D0406E">
          <w:rPr>
            <w:rStyle w:val="Enlla"/>
            <w:noProof/>
          </w:rPr>
          <w:t>Sistema de finançament estructurat</w:t>
        </w:r>
        <w:r w:rsidR="00752E4C">
          <w:rPr>
            <w:noProof/>
            <w:webHidden/>
          </w:rPr>
          <w:tab/>
        </w:r>
        <w:r w:rsidR="00752E4C">
          <w:rPr>
            <w:noProof/>
            <w:webHidden/>
          </w:rPr>
          <w:fldChar w:fldCharType="begin"/>
        </w:r>
        <w:r w:rsidR="00752E4C">
          <w:rPr>
            <w:noProof/>
            <w:webHidden/>
          </w:rPr>
          <w:instrText xml:space="preserve"> PAGEREF _Toc465293505 \h </w:instrText>
        </w:r>
        <w:r w:rsidR="00752E4C">
          <w:rPr>
            <w:noProof/>
            <w:webHidden/>
          </w:rPr>
        </w:r>
        <w:r w:rsidR="00752E4C">
          <w:rPr>
            <w:noProof/>
            <w:webHidden/>
          </w:rPr>
          <w:fldChar w:fldCharType="separate"/>
        </w:r>
        <w:r w:rsidR="00752E4C">
          <w:rPr>
            <w:noProof/>
            <w:webHidden/>
          </w:rPr>
          <w:t>231</w:t>
        </w:r>
        <w:r w:rsidR="00752E4C">
          <w:rPr>
            <w:noProof/>
            <w:webHidden/>
          </w:rPr>
          <w:fldChar w:fldCharType="end"/>
        </w:r>
      </w:hyperlink>
    </w:p>
    <w:p w:rsidR="00752E4C" w:rsidRDefault="00DB496B">
      <w:pPr>
        <w:pStyle w:val="IDC3"/>
        <w:tabs>
          <w:tab w:val="left" w:pos="777"/>
          <w:tab w:val="right" w:pos="9061"/>
        </w:tabs>
        <w:rPr>
          <w:rFonts w:eastAsiaTheme="minorEastAsia"/>
          <w:smallCaps w:val="0"/>
          <w:noProof/>
          <w:lang w:eastAsia="ca-ES"/>
        </w:rPr>
      </w:pPr>
      <w:hyperlink w:anchor="_Toc465293506" w:history="1">
        <w:r w:rsidR="00752E4C" w:rsidRPr="00D0406E">
          <w:rPr>
            <w:rStyle w:val="Enlla"/>
            <w:noProof/>
          </w:rPr>
          <w:t>12.3.1</w:t>
        </w:r>
        <w:r w:rsidR="00752E4C">
          <w:rPr>
            <w:rFonts w:eastAsiaTheme="minorEastAsia"/>
            <w:smallCaps w:val="0"/>
            <w:noProof/>
            <w:lang w:eastAsia="ca-ES"/>
          </w:rPr>
          <w:tab/>
        </w:r>
        <w:r w:rsidR="00752E4C" w:rsidRPr="00D0406E">
          <w:rPr>
            <w:rStyle w:val="Enlla"/>
            <w:noProof/>
          </w:rPr>
          <w:t>Els drets de superfície</w:t>
        </w:r>
        <w:r w:rsidR="00752E4C">
          <w:rPr>
            <w:noProof/>
            <w:webHidden/>
          </w:rPr>
          <w:tab/>
        </w:r>
        <w:r w:rsidR="00752E4C">
          <w:rPr>
            <w:noProof/>
            <w:webHidden/>
          </w:rPr>
          <w:fldChar w:fldCharType="begin"/>
        </w:r>
        <w:r w:rsidR="00752E4C">
          <w:rPr>
            <w:noProof/>
            <w:webHidden/>
          </w:rPr>
          <w:instrText xml:space="preserve"> PAGEREF _Toc465293506 \h </w:instrText>
        </w:r>
        <w:r w:rsidR="00752E4C">
          <w:rPr>
            <w:noProof/>
            <w:webHidden/>
          </w:rPr>
        </w:r>
        <w:r w:rsidR="00752E4C">
          <w:rPr>
            <w:noProof/>
            <w:webHidden/>
          </w:rPr>
          <w:fldChar w:fldCharType="separate"/>
        </w:r>
        <w:r w:rsidR="00752E4C">
          <w:rPr>
            <w:noProof/>
            <w:webHidden/>
          </w:rPr>
          <w:t>231</w:t>
        </w:r>
        <w:r w:rsidR="00752E4C">
          <w:rPr>
            <w:noProof/>
            <w:webHidden/>
          </w:rPr>
          <w:fldChar w:fldCharType="end"/>
        </w:r>
      </w:hyperlink>
    </w:p>
    <w:p w:rsidR="00752E4C" w:rsidRDefault="00DB496B">
      <w:pPr>
        <w:pStyle w:val="IDC2"/>
        <w:tabs>
          <w:tab w:val="left" w:pos="613"/>
          <w:tab w:val="right" w:pos="9061"/>
        </w:tabs>
        <w:rPr>
          <w:rFonts w:eastAsiaTheme="minorEastAsia"/>
          <w:b w:val="0"/>
          <w:bCs w:val="0"/>
          <w:smallCaps w:val="0"/>
          <w:noProof/>
          <w:lang w:eastAsia="ca-ES"/>
        </w:rPr>
      </w:pPr>
      <w:hyperlink w:anchor="_Toc465293507" w:history="1">
        <w:r w:rsidR="00752E4C" w:rsidRPr="00D0406E">
          <w:rPr>
            <w:rStyle w:val="Enlla"/>
            <w:noProof/>
          </w:rPr>
          <w:t>12.4</w:t>
        </w:r>
        <w:r w:rsidR="00752E4C">
          <w:rPr>
            <w:rFonts w:eastAsiaTheme="minorEastAsia"/>
            <w:b w:val="0"/>
            <w:bCs w:val="0"/>
            <w:smallCaps w:val="0"/>
            <w:noProof/>
            <w:lang w:eastAsia="ca-ES"/>
          </w:rPr>
          <w:tab/>
        </w:r>
        <w:r w:rsidR="00752E4C" w:rsidRPr="00D0406E">
          <w:rPr>
            <w:rStyle w:val="Enlla"/>
            <w:noProof/>
          </w:rPr>
          <w:t>L’avaluació de l’impacte econòmic i social</w:t>
        </w:r>
        <w:r w:rsidR="00752E4C">
          <w:rPr>
            <w:noProof/>
            <w:webHidden/>
          </w:rPr>
          <w:tab/>
        </w:r>
        <w:r w:rsidR="00752E4C">
          <w:rPr>
            <w:noProof/>
            <w:webHidden/>
          </w:rPr>
          <w:fldChar w:fldCharType="begin"/>
        </w:r>
        <w:r w:rsidR="00752E4C">
          <w:rPr>
            <w:noProof/>
            <w:webHidden/>
          </w:rPr>
          <w:instrText xml:space="preserve"> PAGEREF _Toc465293507 \h </w:instrText>
        </w:r>
        <w:r w:rsidR="00752E4C">
          <w:rPr>
            <w:noProof/>
            <w:webHidden/>
          </w:rPr>
        </w:r>
        <w:r w:rsidR="00752E4C">
          <w:rPr>
            <w:noProof/>
            <w:webHidden/>
          </w:rPr>
          <w:fldChar w:fldCharType="separate"/>
        </w:r>
        <w:r w:rsidR="00752E4C">
          <w:rPr>
            <w:noProof/>
            <w:webHidden/>
          </w:rPr>
          <w:t>232</w:t>
        </w:r>
        <w:r w:rsidR="00752E4C">
          <w:rPr>
            <w:noProof/>
            <w:webHidden/>
          </w:rPr>
          <w:fldChar w:fldCharType="end"/>
        </w:r>
      </w:hyperlink>
    </w:p>
    <w:p w:rsidR="00752E4C" w:rsidRDefault="00DB496B">
      <w:pPr>
        <w:pStyle w:val="IDC3"/>
        <w:tabs>
          <w:tab w:val="left" w:pos="777"/>
          <w:tab w:val="right" w:pos="9061"/>
        </w:tabs>
        <w:rPr>
          <w:rFonts w:eastAsiaTheme="minorEastAsia"/>
          <w:smallCaps w:val="0"/>
          <w:noProof/>
          <w:lang w:eastAsia="ca-ES"/>
        </w:rPr>
      </w:pPr>
      <w:hyperlink w:anchor="_Toc465293508" w:history="1">
        <w:r w:rsidR="00752E4C" w:rsidRPr="00D0406E">
          <w:rPr>
            <w:rStyle w:val="Enlla"/>
            <w:noProof/>
          </w:rPr>
          <w:t>12.4.1</w:t>
        </w:r>
        <w:r w:rsidR="00752E4C">
          <w:rPr>
            <w:rFonts w:eastAsiaTheme="minorEastAsia"/>
            <w:smallCaps w:val="0"/>
            <w:noProof/>
            <w:lang w:eastAsia="ca-ES"/>
          </w:rPr>
          <w:tab/>
        </w:r>
        <w:r w:rsidR="00752E4C" w:rsidRPr="00D0406E">
          <w:rPr>
            <w:rStyle w:val="Enlla"/>
            <w:noProof/>
          </w:rPr>
          <w:t>Experiència en l’avaluació de l’execució penal</w:t>
        </w:r>
        <w:r w:rsidR="00752E4C">
          <w:rPr>
            <w:noProof/>
            <w:webHidden/>
          </w:rPr>
          <w:tab/>
        </w:r>
        <w:r w:rsidR="00752E4C">
          <w:rPr>
            <w:noProof/>
            <w:webHidden/>
          </w:rPr>
          <w:fldChar w:fldCharType="begin"/>
        </w:r>
        <w:r w:rsidR="00752E4C">
          <w:rPr>
            <w:noProof/>
            <w:webHidden/>
          </w:rPr>
          <w:instrText xml:space="preserve"> PAGEREF _Toc465293508 \h </w:instrText>
        </w:r>
        <w:r w:rsidR="00752E4C">
          <w:rPr>
            <w:noProof/>
            <w:webHidden/>
          </w:rPr>
        </w:r>
        <w:r w:rsidR="00752E4C">
          <w:rPr>
            <w:noProof/>
            <w:webHidden/>
          </w:rPr>
          <w:fldChar w:fldCharType="separate"/>
        </w:r>
        <w:r w:rsidR="00752E4C">
          <w:rPr>
            <w:noProof/>
            <w:webHidden/>
          </w:rPr>
          <w:t>233</w:t>
        </w:r>
        <w:r w:rsidR="00752E4C">
          <w:rPr>
            <w:noProof/>
            <w:webHidden/>
          </w:rPr>
          <w:fldChar w:fldCharType="end"/>
        </w:r>
      </w:hyperlink>
    </w:p>
    <w:p w:rsidR="00752E4C" w:rsidRDefault="00DB496B">
      <w:pPr>
        <w:pStyle w:val="IDC1"/>
        <w:tabs>
          <w:tab w:val="left" w:pos="443"/>
          <w:tab w:val="right" w:pos="9061"/>
        </w:tabs>
        <w:rPr>
          <w:rFonts w:eastAsiaTheme="minorEastAsia"/>
          <w:b w:val="0"/>
          <w:bCs w:val="0"/>
          <w:caps w:val="0"/>
          <w:noProof/>
          <w:u w:val="none"/>
          <w:lang w:eastAsia="ca-ES"/>
        </w:rPr>
      </w:pPr>
      <w:hyperlink w:anchor="_Toc465293509" w:history="1">
        <w:r w:rsidR="00752E4C" w:rsidRPr="00D0406E">
          <w:rPr>
            <w:rStyle w:val="Enlla"/>
            <w:noProof/>
            <w14:cntxtAlts/>
          </w:rPr>
          <w:t>13</w:t>
        </w:r>
        <w:r w:rsidR="00752E4C">
          <w:rPr>
            <w:rFonts w:eastAsiaTheme="minorEastAsia"/>
            <w:b w:val="0"/>
            <w:bCs w:val="0"/>
            <w:caps w:val="0"/>
            <w:noProof/>
            <w:u w:val="none"/>
            <w:lang w:eastAsia="ca-ES"/>
          </w:rPr>
          <w:tab/>
        </w:r>
        <w:r w:rsidR="00752E4C" w:rsidRPr="00D0406E">
          <w:rPr>
            <w:rStyle w:val="Enlla"/>
            <w:noProof/>
          </w:rPr>
          <w:t>Les mesures penals alternatives</w:t>
        </w:r>
        <w:r w:rsidR="00752E4C">
          <w:rPr>
            <w:noProof/>
            <w:webHidden/>
          </w:rPr>
          <w:tab/>
        </w:r>
        <w:r w:rsidR="00752E4C">
          <w:rPr>
            <w:noProof/>
            <w:webHidden/>
          </w:rPr>
          <w:fldChar w:fldCharType="begin"/>
        </w:r>
        <w:r w:rsidR="00752E4C">
          <w:rPr>
            <w:noProof/>
            <w:webHidden/>
          </w:rPr>
          <w:instrText xml:space="preserve"> PAGEREF _Toc465293509 \h </w:instrText>
        </w:r>
        <w:r w:rsidR="00752E4C">
          <w:rPr>
            <w:noProof/>
            <w:webHidden/>
          </w:rPr>
        </w:r>
        <w:r w:rsidR="00752E4C">
          <w:rPr>
            <w:noProof/>
            <w:webHidden/>
          </w:rPr>
          <w:fldChar w:fldCharType="separate"/>
        </w:r>
        <w:r w:rsidR="00752E4C">
          <w:rPr>
            <w:noProof/>
            <w:webHidden/>
          </w:rPr>
          <w:t>235</w:t>
        </w:r>
        <w:r w:rsidR="00752E4C">
          <w:rPr>
            <w:noProof/>
            <w:webHidden/>
          </w:rPr>
          <w:fldChar w:fldCharType="end"/>
        </w:r>
      </w:hyperlink>
    </w:p>
    <w:p w:rsidR="00752E4C" w:rsidRDefault="00DB496B">
      <w:pPr>
        <w:pStyle w:val="IDC2"/>
        <w:tabs>
          <w:tab w:val="left" w:pos="613"/>
          <w:tab w:val="right" w:pos="9061"/>
        </w:tabs>
        <w:rPr>
          <w:rFonts w:eastAsiaTheme="minorEastAsia"/>
          <w:b w:val="0"/>
          <w:bCs w:val="0"/>
          <w:smallCaps w:val="0"/>
          <w:noProof/>
          <w:lang w:eastAsia="ca-ES"/>
        </w:rPr>
      </w:pPr>
      <w:hyperlink w:anchor="_Toc465293510" w:history="1">
        <w:r w:rsidR="00752E4C" w:rsidRPr="00D0406E">
          <w:rPr>
            <w:rStyle w:val="Enlla"/>
            <w:noProof/>
          </w:rPr>
          <w:t>13.1</w:t>
        </w:r>
        <w:r w:rsidR="00752E4C">
          <w:rPr>
            <w:rFonts w:eastAsiaTheme="minorEastAsia"/>
            <w:b w:val="0"/>
            <w:bCs w:val="0"/>
            <w:smallCaps w:val="0"/>
            <w:noProof/>
            <w:lang w:eastAsia="ca-ES"/>
          </w:rPr>
          <w:tab/>
        </w:r>
        <w:r w:rsidR="00752E4C" w:rsidRPr="00D0406E">
          <w:rPr>
            <w:rStyle w:val="Enlla"/>
            <w:noProof/>
          </w:rPr>
          <w:t>Evolució històrica</w:t>
        </w:r>
        <w:r w:rsidR="00752E4C">
          <w:rPr>
            <w:noProof/>
            <w:webHidden/>
          </w:rPr>
          <w:tab/>
        </w:r>
        <w:r w:rsidR="00752E4C">
          <w:rPr>
            <w:noProof/>
            <w:webHidden/>
          </w:rPr>
          <w:fldChar w:fldCharType="begin"/>
        </w:r>
        <w:r w:rsidR="00752E4C">
          <w:rPr>
            <w:noProof/>
            <w:webHidden/>
          </w:rPr>
          <w:instrText xml:space="preserve"> PAGEREF _Toc465293510 \h </w:instrText>
        </w:r>
        <w:r w:rsidR="00752E4C">
          <w:rPr>
            <w:noProof/>
            <w:webHidden/>
          </w:rPr>
        </w:r>
        <w:r w:rsidR="00752E4C">
          <w:rPr>
            <w:noProof/>
            <w:webHidden/>
          </w:rPr>
          <w:fldChar w:fldCharType="separate"/>
        </w:r>
        <w:r w:rsidR="00752E4C">
          <w:rPr>
            <w:noProof/>
            <w:webHidden/>
          </w:rPr>
          <w:t>235</w:t>
        </w:r>
        <w:r w:rsidR="00752E4C">
          <w:rPr>
            <w:noProof/>
            <w:webHidden/>
          </w:rPr>
          <w:fldChar w:fldCharType="end"/>
        </w:r>
      </w:hyperlink>
    </w:p>
    <w:p w:rsidR="00752E4C" w:rsidRDefault="00DB496B">
      <w:pPr>
        <w:pStyle w:val="IDC2"/>
        <w:tabs>
          <w:tab w:val="left" w:pos="613"/>
          <w:tab w:val="right" w:pos="9061"/>
        </w:tabs>
        <w:rPr>
          <w:rFonts w:eastAsiaTheme="minorEastAsia"/>
          <w:b w:val="0"/>
          <w:bCs w:val="0"/>
          <w:smallCaps w:val="0"/>
          <w:noProof/>
          <w:lang w:eastAsia="ca-ES"/>
        </w:rPr>
      </w:pPr>
      <w:hyperlink w:anchor="_Toc465293511" w:history="1">
        <w:r w:rsidR="00752E4C" w:rsidRPr="00D0406E">
          <w:rPr>
            <w:rStyle w:val="Enlla"/>
            <w:noProof/>
          </w:rPr>
          <w:t>13.2</w:t>
        </w:r>
        <w:r w:rsidR="00752E4C">
          <w:rPr>
            <w:rFonts w:eastAsiaTheme="minorEastAsia"/>
            <w:b w:val="0"/>
            <w:bCs w:val="0"/>
            <w:smallCaps w:val="0"/>
            <w:noProof/>
            <w:lang w:eastAsia="ca-ES"/>
          </w:rPr>
          <w:tab/>
        </w:r>
        <w:r w:rsidR="00752E4C" w:rsidRPr="00D0406E">
          <w:rPr>
            <w:rStyle w:val="Enlla"/>
            <w:noProof/>
          </w:rPr>
          <w:t>Les principals actuacions</w:t>
        </w:r>
        <w:r w:rsidR="00752E4C">
          <w:rPr>
            <w:noProof/>
            <w:webHidden/>
          </w:rPr>
          <w:tab/>
        </w:r>
        <w:r w:rsidR="00752E4C">
          <w:rPr>
            <w:noProof/>
            <w:webHidden/>
          </w:rPr>
          <w:fldChar w:fldCharType="begin"/>
        </w:r>
        <w:r w:rsidR="00752E4C">
          <w:rPr>
            <w:noProof/>
            <w:webHidden/>
          </w:rPr>
          <w:instrText xml:space="preserve"> PAGEREF _Toc465293511 \h </w:instrText>
        </w:r>
        <w:r w:rsidR="00752E4C">
          <w:rPr>
            <w:noProof/>
            <w:webHidden/>
          </w:rPr>
        </w:r>
        <w:r w:rsidR="00752E4C">
          <w:rPr>
            <w:noProof/>
            <w:webHidden/>
          </w:rPr>
          <w:fldChar w:fldCharType="separate"/>
        </w:r>
        <w:r w:rsidR="00752E4C">
          <w:rPr>
            <w:noProof/>
            <w:webHidden/>
          </w:rPr>
          <w:t>235</w:t>
        </w:r>
        <w:r w:rsidR="00752E4C">
          <w:rPr>
            <w:noProof/>
            <w:webHidden/>
          </w:rPr>
          <w:fldChar w:fldCharType="end"/>
        </w:r>
      </w:hyperlink>
    </w:p>
    <w:p w:rsidR="00752E4C" w:rsidRDefault="00DB496B">
      <w:pPr>
        <w:pStyle w:val="IDC2"/>
        <w:tabs>
          <w:tab w:val="left" w:pos="613"/>
          <w:tab w:val="right" w:pos="9061"/>
        </w:tabs>
        <w:rPr>
          <w:rFonts w:eastAsiaTheme="minorEastAsia"/>
          <w:b w:val="0"/>
          <w:bCs w:val="0"/>
          <w:smallCaps w:val="0"/>
          <w:noProof/>
          <w:lang w:eastAsia="ca-ES"/>
        </w:rPr>
      </w:pPr>
      <w:hyperlink w:anchor="_Toc465293512" w:history="1">
        <w:r w:rsidR="00752E4C" w:rsidRPr="00D0406E">
          <w:rPr>
            <w:rStyle w:val="Enlla"/>
            <w:noProof/>
          </w:rPr>
          <w:t>13.3</w:t>
        </w:r>
        <w:r w:rsidR="00752E4C">
          <w:rPr>
            <w:rFonts w:eastAsiaTheme="minorEastAsia"/>
            <w:b w:val="0"/>
            <w:bCs w:val="0"/>
            <w:smallCaps w:val="0"/>
            <w:noProof/>
            <w:lang w:eastAsia="ca-ES"/>
          </w:rPr>
          <w:tab/>
        </w:r>
        <w:r w:rsidR="00752E4C" w:rsidRPr="00D0406E">
          <w:rPr>
            <w:rStyle w:val="Enlla"/>
            <w:noProof/>
          </w:rPr>
          <w:t>Marc normatiu</w:t>
        </w:r>
        <w:r w:rsidR="00752E4C">
          <w:rPr>
            <w:noProof/>
            <w:webHidden/>
          </w:rPr>
          <w:tab/>
        </w:r>
        <w:r w:rsidR="00752E4C">
          <w:rPr>
            <w:noProof/>
            <w:webHidden/>
          </w:rPr>
          <w:fldChar w:fldCharType="begin"/>
        </w:r>
        <w:r w:rsidR="00752E4C">
          <w:rPr>
            <w:noProof/>
            <w:webHidden/>
          </w:rPr>
          <w:instrText xml:space="preserve"> PAGEREF _Toc465293512 \h </w:instrText>
        </w:r>
        <w:r w:rsidR="00752E4C">
          <w:rPr>
            <w:noProof/>
            <w:webHidden/>
          </w:rPr>
        </w:r>
        <w:r w:rsidR="00752E4C">
          <w:rPr>
            <w:noProof/>
            <w:webHidden/>
          </w:rPr>
          <w:fldChar w:fldCharType="separate"/>
        </w:r>
        <w:r w:rsidR="00752E4C">
          <w:rPr>
            <w:noProof/>
            <w:webHidden/>
          </w:rPr>
          <w:t>238</w:t>
        </w:r>
        <w:r w:rsidR="00752E4C">
          <w:rPr>
            <w:noProof/>
            <w:webHidden/>
          </w:rPr>
          <w:fldChar w:fldCharType="end"/>
        </w:r>
      </w:hyperlink>
    </w:p>
    <w:p w:rsidR="00752E4C" w:rsidRDefault="00DB496B">
      <w:pPr>
        <w:pStyle w:val="IDC3"/>
        <w:tabs>
          <w:tab w:val="left" w:pos="777"/>
          <w:tab w:val="right" w:pos="9061"/>
        </w:tabs>
        <w:rPr>
          <w:rFonts w:eastAsiaTheme="minorEastAsia"/>
          <w:smallCaps w:val="0"/>
          <w:noProof/>
          <w:lang w:eastAsia="ca-ES"/>
        </w:rPr>
      </w:pPr>
      <w:hyperlink w:anchor="_Toc465293513" w:history="1">
        <w:r w:rsidR="00752E4C" w:rsidRPr="00D0406E">
          <w:rPr>
            <w:rStyle w:val="Enlla"/>
            <w:noProof/>
          </w:rPr>
          <w:t>13.3.1</w:t>
        </w:r>
        <w:r w:rsidR="00752E4C">
          <w:rPr>
            <w:rFonts w:eastAsiaTheme="minorEastAsia"/>
            <w:smallCaps w:val="0"/>
            <w:noProof/>
            <w:lang w:eastAsia="ca-ES"/>
          </w:rPr>
          <w:tab/>
        </w:r>
        <w:r w:rsidR="00752E4C" w:rsidRPr="00D0406E">
          <w:rPr>
            <w:rStyle w:val="Enlla"/>
            <w:noProof/>
          </w:rPr>
          <w:t>Referències al Codi penal</w:t>
        </w:r>
        <w:r w:rsidR="00752E4C">
          <w:rPr>
            <w:noProof/>
            <w:webHidden/>
          </w:rPr>
          <w:tab/>
        </w:r>
        <w:r w:rsidR="00752E4C">
          <w:rPr>
            <w:noProof/>
            <w:webHidden/>
          </w:rPr>
          <w:fldChar w:fldCharType="begin"/>
        </w:r>
        <w:r w:rsidR="00752E4C">
          <w:rPr>
            <w:noProof/>
            <w:webHidden/>
          </w:rPr>
          <w:instrText xml:space="preserve"> PAGEREF _Toc465293513 \h </w:instrText>
        </w:r>
        <w:r w:rsidR="00752E4C">
          <w:rPr>
            <w:noProof/>
            <w:webHidden/>
          </w:rPr>
        </w:r>
        <w:r w:rsidR="00752E4C">
          <w:rPr>
            <w:noProof/>
            <w:webHidden/>
          </w:rPr>
          <w:fldChar w:fldCharType="separate"/>
        </w:r>
        <w:r w:rsidR="00752E4C">
          <w:rPr>
            <w:noProof/>
            <w:webHidden/>
          </w:rPr>
          <w:t>238</w:t>
        </w:r>
        <w:r w:rsidR="00752E4C">
          <w:rPr>
            <w:noProof/>
            <w:webHidden/>
          </w:rPr>
          <w:fldChar w:fldCharType="end"/>
        </w:r>
      </w:hyperlink>
    </w:p>
    <w:p w:rsidR="00752E4C" w:rsidRDefault="00DB496B">
      <w:pPr>
        <w:pStyle w:val="IDC3"/>
        <w:tabs>
          <w:tab w:val="left" w:pos="777"/>
          <w:tab w:val="right" w:pos="9061"/>
        </w:tabs>
        <w:rPr>
          <w:rFonts w:eastAsiaTheme="minorEastAsia"/>
          <w:smallCaps w:val="0"/>
          <w:noProof/>
          <w:lang w:eastAsia="ca-ES"/>
        </w:rPr>
      </w:pPr>
      <w:hyperlink w:anchor="_Toc465293514" w:history="1">
        <w:r w:rsidR="00752E4C" w:rsidRPr="00D0406E">
          <w:rPr>
            <w:rStyle w:val="Enlla"/>
            <w:noProof/>
          </w:rPr>
          <w:t>13.3.2</w:t>
        </w:r>
        <w:r w:rsidR="00752E4C">
          <w:rPr>
            <w:rFonts w:eastAsiaTheme="minorEastAsia"/>
            <w:smallCaps w:val="0"/>
            <w:noProof/>
            <w:lang w:eastAsia="ca-ES"/>
          </w:rPr>
          <w:tab/>
        </w:r>
        <w:r w:rsidR="00752E4C" w:rsidRPr="00D0406E">
          <w:rPr>
            <w:rStyle w:val="Enlla"/>
            <w:noProof/>
          </w:rPr>
          <w:t>Referències a la normativa reglamentària</w:t>
        </w:r>
        <w:r w:rsidR="00752E4C">
          <w:rPr>
            <w:noProof/>
            <w:webHidden/>
          </w:rPr>
          <w:tab/>
        </w:r>
        <w:r w:rsidR="00752E4C">
          <w:rPr>
            <w:noProof/>
            <w:webHidden/>
          </w:rPr>
          <w:fldChar w:fldCharType="begin"/>
        </w:r>
        <w:r w:rsidR="00752E4C">
          <w:rPr>
            <w:noProof/>
            <w:webHidden/>
          </w:rPr>
          <w:instrText xml:space="preserve"> PAGEREF _Toc465293514 \h </w:instrText>
        </w:r>
        <w:r w:rsidR="00752E4C">
          <w:rPr>
            <w:noProof/>
            <w:webHidden/>
          </w:rPr>
        </w:r>
        <w:r w:rsidR="00752E4C">
          <w:rPr>
            <w:noProof/>
            <w:webHidden/>
          </w:rPr>
          <w:fldChar w:fldCharType="separate"/>
        </w:r>
        <w:r w:rsidR="00752E4C">
          <w:rPr>
            <w:noProof/>
            <w:webHidden/>
          </w:rPr>
          <w:t>239</w:t>
        </w:r>
        <w:r w:rsidR="00752E4C">
          <w:rPr>
            <w:noProof/>
            <w:webHidden/>
          </w:rPr>
          <w:fldChar w:fldCharType="end"/>
        </w:r>
      </w:hyperlink>
    </w:p>
    <w:p w:rsidR="00752E4C" w:rsidRDefault="00DB496B">
      <w:pPr>
        <w:pStyle w:val="IDC3"/>
        <w:tabs>
          <w:tab w:val="left" w:pos="777"/>
          <w:tab w:val="right" w:pos="9061"/>
        </w:tabs>
        <w:rPr>
          <w:rFonts w:eastAsiaTheme="minorEastAsia"/>
          <w:smallCaps w:val="0"/>
          <w:noProof/>
          <w:lang w:eastAsia="ca-ES"/>
        </w:rPr>
      </w:pPr>
      <w:hyperlink w:anchor="_Toc465293515" w:history="1">
        <w:r w:rsidR="00752E4C" w:rsidRPr="00D0406E">
          <w:rPr>
            <w:rStyle w:val="Enlla"/>
            <w:noProof/>
          </w:rPr>
          <w:t>13.3.3</w:t>
        </w:r>
        <w:r w:rsidR="00752E4C">
          <w:rPr>
            <w:rFonts w:eastAsiaTheme="minorEastAsia"/>
            <w:smallCaps w:val="0"/>
            <w:noProof/>
            <w:lang w:eastAsia="ca-ES"/>
          </w:rPr>
          <w:tab/>
        </w:r>
        <w:r w:rsidR="00752E4C" w:rsidRPr="00D0406E">
          <w:rPr>
            <w:rStyle w:val="Enlla"/>
            <w:noProof/>
          </w:rPr>
          <w:t>Mesures penals alternatives (MPA)</w:t>
        </w:r>
        <w:r w:rsidR="00752E4C">
          <w:rPr>
            <w:noProof/>
            <w:webHidden/>
          </w:rPr>
          <w:tab/>
        </w:r>
        <w:r w:rsidR="00752E4C">
          <w:rPr>
            <w:noProof/>
            <w:webHidden/>
          </w:rPr>
          <w:fldChar w:fldCharType="begin"/>
        </w:r>
        <w:r w:rsidR="00752E4C">
          <w:rPr>
            <w:noProof/>
            <w:webHidden/>
          </w:rPr>
          <w:instrText xml:space="preserve"> PAGEREF _Toc465293515 \h </w:instrText>
        </w:r>
        <w:r w:rsidR="00752E4C">
          <w:rPr>
            <w:noProof/>
            <w:webHidden/>
          </w:rPr>
        </w:r>
        <w:r w:rsidR="00752E4C">
          <w:rPr>
            <w:noProof/>
            <w:webHidden/>
          </w:rPr>
          <w:fldChar w:fldCharType="separate"/>
        </w:r>
        <w:r w:rsidR="00752E4C">
          <w:rPr>
            <w:noProof/>
            <w:webHidden/>
          </w:rPr>
          <w:t>239</w:t>
        </w:r>
        <w:r w:rsidR="00752E4C">
          <w:rPr>
            <w:noProof/>
            <w:webHidden/>
          </w:rPr>
          <w:fldChar w:fldCharType="end"/>
        </w:r>
      </w:hyperlink>
    </w:p>
    <w:p w:rsidR="00752E4C" w:rsidRDefault="00DB496B">
      <w:pPr>
        <w:pStyle w:val="IDC2"/>
        <w:tabs>
          <w:tab w:val="left" w:pos="613"/>
          <w:tab w:val="right" w:pos="9061"/>
        </w:tabs>
        <w:rPr>
          <w:rFonts w:eastAsiaTheme="minorEastAsia"/>
          <w:b w:val="0"/>
          <w:bCs w:val="0"/>
          <w:smallCaps w:val="0"/>
          <w:noProof/>
          <w:lang w:eastAsia="ca-ES"/>
        </w:rPr>
      </w:pPr>
      <w:hyperlink w:anchor="_Toc465293516" w:history="1">
        <w:r w:rsidR="00752E4C" w:rsidRPr="00D0406E">
          <w:rPr>
            <w:rStyle w:val="Enlla"/>
            <w:noProof/>
          </w:rPr>
          <w:t>13.4</w:t>
        </w:r>
        <w:r w:rsidR="00752E4C">
          <w:rPr>
            <w:rFonts w:eastAsiaTheme="minorEastAsia"/>
            <w:b w:val="0"/>
            <w:bCs w:val="0"/>
            <w:smallCaps w:val="0"/>
            <w:noProof/>
            <w:lang w:eastAsia="ca-ES"/>
          </w:rPr>
          <w:tab/>
        </w:r>
        <w:r w:rsidR="00752E4C" w:rsidRPr="00D0406E">
          <w:rPr>
            <w:rStyle w:val="Enlla"/>
            <w:noProof/>
          </w:rPr>
          <w:t>Model de treball</w:t>
        </w:r>
        <w:r w:rsidR="00752E4C">
          <w:rPr>
            <w:noProof/>
            <w:webHidden/>
          </w:rPr>
          <w:tab/>
        </w:r>
        <w:r w:rsidR="00752E4C">
          <w:rPr>
            <w:noProof/>
            <w:webHidden/>
          </w:rPr>
          <w:fldChar w:fldCharType="begin"/>
        </w:r>
        <w:r w:rsidR="00752E4C">
          <w:rPr>
            <w:noProof/>
            <w:webHidden/>
          </w:rPr>
          <w:instrText xml:space="preserve"> PAGEREF _Toc465293516 \h </w:instrText>
        </w:r>
        <w:r w:rsidR="00752E4C">
          <w:rPr>
            <w:noProof/>
            <w:webHidden/>
          </w:rPr>
        </w:r>
        <w:r w:rsidR="00752E4C">
          <w:rPr>
            <w:noProof/>
            <w:webHidden/>
          </w:rPr>
          <w:fldChar w:fldCharType="separate"/>
        </w:r>
        <w:r w:rsidR="00752E4C">
          <w:rPr>
            <w:noProof/>
            <w:webHidden/>
          </w:rPr>
          <w:t>240</w:t>
        </w:r>
        <w:r w:rsidR="00752E4C">
          <w:rPr>
            <w:noProof/>
            <w:webHidden/>
          </w:rPr>
          <w:fldChar w:fldCharType="end"/>
        </w:r>
      </w:hyperlink>
    </w:p>
    <w:p w:rsidR="00752E4C" w:rsidRDefault="00DB496B">
      <w:pPr>
        <w:pStyle w:val="IDC3"/>
        <w:tabs>
          <w:tab w:val="left" w:pos="777"/>
          <w:tab w:val="right" w:pos="9061"/>
        </w:tabs>
        <w:rPr>
          <w:rFonts w:eastAsiaTheme="minorEastAsia"/>
          <w:smallCaps w:val="0"/>
          <w:noProof/>
          <w:lang w:eastAsia="ca-ES"/>
        </w:rPr>
      </w:pPr>
      <w:hyperlink w:anchor="_Toc465293517" w:history="1">
        <w:r w:rsidR="00752E4C" w:rsidRPr="00D0406E">
          <w:rPr>
            <w:rStyle w:val="Enlla"/>
            <w:noProof/>
          </w:rPr>
          <w:t>13.4.1</w:t>
        </w:r>
        <w:r w:rsidR="00752E4C">
          <w:rPr>
            <w:rFonts w:eastAsiaTheme="minorEastAsia"/>
            <w:smallCaps w:val="0"/>
            <w:noProof/>
            <w:lang w:eastAsia="ca-ES"/>
          </w:rPr>
          <w:tab/>
        </w:r>
        <w:r w:rsidR="00752E4C" w:rsidRPr="00D0406E">
          <w:rPr>
            <w:rStyle w:val="Enlla"/>
            <w:noProof/>
          </w:rPr>
          <w:t>Control de l’execució de la mesura</w:t>
        </w:r>
        <w:r w:rsidR="00752E4C">
          <w:rPr>
            <w:noProof/>
            <w:webHidden/>
          </w:rPr>
          <w:tab/>
        </w:r>
        <w:r w:rsidR="00752E4C">
          <w:rPr>
            <w:noProof/>
            <w:webHidden/>
          </w:rPr>
          <w:fldChar w:fldCharType="begin"/>
        </w:r>
        <w:r w:rsidR="00752E4C">
          <w:rPr>
            <w:noProof/>
            <w:webHidden/>
          </w:rPr>
          <w:instrText xml:space="preserve"> PAGEREF _Toc465293517 \h </w:instrText>
        </w:r>
        <w:r w:rsidR="00752E4C">
          <w:rPr>
            <w:noProof/>
            <w:webHidden/>
          </w:rPr>
        </w:r>
        <w:r w:rsidR="00752E4C">
          <w:rPr>
            <w:noProof/>
            <w:webHidden/>
          </w:rPr>
          <w:fldChar w:fldCharType="separate"/>
        </w:r>
        <w:r w:rsidR="00752E4C">
          <w:rPr>
            <w:noProof/>
            <w:webHidden/>
          </w:rPr>
          <w:t>241</w:t>
        </w:r>
        <w:r w:rsidR="00752E4C">
          <w:rPr>
            <w:noProof/>
            <w:webHidden/>
          </w:rPr>
          <w:fldChar w:fldCharType="end"/>
        </w:r>
      </w:hyperlink>
    </w:p>
    <w:p w:rsidR="00752E4C" w:rsidRDefault="00DB496B">
      <w:pPr>
        <w:pStyle w:val="IDC3"/>
        <w:tabs>
          <w:tab w:val="left" w:pos="777"/>
          <w:tab w:val="right" w:pos="9061"/>
        </w:tabs>
        <w:rPr>
          <w:rFonts w:eastAsiaTheme="minorEastAsia"/>
          <w:smallCaps w:val="0"/>
          <w:noProof/>
          <w:lang w:eastAsia="ca-ES"/>
        </w:rPr>
      </w:pPr>
      <w:hyperlink w:anchor="_Toc465293518" w:history="1">
        <w:r w:rsidR="00752E4C" w:rsidRPr="00D0406E">
          <w:rPr>
            <w:rStyle w:val="Enlla"/>
            <w:noProof/>
          </w:rPr>
          <w:t>13.4.2</w:t>
        </w:r>
        <w:r w:rsidR="00752E4C">
          <w:rPr>
            <w:rFonts w:eastAsiaTheme="minorEastAsia"/>
            <w:smallCaps w:val="0"/>
            <w:noProof/>
            <w:lang w:eastAsia="ca-ES"/>
          </w:rPr>
          <w:tab/>
        </w:r>
        <w:r w:rsidR="00752E4C" w:rsidRPr="00D0406E">
          <w:rPr>
            <w:rStyle w:val="Enlla"/>
            <w:noProof/>
          </w:rPr>
          <w:t>Suport socioeducatiu</w:t>
        </w:r>
        <w:r w:rsidR="00752E4C">
          <w:rPr>
            <w:noProof/>
            <w:webHidden/>
          </w:rPr>
          <w:tab/>
        </w:r>
        <w:r w:rsidR="00752E4C">
          <w:rPr>
            <w:noProof/>
            <w:webHidden/>
          </w:rPr>
          <w:fldChar w:fldCharType="begin"/>
        </w:r>
        <w:r w:rsidR="00752E4C">
          <w:rPr>
            <w:noProof/>
            <w:webHidden/>
          </w:rPr>
          <w:instrText xml:space="preserve"> PAGEREF _Toc465293518 \h </w:instrText>
        </w:r>
        <w:r w:rsidR="00752E4C">
          <w:rPr>
            <w:noProof/>
            <w:webHidden/>
          </w:rPr>
        </w:r>
        <w:r w:rsidR="00752E4C">
          <w:rPr>
            <w:noProof/>
            <w:webHidden/>
          </w:rPr>
          <w:fldChar w:fldCharType="separate"/>
        </w:r>
        <w:r w:rsidR="00752E4C">
          <w:rPr>
            <w:noProof/>
            <w:webHidden/>
          </w:rPr>
          <w:t>241</w:t>
        </w:r>
        <w:r w:rsidR="00752E4C">
          <w:rPr>
            <w:noProof/>
            <w:webHidden/>
          </w:rPr>
          <w:fldChar w:fldCharType="end"/>
        </w:r>
      </w:hyperlink>
    </w:p>
    <w:p w:rsidR="00752E4C" w:rsidRDefault="00DB496B">
      <w:pPr>
        <w:pStyle w:val="IDC3"/>
        <w:tabs>
          <w:tab w:val="left" w:pos="777"/>
          <w:tab w:val="right" w:pos="9061"/>
        </w:tabs>
        <w:rPr>
          <w:rFonts w:eastAsiaTheme="minorEastAsia"/>
          <w:smallCaps w:val="0"/>
          <w:noProof/>
          <w:lang w:eastAsia="ca-ES"/>
        </w:rPr>
      </w:pPr>
      <w:hyperlink w:anchor="_Toc465293519" w:history="1">
        <w:r w:rsidR="00752E4C" w:rsidRPr="00D0406E">
          <w:rPr>
            <w:rStyle w:val="Enlla"/>
            <w:noProof/>
          </w:rPr>
          <w:t>13.4.3</w:t>
        </w:r>
        <w:r w:rsidR="00752E4C">
          <w:rPr>
            <w:rFonts w:eastAsiaTheme="minorEastAsia"/>
            <w:smallCaps w:val="0"/>
            <w:noProof/>
            <w:lang w:eastAsia="ca-ES"/>
          </w:rPr>
          <w:tab/>
        </w:r>
        <w:r w:rsidR="00752E4C" w:rsidRPr="00D0406E">
          <w:rPr>
            <w:rStyle w:val="Enlla"/>
            <w:noProof/>
          </w:rPr>
          <w:t>Compliment d’obligacions i/o tractaments</w:t>
        </w:r>
        <w:r w:rsidR="00752E4C">
          <w:rPr>
            <w:noProof/>
            <w:webHidden/>
          </w:rPr>
          <w:tab/>
        </w:r>
        <w:r w:rsidR="00752E4C">
          <w:rPr>
            <w:noProof/>
            <w:webHidden/>
          </w:rPr>
          <w:fldChar w:fldCharType="begin"/>
        </w:r>
        <w:r w:rsidR="00752E4C">
          <w:rPr>
            <w:noProof/>
            <w:webHidden/>
          </w:rPr>
          <w:instrText xml:space="preserve"> PAGEREF _Toc465293519 \h </w:instrText>
        </w:r>
        <w:r w:rsidR="00752E4C">
          <w:rPr>
            <w:noProof/>
            <w:webHidden/>
          </w:rPr>
        </w:r>
        <w:r w:rsidR="00752E4C">
          <w:rPr>
            <w:noProof/>
            <w:webHidden/>
          </w:rPr>
          <w:fldChar w:fldCharType="separate"/>
        </w:r>
        <w:r w:rsidR="00752E4C">
          <w:rPr>
            <w:noProof/>
            <w:webHidden/>
          </w:rPr>
          <w:t>241</w:t>
        </w:r>
        <w:r w:rsidR="00752E4C">
          <w:rPr>
            <w:noProof/>
            <w:webHidden/>
          </w:rPr>
          <w:fldChar w:fldCharType="end"/>
        </w:r>
      </w:hyperlink>
    </w:p>
    <w:p w:rsidR="00752E4C" w:rsidRDefault="00DB496B">
      <w:pPr>
        <w:pStyle w:val="IDC3"/>
        <w:tabs>
          <w:tab w:val="left" w:pos="777"/>
          <w:tab w:val="right" w:pos="9061"/>
        </w:tabs>
        <w:rPr>
          <w:rFonts w:eastAsiaTheme="minorEastAsia"/>
          <w:smallCaps w:val="0"/>
          <w:noProof/>
          <w:lang w:eastAsia="ca-ES"/>
        </w:rPr>
      </w:pPr>
      <w:hyperlink w:anchor="_Toc465293520" w:history="1">
        <w:r w:rsidR="00752E4C" w:rsidRPr="00D0406E">
          <w:rPr>
            <w:rStyle w:val="Enlla"/>
            <w:noProof/>
          </w:rPr>
          <w:t>13.4.4</w:t>
        </w:r>
        <w:r w:rsidR="00752E4C">
          <w:rPr>
            <w:rFonts w:eastAsiaTheme="minorEastAsia"/>
            <w:smallCaps w:val="0"/>
            <w:noProof/>
            <w:lang w:eastAsia="ca-ES"/>
          </w:rPr>
          <w:tab/>
        </w:r>
        <w:r w:rsidR="00752E4C" w:rsidRPr="00D0406E">
          <w:rPr>
            <w:rStyle w:val="Enlla"/>
            <w:noProof/>
          </w:rPr>
          <w:t>Participació comunitària</w:t>
        </w:r>
        <w:r w:rsidR="00752E4C">
          <w:rPr>
            <w:noProof/>
            <w:webHidden/>
          </w:rPr>
          <w:tab/>
        </w:r>
        <w:r w:rsidR="00752E4C">
          <w:rPr>
            <w:noProof/>
            <w:webHidden/>
          </w:rPr>
          <w:fldChar w:fldCharType="begin"/>
        </w:r>
        <w:r w:rsidR="00752E4C">
          <w:rPr>
            <w:noProof/>
            <w:webHidden/>
          </w:rPr>
          <w:instrText xml:space="preserve"> PAGEREF _Toc465293520 \h </w:instrText>
        </w:r>
        <w:r w:rsidR="00752E4C">
          <w:rPr>
            <w:noProof/>
            <w:webHidden/>
          </w:rPr>
        </w:r>
        <w:r w:rsidR="00752E4C">
          <w:rPr>
            <w:noProof/>
            <w:webHidden/>
          </w:rPr>
          <w:fldChar w:fldCharType="separate"/>
        </w:r>
        <w:r w:rsidR="00752E4C">
          <w:rPr>
            <w:noProof/>
            <w:webHidden/>
          </w:rPr>
          <w:t>242</w:t>
        </w:r>
        <w:r w:rsidR="00752E4C">
          <w:rPr>
            <w:noProof/>
            <w:webHidden/>
          </w:rPr>
          <w:fldChar w:fldCharType="end"/>
        </w:r>
      </w:hyperlink>
    </w:p>
    <w:p w:rsidR="00752E4C" w:rsidRDefault="00DB496B">
      <w:pPr>
        <w:pStyle w:val="IDC2"/>
        <w:tabs>
          <w:tab w:val="left" w:pos="613"/>
          <w:tab w:val="right" w:pos="9061"/>
        </w:tabs>
        <w:rPr>
          <w:rFonts w:eastAsiaTheme="minorEastAsia"/>
          <w:b w:val="0"/>
          <w:bCs w:val="0"/>
          <w:smallCaps w:val="0"/>
          <w:noProof/>
          <w:lang w:eastAsia="ca-ES"/>
        </w:rPr>
      </w:pPr>
      <w:hyperlink w:anchor="_Toc465293521" w:history="1">
        <w:r w:rsidR="00752E4C" w:rsidRPr="00D0406E">
          <w:rPr>
            <w:rStyle w:val="Enlla"/>
            <w:noProof/>
          </w:rPr>
          <w:t>13.5</w:t>
        </w:r>
        <w:r w:rsidR="00752E4C">
          <w:rPr>
            <w:rFonts w:eastAsiaTheme="minorEastAsia"/>
            <w:b w:val="0"/>
            <w:bCs w:val="0"/>
            <w:smallCaps w:val="0"/>
            <w:noProof/>
            <w:lang w:eastAsia="ca-ES"/>
          </w:rPr>
          <w:tab/>
        </w:r>
        <w:r w:rsidR="00752E4C" w:rsidRPr="00D0406E">
          <w:rPr>
            <w:rStyle w:val="Enlla"/>
            <w:noProof/>
          </w:rPr>
          <w:t>Programes de treball</w:t>
        </w:r>
        <w:r w:rsidR="00752E4C">
          <w:rPr>
            <w:noProof/>
            <w:webHidden/>
          </w:rPr>
          <w:tab/>
        </w:r>
        <w:r w:rsidR="00752E4C">
          <w:rPr>
            <w:noProof/>
            <w:webHidden/>
          </w:rPr>
          <w:fldChar w:fldCharType="begin"/>
        </w:r>
        <w:r w:rsidR="00752E4C">
          <w:rPr>
            <w:noProof/>
            <w:webHidden/>
          </w:rPr>
          <w:instrText xml:space="preserve"> PAGEREF _Toc465293521 \h </w:instrText>
        </w:r>
        <w:r w:rsidR="00752E4C">
          <w:rPr>
            <w:noProof/>
            <w:webHidden/>
          </w:rPr>
        </w:r>
        <w:r w:rsidR="00752E4C">
          <w:rPr>
            <w:noProof/>
            <w:webHidden/>
          </w:rPr>
          <w:fldChar w:fldCharType="separate"/>
        </w:r>
        <w:r w:rsidR="00752E4C">
          <w:rPr>
            <w:noProof/>
            <w:webHidden/>
          </w:rPr>
          <w:t>243</w:t>
        </w:r>
        <w:r w:rsidR="00752E4C">
          <w:rPr>
            <w:noProof/>
            <w:webHidden/>
          </w:rPr>
          <w:fldChar w:fldCharType="end"/>
        </w:r>
      </w:hyperlink>
    </w:p>
    <w:p w:rsidR="00752E4C" w:rsidRDefault="00DB496B">
      <w:pPr>
        <w:pStyle w:val="IDC3"/>
        <w:tabs>
          <w:tab w:val="left" w:pos="777"/>
          <w:tab w:val="right" w:pos="9061"/>
        </w:tabs>
        <w:rPr>
          <w:rFonts w:eastAsiaTheme="minorEastAsia"/>
          <w:smallCaps w:val="0"/>
          <w:noProof/>
          <w:lang w:eastAsia="ca-ES"/>
        </w:rPr>
      </w:pPr>
      <w:hyperlink w:anchor="_Toc465293522" w:history="1">
        <w:r w:rsidR="00752E4C" w:rsidRPr="00D0406E">
          <w:rPr>
            <w:rStyle w:val="Enlla"/>
            <w:noProof/>
          </w:rPr>
          <w:t>13.5.1</w:t>
        </w:r>
        <w:r w:rsidR="00752E4C">
          <w:rPr>
            <w:rFonts w:eastAsiaTheme="minorEastAsia"/>
            <w:smallCaps w:val="0"/>
            <w:noProof/>
            <w:lang w:eastAsia="ca-ES"/>
          </w:rPr>
          <w:tab/>
        </w:r>
        <w:r w:rsidR="00752E4C" w:rsidRPr="00D0406E">
          <w:rPr>
            <w:rStyle w:val="Enlla"/>
            <w:noProof/>
          </w:rPr>
          <w:t>Programa de treballs en benefici de la comunitat (TBC)</w:t>
        </w:r>
        <w:r w:rsidR="00752E4C">
          <w:rPr>
            <w:noProof/>
            <w:webHidden/>
          </w:rPr>
          <w:tab/>
        </w:r>
        <w:r w:rsidR="00752E4C">
          <w:rPr>
            <w:noProof/>
            <w:webHidden/>
          </w:rPr>
          <w:fldChar w:fldCharType="begin"/>
        </w:r>
        <w:r w:rsidR="00752E4C">
          <w:rPr>
            <w:noProof/>
            <w:webHidden/>
          </w:rPr>
          <w:instrText xml:space="preserve"> PAGEREF _Toc465293522 \h </w:instrText>
        </w:r>
        <w:r w:rsidR="00752E4C">
          <w:rPr>
            <w:noProof/>
            <w:webHidden/>
          </w:rPr>
        </w:r>
        <w:r w:rsidR="00752E4C">
          <w:rPr>
            <w:noProof/>
            <w:webHidden/>
          </w:rPr>
          <w:fldChar w:fldCharType="separate"/>
        </w:r>
        <w:r w:rsidR="00752E4C">
          <w:rPr>
            <w:noProof/>
            <w:webHidden/>
          </w:rPr>
          <w:t>243</w:t>
        </w:r>
        <w:r w:rsidR="00752E4C">
          <w:rPr>
            <w:noProof/>
            <w:webHidden/>
          </w:rPr>
          <w:fldChar w:fldCharType="end"/>
        </w:r>
      </w:hyperlink>
    </w:p>
    <w:p w:rsidR="00752E4C" w:rsidRDefault="00DB496B">
      <w:pPr>
        <w:pStyle w:val="IDC3"/>
        <w:tabs>
          <w:tab w:val="left" w:pos="777"/>
          <w:tab w:val="right" w:pos="9061"/>
        </w:tabs>
        <w:rPr>
          <w:rFonts w:eastAsiaTheme="minorEastAsia"/>
          <w:smallCaps w:val="0"/>
          <w:noProof/>
          <w:lang w:eastAsia="ca-ES"/>
        </w:rPr>
      </w:pPr>
      <w:hyperlink w:anchor="_Toc465293523" w:history="1">
        <w:r w:rsidR="00752E4C" w:rsidRPr="00D0406E">
          <w:rPr>
            <w:rStyle w:val="Enlla"/>
            <w:noProof/>
          </w:rPr>
          <w:t>13.5.2</w:t>
        </w:r>
        <w:r w:rsidR="00752E4C">
          <w:rPr>
            <w:rFonts w:eastAsiaTheme="minorEastAsia"/>
            <w:smallCaps w:val="0"/>
            <w:noProof/>
            <w:lang w:eastAsia="ca-ES"/>
          </w:rPr>
          <w:tab/>
        </w:r>
        <w:r w:rsidR="00752E4C" w:rsidRPr="00D0406E">
          <w:rPr>
            <w:rStyle w:val="Enlla"/>
            <w:noProof/>
          </w:rPr>
          <w:t>Programa de les formes suspensives de l’execució de les penes privatives de llibertat</w:t>
        </w:r>
        <w:r w:rsidR="00752E4C">
          <w:rPr>
            <w:noProof/>
            <w:webHidden/>
          </w:rPr>
          <w:tab/>
        </w:r>
        <w:r w:rsidR="00752E4C">
          <w:rPr>
            <w:noProof/>
            <w:webHidden/>
          </w:rPr>
          <w:fldChar w:fldCharType="begin"/>
        </w:r>
        <w:r w:rsidR="00752E4C">
          <w:rPr>
            <w:noProof/>
            <w:webHidden/>
          </w:rPr>
          <w:instrText xml:space="preserve"> PAGEREF _Toc465293523 \h </w:instrText>
        </w:r>
        <w:r w:rsidR="00752E4C">
          <w:rPr>
            <w:noProof/>
            <w:webHidden/>
          </w:rPr>
        </w:r>
        <w:r w:rsidR="00752E4C">
          <w:rPr>
            <w:noProof/>
            <w:webHidden/>
          </w:rPr>
          <w:fldChar w:fldCharType="separate"/>
        </w:r>
        <w:r w:rsidR="00752E4C">
          <w:rPr>
            <w:noProof/>
            <w:webHidden/>
          </w:rPr>
          <w:t>248</w:t>
        </w:r>
        <w:r w:rsidR="00752E4C">
          <w:rPr>
            <w:noProof/>
            <w:webHidden/>
          </w:rPr>
          <w:fldChar w:fldCharType="end"/>
        </w:r>
      </w:hyperlink>
    </w:p>
    <w:p w:rsidR="00752E4C" w:rsidRDefault="00DB496B">
      <w:pPr>
        <w:pStyle w:val="IDC3"/>
        <w:tabs>
          <w:tab w:val="left" w:pos="777"/>
          <w:tab w:val="right" w:pos="9061"/>
        </w:tabs>
        <w:rPr>
          <w:rFonts w:eastAsiaTheme="minorEastAsia"/>
          <w:smallCaps w:val="0"/>
          <w:noProof/>
          <w:lang w:eastAsia="ca-ES"/>
        </w:rPr>
      </w:pPr>
      <w:hyperlink w:anchor="_Toc465293524" w:history="1">
        <w:r w:rsidR="00752E4C" w:rsidRPr="00D0406E">
          <w:rPr>
            <w:rStyle w:val="Enlla"/>
            <w:noProof/>
          </w:rPr>
          <w:t>13.5.3</w:t>
        </w:r>
        <w:r w:rsidR="00752E4C">
          <w:rPr>
            <w:rFonts w:eastAsiaTheme="minorEastAsia"/>
            <w:smallCaps w:val="0"/>
            <w:noProof/>
            <w:lang w:eastAsia="ca-ES"/>
          </w:rPr>
          <w:tab/>
        </w:r>
        <w:r w:rsidR="00752E4C" w:rsidRPr="00D0406E">
          <w:rPr>
            <w:rStyle w:val="Enlla"/>
            <w:noProof/>
          </w:rPr>
          <w:t>Programa de mesures de seguretat</w:t>
        </w:r>
        <w:r w:rsidR="00752E4C">
          <w:rPr>
            <w:noProof/>
            <w:webHidden/>
          </w:rPr>
          <w:tab/>
        </w:r>
        <w:r w:rsidR="00752E4C">
          <w:rPr>
            <w:noProof/>
            <w:webHidden/>
          </w:rPr>
          <w:fldChar w:fldCharType="begin"/>
        </w:r>
        <w:r w:rsidR="00752E4C">
          <w:rPr>
            <w:noProof/>
            <w:webHidden/>
          </w:rPr>
          <w:instrText xml:space="preserve"> PAGEREF _Toc465293524 \h </w:instrText>
        </w:r>
        <w:r w:rsidR="00752E4C">
          <w:rPr>
            <w:noProof/>
            <w:webHidden/>
          </w:rPr>
        </w:r>
        <w:r w:rsidR="00752E4C">
          <w:rPr>
            <w:noProof/>
            <w:webHidden/>
          </w:rPr>
          <w:fldChar w:fldCharType="separate"/>
        </w:r>
        <w:r w:rsidR="00752E4C">
          <w:rPr>
            <w:noProof/>
            <w:webHidden/>
          </w:rPr>
          <w:t>251</w:t>
        </w:r>
        <w:r w:rsidR="00752E4C">
          <w:rPr>
            <w:noProof/>
            <w:webHidden/>
          </w:rPr>
          <w:fldChar w:fldCharType="end"/>
        </w:r>
      </w:hyperlink>
    </w:p>
    <w:p w:rsidR="00752E4C" w:rsidRDefault="00DB496B">
      <w:pPr>
        <w:pStyle w:val="IDC3"/>
        <w:tabs>
          <w:tab w:val="left" w:pos="777"/>
          <w:tab w:val="right" w:pos="9061"/>
        </w:tabs>
        <w:rPr>
          <w:rFonts w:eastAsiaTheme="minorEastAsia"/>
          <w:smallCaps w:val="0"/>
          <w:noProof/>
          <w:lang w:eastAsia="ca-ES"/>
        </w:rPr>
      </w:pPr>
      <w:hyperlink w:anchor="_Toc465293525" w:history="1">
        <w:r w:rsidR="00752E4C" w:rsidRPr="00D0406E">
          <w:rPr>
            <w:rStyle w:val="Enlla"/>
            <w:noProof/>
          </w:rPr>
          <w:t>13.5.4</w:t>
        </w:r>
        <w:r w:rsidR="00752E4C">
          <w:rPr>
            <w:rFonts w:eastAsiaTheme="minorEastAsia"/>
            <w:smallCaps w:val="0"/>
            <w:noProof/>
            <w:lang w:eastAsia="ca-ES"/>
          </w:rPr>
          <w:tab/>
        </w:r>
        <w:r w:rsidR="00752E4C" w:rsidRPr="00D0406E">
          <w:rPr>
            <w:rStyle w:val="Enlla"/>
            <w:noProof/>
          </w:rPr>
          <w:t>Programes formatius</w:t>
        </w:r>
        <w:r w:rsidR="00752E4C">
          <w:rPr>
            <w:noProof/>
            <w:webHidden/>
          </w:rPr>
          <w:tab/>
        </w:r>
        <w:r w:rsidR="00752E4C">
          <w:rPr>
            <w:noProof/>
            <w:webHidden/>
          </w:rPr>
          <w:fldChar w:fldCharType="begin"/>
        </w:r>
        <w:r w:rsidR="00752E4C">
          <w:rPr>
            <w:noProof/>
            <w:webHidden/>
          </w:rPr>
          <w:instrText xml:space="preserve"> PAGEREF _Toc465293525 \h </w:instrText>
        </w:r>
        <w:r w:rsidR="00752E4C">
          <w:rPr>
            <w:noProof/>
            <w:webHidden/>
          </w:rPr>
        </w:r>
        <w:r w:rsidR="00752E4C">
          <w:rPr>
            <w:noProof/>
            <w:webHidden/>
          </w:rPr>
          <w:fldChar w:fldCharType="separate"/>
        </w:r>
        <w:r w:rsidR="00752E4C">
          <w:rPr>
            <w:noProof/>
            <w:webHidden/>
          </w:rPr>
          <w:t>253</w:t>
        </w:r>
        <w:r w:rsidR="00752E4C">
          <w:rPr>
            <w:noProof/>
            <w:webHidden/>
          </w:rPr>
          <w:fldChar w:fldCharType="end"/>
        </w:r>
      </w:hyperlink>
    </w:p>
    <w:p w:rsidR="00752E4C" w:rsidRDefault="00DB496B">
      <w:pPr>
        <w:pStyle w:val="IDC2"/>
        <w:tabs>
          <w:tab w:val="left" w:pos="613"/>
          <w:tab w:val="right" w:pos="9061"/>
        </w:tabs>
        <w:rPr>
          <w:rFonts w:eastAsiaTheme="minorEastAsia"/>
          <w:b w:val="0"/>
          <w:bCs w:val="0"/>
          <w:smallCaps w:val="0"/>
          <w:noProof/>
          <w:lang w:eastAsia="ca-ES"/>
        </w:rPr>
      </w:pPr>
      <w:hyperlink w:anchor="_Toc465293526" w:history="1">
        <w:r w:rsidR="00752E4C" w:rsidRPr="00D0406E">
          <w:rPr>
            <w:rStyle w:val="Enlla"/>
            <w:noProof/>
          </w:rPr>
          <w:t>13.6</w:t>
        </w:r>
        <w:r w:rsidR="00752E4C">
          <w:rPr>
            <w:rFonts w:eastAsiaTheme="minorEastAsia"/>
            <w:b w:val="0"/>
            <w:bCs w:val="0"/>
            <w:smallCaps w:val="0"/>
            <w:noProof/>
            <w:lang w:eastAsia="ca-ES"/>
          </w:rPr>
          <w:tab/>
        </w:r>
        <w:r w:rsidR="00752E4C" w:rsidRPr="00D0406E">
          <w:rPr>
            <w:rStyle w:val="Enlla"/>
            <w:noProof/>
          </w:rPr>
          <w:t>Capacitat del sistema per a l’execució de mesures</w:t>
        </w:r>
        <w:r w:rsidR="00752E4C">
          <w:rPr>
            <w:noProof/>
            <w:webHidden/>
          </w:rPr>
          <w:tab/>
        </w:r>
        <w:r w:rsidR="00752E4C">
          <w:rPr>
            <w:noProof/>
            <w:webHidden/>
          </w:rPr>
          <w:fldChar w:fldCharType="begin"/>
        </w:r>
        <w:r w:rsidR="00752E4C">
          <w:rPr>
            <w:noProof/>
            <w:webHidden/>
          </w:rPr>
          <w:instrText xml:space="preserve"> PAGEREF _Toc465293526 \h </w:instrText>
        </w:r>
        <w:r w:rsidR="00752E4C">
          <w:rPr>
            <w:noProof/>
            <w:webHidden/>
          </w:rPr>
        </w:r>
        <w:r w:rsidR="00752E4C">
          <w:rPr>
            <w:noProof/>
            <w:webHidden/>
          </w:rPr>
          <w:fldChar w:fldCharType="separate"/>
        </w:r>
        <w:r w:rsidR="00752E4C">
          <w:rPr>
            <w:noProof/>
            <w:webHidden/>
          </w:rPr>
          <w:t>255</w:t>
        </w:r>
        <w:r w:rsidR="00752E4C">
          <w:rPr>
            <w:noProof/>
            <w:webHidden/>
          </w:rPr>
          <w:fldChar w:fldCharType="end"/>
        </w:r>
      </w:hyperlink>
    </w:p>
    <w:p w:rsidR="00752E4C" w:rsidRDefault="00DB496B">
      <w:pPr>
        <w:pStyle w:val="IDC2"/>
        <w:tabs>
          <w:tab w:val="left" w:pos="613"/>
          <w:tab w:val="right" w:pos="9061"/>
        </w:tabs>
        <w:rPr>
          <w:rFonts w:eastAsiaTheme="minorEastAsia"/>
          <w:b w:val="0"/>
          <w:bCs w:val="0"/>
          <w:smallCaps w:val="0"/>
          <w:noProof/>
          <w:lang w:eastAsia="ca-ES"/>
        </w:rPr>
      </w:pPr>
      <w:hyperlink w:anchor="_Toc465293527" w:history="1">
        <w:r w:rsidR="00752E4C" w:rsidRPr="00D0406E">
          <w:rPr>
            <w:rStyle w:val="Enlla"/>
            <w:noProof/>
          </w:rPr>
          <w:t>13.7</w:t>
        </w:r>
        <w:r w:rsidR="00752E4C">
          <w:rPr>
            <w:rFonts w:eastAsiaTheme="minorEastAsia"/>
            <w:b w:val="0"/>
            <w:bCs w:val="0"/>
            <w:smallCaps w:val="0"/>
            <w:noProof/>
            <w:lang w:eastAsia="ca-ES"/>
          </w:rPr>
          <w:tab/>
        </w:r>
        <w:r w:rsidR="00752E4C" w:rsidRPr="00D0406E">
          <w:rPr>
            <w:rStyle w:val="Enlla"/>
            <w:noProof/>
          </w:rPr>
          <w:t>La reincidència en les mesures penals alternatives</w:t>
        </w:r>
        <w:r w:rsidR="00752E4C">
          <w:rPr>
            <w:noProof/>
            <w:webHidden/>
          </w:rPr>
          <w:tab/>
        </w:r>
        <w:r w:rsidR="00752E4C">
          <w:rPr>
            <w:noProof/>
            <w:webHidden/>
          </w:rPr>
          <w:fldChar w:fldCharType="begin"/>
        </w:r>
        <w:r w:rsidR="00752E4C">
          <w:rPr>
            <w:noProof/>
            <w:webHidden/>
          </w:rPr>
          <w:instrText xml:space="preserve"> PAGEREF _Toc465293527 \h </w:instrText>
        </w:r>
        <w:r w:rsidR="00752E4C">
          <w:rPr>
            <w:noProof/>
            <w:webHidden/>
          </w:rPr>
        </w:r>
        <w:r w:rsidR="00752E4C">
          <w:rPr>
            <w:noProof/>
            <w:webHidden/>
          </w:rPr>
          <w:fldChar w:fldCharType="separate"/>
        </w:r>
        <w:r w:rsidR="00752E4C">
          <w:rPr>
            <w:noProof/>
            <w:webHidden/>
          </w:rPr>
          <w:t>256</w:t>
        </w:r>
        <w:r w:rsidR="00752E4C">
          <w:rPr>
            <w:noProof/>
            <w:webHidden/>
          </w:rPr>
          <w:fldChar w:fldCharType="end"/>
        </w:r>
      </w:hyperlink>
    </w:p>
    <w:p w:rsidR="00752E4C" w:rsidRDefault="00DB496B">
      <w:pPr>
        <w:pStyle w:val="IDC1"/>
        <w:tabs>
          <w:tab w:val="left" w:pos="443"/>
          <w:tab w:val="right" w:pos="9061"/>
        </w:tabs>
        <w:rPr>
          <w:rFonts w:eastAsiaTheme="minorEastAsia"/>
          <w:b w:val="0"/>
          <w:bCs w:val="0"/>
          <w:caps w:val="0"/>
          <w:noProof/>
          <w:u w:val="none"/>
          <w:lang w:eastAsia="ca-ES"/>
        </w:rPr>
      </w:pPr>
      <w:hyperlink w:anchor="_Toc465293528" w:history="1">
        <w:r w:rsidR="00752E4C" w:rsidRPr="00D0406E">
          <w:rPr>
            <w:rStyle w:val="Enlla"/>
            <w:noProof/>
            <w14:cntxtAlts/>
          </w:rPr>
          <w:t>14</w:t>
        </w:r>
        <w:r w:rsidR="00752E4C">
          <w:rPr>
            <w:rFonts w:eastAsiaTheme="minorEastAsia"/>
            <w:b w:val="0"/>
            <w:bCs w:val="0"/>
            <w:caps w:val="0"/>
            <w:noProof/>
            <w:u w:val="none"/>
            <w:lang w:eastAsia="ca-ES"/>
          </w:rPr>
          <w:tab/>
        </w:r>
        <w:r w:rsidR="00752E4C" w:rsidRPr="00D0406E">
          <w:rPr>
            <w:rStyle w:val="Enlla"/>
            <w:noProof/>
          </w:rPr>
          <w:t>Index de gràfics</w:t>
        </w:r>
        <w:r w:rsidR="00752E4C">
          <w:rPr>
            <w:noProof/>
            <w:webHidden/>
          </w:rPr>
          <w:tab/>
        </w:r>
        <w:r w:rsidR="00752E4C">
          <w:rPr>
            <w:noProof/>
            <w:webHidden/>
          </w:rPr>
          <w:fldChar w:fldCharType="begin"/>
        </w:r>
        <w:r w:rsidR="00752E4C">
          <w:rPr>
            <w:noProof/>
            <w:webHidden/>
          </w:rPr>
          <w:instrText xml:space="preserve"> PAGEREF _Toc465293528 \h </w:instrText>
        </w:r>
        <w:r w:rsidR="00752E4C">
          <w:rPr>
            <w:noProof/>
            <w:webHidden/>
          </w:rPr>
        </w:r>
        <w:r w:rsidR="00752E4C">
          <w:rPr>
            <w:noProof/>
            <w:webHidden/>
          </w:rPr>
          <w:fldChar w:fldCharType="separate"/>
        </w:r>
        <w:r w:rsidR="00752E4C">
          <w:rPr>
            <w:noProof/>
            <w:webHidden/>
          </w:rPr>
          <w:t>259</w:t>
        </w:r>
        <w:r w:rsidR="00752E4C">
          <w:rPr>
            <w:noProof/>
            <w:webHidden/>
          </w:rPr>
          <w:fldChar w:fldCharType="end"/>
        </w:r>
      </w:hyperlink>
    </w:p>
    <w:p w:rsidR="00B467BC" w:rsidRPr="00CE36AA" w:rsidRDefault="002A4649">
      <w:pPr>
        <w:jc w:val="left"/>
      </w:pPr>
      <w:r>
        <w:fldChar w:fldCharType="end"/>
      </w:r>
    </w:p>
    <w:p w:rsidR="0040113E" w:rsidRPr="009C583B" w:rsidRDefault="00251955" w:rsidP="0070401F">
      <w:pPr>
        <w:pStyle w:val="Ttol1"/>
      </w:pPr>
      <w:bookmarkStart w:id="0" w:name="_Toc465293328"/>
      <w:bookmarkStart w:id="1" w:name="_Toc464685599"/>
      <w:bookmarkStart w:id="2" w:name="_Toc461547369"/>
      <w:r>
        <w:lastRenderedPageBreak/>
        <w:t>presentació</w:t>
      </w:r>
      <w:bookmarkEnd w:id="0"/>
    </w:p>
    <w:p w:rsidR="00D964BA" w:rsidRDefault="00D964BA" w:rsidP="0040113E">
      <w:pPr>
        <w:rPr>
          <w:sz w:val="20"/>
        </w:rPr>
      </w:pPr>
    </w:p>
    <w:p w:rsidR="0040113E" w:rsidRPr="00D964BA" w:rsidRDefault="0040113E" w:rsidP="0040113E">
      <w:pPr>
        <w:rPr>
          <w:sz w:val="20"/>
        </w:rPr>
      </w:pPr>
      <w:r w:rsidRPr="00D964BA">
        <w:rPr>
          <w:sz w:val="20"/>
        </w:rPr>
        <w:t xml:space="preserve">La Generalitat de Catalunya va assumir l’any 1984 les competències en matèria d’execució penal i, a diferència de la resta de comunitats autònomes, és l’única que gestiona la direcció, l’organització i la inspecció dels serveis d’execució penal. </w:t>
      </w:r>
    </w:p>
    <w:p w:rsidR="0040113E" w:rsidRPr="00D964BA" w:rsidRDefault="0040113E" w:rsidP="0040113E">
      <w:pPr>
        <w:rPr>
          <w:sz w:val="20"/>
        </w:rPr>
      </w:pPr>
      <w:r w:rsidRPr="00D964BA">
        <w:rPr>
          <w:sz w:val="20"/>
        </w:rPr>
        <w:t xml:space="preserve">L’autonomia de gestió i els elements característics de la societat catalana han permès que Catalunya anés forjant, al llarg dels més de trenta anys d’exercici competencial, un sistema d’execució penal propi que avui és referent a escala mundial pels seus resultats en termes de baixa reincidència. </w:t>
      </w:r>
    </w:p>
    <w:p w:rsidR="0040113E" w:rsidRPr="00D964BA" w:rsidRDefault="0040113E" w:rsidP="0040113E">
      <w:pPr>
        <w:rPr>
          <w:sz w:val="20"/>
        </w:rPr>
      </w:pPr>
      <w:r w:rsidRPr="00D964BA">
        <w:rPr>
          <w:sz w:val="20"/>
        </w:rPr>
        <w:t xml:space="preserve">La base de l’abordatge estratègic d’aquests resultats és el nostre model, basat en l’alta sensibilitat envers la missió rehabilitadora i de reinserció. Aquesta missió es porta a terme mitjançant el disseny </w:t>
      </w:r>
      <w:r w:rsidR="00AC2762">
        <w:rPr>
          <w:sz w:val="20"/>
        </w:rPr>
        <w:t>de polítiques</w:t>
      </w:r>
      <w:r w:rsidRPr="00D964BA">
        <w:rPr>
          <w:sz w:val="20"/>
        </w:rPr>
        <w:t xml:space="preserve"> de compromís social que eviten l’exclusió i la marginalitat. I això s’ha aconseguit implicant de forma permanent institucions externes i entitats sense ànim de lucre per aconseguir la coresponsabilitat del conjunt de persones que col•laboren en la tasca de la reinserció social.</w:t>
      </w:r>
    </w:p>
    <w:p w:rsidR="0040113E" w:rsidRPr="00D964BA" w:rsidRDefault="0040113E" w:rsidP="0040113E">
      <w:pPr>
        <w:rPr>
          <w:sz w:val="20"/>
        </w:rPr>
      </w:pPr>
      <w:r w:rsidRPr="00D964BA">
        <w:rPr>
          <w:sz w:val="20"/>
        </w:rPr>
        <w:t>Aquests bons resultats són fruit de decisions estratègiques i organitzaves que el Govern de Catalunya ha anat prenent al llarg dels anys gràcies a l’autonomia de gestió i a l’aplicació de mil</w:t>
      </w:r>
      <w:r w:rsidR="00AC2762">
        <w:rPr>
          <w:sz w:val="20"/>
        </w:rPr>
        <w:t>lores dels sistemes de treball i també a l’esforç i professionalitat del conjunt de professionals del sistema.</w:t>
      </w:r>
    </w:p>
    <w:p w:rsidR="0040113E" w:rsidRPr="00D964BA" w:rsidRDefault="0040113E" w:rsidP="0040113E">
      <w:pPr>
        <w:rPr>
          <w:sz w:val="20"/>
        </w:rPr>
      </w:pPr>
      <w:r w:rsidRPr="00D964BA">
        <w:rPr>
          <w:sz w:val="20"/>
        </w:rPr>
        <w:t xml:space="preserve">La presa de decisions sobre els recursos personals, organitzatius, tècnics i patrimonials necessaris ha estat positiva en termes de resultats, tot i que el sistema també té algunes disfuncions i pràctiques que cal revisar. Ens plantegem especialment posar el focus en el rigor de la gestió i l’organització dels recursos per tal que aquests bons resultats vagin acompanyats de les polítiques necessàries d’inversió i despesa que ens permetin ser no només eficaços sinó també </w:t>
      </w:r>
      <w:r w:rsidR="00CC16AE">
        <w:rPr>
          <w:sz w:val="20"/>
        </w:rPr>
        <w:t xml:space="preserve">el més </w:t>
      </w:r>
      <w:r w:rsidRPr="00D964BA">
        <w:rPr>
          <w:sz w:val="20"/>
        </w:rPr>
        <w:t>eficients</w:t>
      </w:r>
      <w:r w:rsidR="00CC16AE">
        <w:rPr>
          <w:sz w:val="20"/>
        </w:rPr>
        <w:t xml:space="preserve"> possible</w:t>
      </w:r>
      <w:r w:rsidRPr="00D964BA">
        <w:rPr>
          <w:sz w:val="20"/>
        </w:rPr>
        <w:t xml:space="preserve">. </w:t>
      </w:r>
    </w:p>
    <w:p w:rsidR="0040113E" w:rsidRPr="00D964BA" w:rsidRDefault="0040113E" w:rsidP="0040113E">
      <w:pPr>
        <w:rPr>
          <w:sz w:val="20"/>
        </w:rPr>
      </w:pPr>
      <w:r w:rsidRPr="00D964BA">
        <w:rPr>
          <w:sz w:val="20"/>
        </w:rPr>
        <w:t>Teniu a les mans el document de les bases del Llibre blanc que pretén ser una síntesi de l’evolució del s</w:t>
      </w:r>
      <w:r w:rsidR="00DB496B">
        <w:rPr>
          <w:sz w:val="20"/>
        </w:rPr>
        <w:t xml:space="preserve">istema durant els darrers anys i </w:t>
      </w:r>
      <w:r w:rsidRPr="00D964BA">
        <w:rPr>
          <w:sz w:val="20"/>
        </w:rPr>
        <w:t>ens ha de permetre explicar on som i com hi hem arribat, i que planteja els p</w:t>
      </w:r>
      <w:r w:rsidR="00DB496B">
        <w:rPr>
          <w:sz w:val="20"/>
        </w:rPr>
        <w:t xml:space="preserve">rincipals reptes de futur per </w:t>
      </w:r>
      <w:r w:rsidRPr="00D964BA">
        <w:rPr>
          <w:sz w:val="20"/>
        </w:rPr>
        <w:t>assegurar les fortale</w:t>
      </w:r>
      <w:r w:rsidR="00DB496B">
        <w:rPr>
          <w:sz w:val="20"/>
        </w:rPr>
        <w:t>ses i establir les millores contí</w:t>
      </w:r>
      <w:r w:rsidRPr="00D964BA">
        <w:rPr>
          <w:sz w:val="20"/>
        </w:rPr>
        <w:t xml:space="preserve">nues necessàries que el facin més sòlid i eficient. </w:t>
      </w:r>
    </w:p>
    <w:p w:rsidR="0040113E" w:rsidRPr="00D964BA" w:rsidRDefault="0040113E" w:rsidP="0040113E">
      <w:pPr>
        <w:rPr>
          <w:sz w:val="20"/>
        </w:rPr>
      </w:pPr>
      <w:r w:rsidRPr="00D964BA">
        <w:rPr>
          <w:sz w:val="20"/>
        </w:rPr>
        <w:t xml:space="preserve">A partir d’aquest primer document, cal una reflexió metòdica, pausada, serena i amb tots els elements que calguin per aconseguir l’objectiu essencial, que és assegurar la solidesa del sistema i la millora contínua. Un dels instruments apropiats per fer-ho és la redacció d’un llibre blanc que haurà d’acabar concretant de forma clara accions, calendaris i gestió de recursos.  </w:t>
      </w:r>
    </w:p>
    <w:p w:rsidR="0040113E" w:rsidRPr="00D964BA" w:rsidRDefault="0040113E" w:rsidP="0040113E">
      <w:pPr>
        <w:rPr>
          <w:sz w:val="20"/>
        </w:rPr>
      </w:pPr>
      <w:r w:rsidRPr="00D964BA">
        <w:rPr>
          <w:sz w:val="20"/>
        </w:rPr>
        <w:t>L’anàlisi que generarem a partir d’ara no ha de perdre de vista la importància de les persones dins del sistema. Un dels grans reptes que ens hem de plantejar és l’augment de l’autoestima i el reconeixement professional públic de tots els professionals que presten aquest servei a la societat.</w:t>
      </w:r>
    </w:p>
    <w:p w:rsidR="0040113E" w:rsidRPr="00D964BA" w:rsidRDefault="0040113E" w:rsidP="0040113E">
      <w:pPr>
        <w:rPr>
          <w:sz w:val="20"/>
        </w:rPr>
      </w:pPr>
      <w:r w:rsidRPr="00D964BA">
        <w:rPr>
          <w:sz w:val="20"/>
        </w:rPr>
        <w:t>Per això no vull deixar passar l’oportunitat d’agrair la seva contribució a totes les persones que han impulsat i prestat el seu servei a aquest sistema d’execució penal durant tots aquests anys, tant als que encara hi só</w:t>
      </w:r>
      <w:r w:rsidR="00AC2762">
        <w:rPr>
          <w:sz w:val="20"/>
        </w:rPr>
        <w:t>n com a tots els que hi han col·</w:t>
      </w:r>
      <w:r w:rsidRPr="00D964BA">
        <w:rPr>
          <w:sz w:val="20"/>
        </w:rPr>
        <w:t xml:space="preserve">laborat en algun moment passat. </w:t>
      </w:r>
    </w:p>
    <w:p w:rsidR="0040113E" w:rsidRPr="00D964BA" w:rsidRDefault="00AC2762" w:rsidP="0040113E">
      <w:pPr>
        <w:rPr>
          <w:sz w:val="20"/>
        </w:rPr>
      </w:pPr>
      <w:r>
        <w:rPr>
          <w:sz w:val="20"/>
        </w:rPr>
        <w:t>Finalment, v</w:t>
      </w:r>
      <w:r w:rsidR="0040113E" w:rsidRPr="00D964BA">
        <w:rPr>
          <w:sz w:val="20"/>
        </w:rPr>
        <w:t>ull reconèixer explí</w:t>
      </w:r>
      <w:r>
        <w:rPr>
          <w:sz w:val="20"/>
        </w:rPr>
        <w:t>citament a l’ampli equip de col·</w:t>
      </w:r>
      <w:r w:rsidR="0040113E" w:rsidRPr="00D964BA">
        <w:rPr>
          <w:sz w:val="20"/>
        </w:rPr>
        <w:t xml:space="preserve">laboradors -convidats per la seva experiència i especialització- la dedicació i l’esforç en l’elaboració d’aquestes bases i la predisposició mostrada a seguir col•laborant en les fases successives. </w:t>
      </w:r>
    </w:p>
    <w:p w:rsidR="0040113E" w:rsidRDefault="0040113E" w:rsidP="0040113E">
      <w:pPr>
        <w:rPr>
          <w:sz w:val="20"/>
        </w:rPr>
      </w:pPr>
      <w:r w:rsidRPr="00D964BA">
        <w:rPr>
          <w:sz w:val="20"/>
        </w:rPr>
        <w:t>Estic convençut que entre tots farem una bona feina durant els propers mesos. Endavant!</w:t>
      </w:r>
    </w:p>
    <w:p w:rsidR="00D964BA" w:rsidRPr="00D964BA" w:rsidRDefault="00D964BA" w:rsidP="0040113E">
      <w:pPr>
        <w:rPr>
          <w:sz w:val="20"/>
        </w:rPr>
      </w:pPr>
    </w:p>
    <w:p w:rsidR="0040113E" w:rsidRPr="00D964BA" w:rsidRDefault="0040113E" w:rsidP="00D964BA">
      <w:pPr>
        <w:jc w:val="right"/>
        <w:rPr>
          <w:sz w:val="20"/>
        </w:rPr>
      </w:pPr>
      <w:r w:rsidRPr="00D964BA">
        <w:rPr>
          <w:sz w:val="20"/>
        </w:rPr>
        <w:t>Adrià Comella</w:t>
      </w:r>
    </w:p>
    <w:p w:rsidR="0040113E" w:rsidRPr="00D964BA" w:rsidRDefault="00DB496B" w:rsidP="00D964BA">
      <w:pPr>
        <w:jc w:val="right"/>
        <w:rPr>
          <w:sz w:val="20"/>
        </w:rPr>
      </w:pPr>
      <w:r>
        <w:rPr>
          <w:sz w:val="20"/>
        </w:rPr>
        <w:t>Secretari g</w:t>
      </w:r>
      <w:bookmarkStart w:id="3" w:name="_GoBack"/>
      <w:bookmarkEnd w:id="3"/>
      <w:r w:rsidR="0040113E" w:rsidRPr="00D964BA">
        <w:rPr>
          <w:sz w:val="20"/>
        </w:rPr>
        <w:t>eneral</w:t>
      </w:r>
    </w:p>
    <w:p w:rsidR="0040113E" w:rsidRPr="0040113E" w:rsidRDefault="0040113E" w:rsidP="0040113E"/>
    <w:p w:rsidR="00FA7750" w:rsidRDefault="00FA7750" w:rsidP="0070401F">
      <w:pPr>
        <w:pStyle w:val="Ttol1"/>
      </w:pPr>
      <w:bookmarkStart w:id="4" w:name="_Toc465293329"/>
      <w:r>
        <w:lastRenderedPageBreak/>
        <w:t>INTRODUCCIÓ</w:t>
      </w:r>
      <w:bookmarkEnd w:id="4"/>
      <w:r>
        <w:t xml:space="preserve"> </w:t>
      </w:r>
    </w:p>
    <w:p w:rsidR="00FA7750" w:rsidRPr="00863774" w:rsidRDefault="00FA7750" w:rsidP="00FA7750">
      <w:pPr>
        <w:rPr>
          <w:sz w:val="20"/>
        </w:rPr>
      </w:pPr>
      <w:r w:rsidRPr="00863774">
        <w:rPr>
          <w:sz w:val="20"/>
        </w:rPr>
        <w:t xml:space="preserve">La Generalitat de Catalunya va començar a exercir les competències en l’àmbit penitenciari mitjançant el Reial decret 3482/1983, de 28 de desembre. Així, doncs, des d’aquesta data es va començar a forjar un model d’execució penal propi, que s’ha anat desenvolupant fins als nostres dies, i on molts professionals i responsables polítics, en diferents etapes, hi han aportat coneixement. </w:t>
      </w:r>
    </w:p>
    <w:p w:rsidR="00FA7750" w:rsidRDefault="00FA7750" w:rsidP="00FA7750">
      <w:pPr>
        <w:rPr>
          <w:sz w:val="20"/>
        </w:rPr>
      </w:pPr>
      <w:r w:rsidRPr="00863774">
        <w:rPr>
          <w:sz w:val="20"/>
        </w:rPr>
        <w:t>Avui, podem afirmar que el nostre model d’execució penal té un molt bon nivell de qualitat i és reconegut per molts països en el context internacional. Tanmateix, hem de mantenir i exigir-nos sempre una actitud constant de millora, d’innovació i de creativitat que ens permeti avançar i ser cada vegada més efectius en l’objectiu de la reinserció.</w:t>
      </w:r>
    </w:p>
    <w:p w:rsidR="00FC5E2C" w:rsidRPr="00FC5E2C" w:rsidRDefault="00FC5E2C" w:rsidP="00FC5E2C">
      <w:pPr>
        <w:rPr>
          <w:sz w:val="20"/>
        </w:rPr>
      </w:pPr>
      <w:r w:rsidRPr="00FC5E2C">
        <w:rPr>
          <w:sz w:val="20"/>
        </w:rPr>
        <w:t xml:space="preserve">Amb el Reial decret 3482/1983, de 28 de desembre comença l’exercici de les competències en matèria penitenciària. Al llarg d’aquest recorregut, molts professionals i responsables polítics, en diferents etapes, han perfilat un model d’execució penal reconegut en el context internacional. </w:t>
      </w:r>
    </w:p>
    <w:p w:rsidR="00FC5E2C" w:rsidRPr="00FC5E2C" w:rsidRDefault="00FC5E2C" w:rsidP="00FC5E2C">
      <w:pPr>
        <w:rPr>
          <w:sz w:val="20"/>
        </w:rPr>
      </w:pPr>
      <w:r w:rsidRPr="00FC5E2C">
        <w:rPr>
          <w:sz w:val="20"/>
        </w:rPr>
        <w:t>Una actitud constant de millora, d’innovació i de creativitat que permeti avançar i ser cada vegada més efectius en l’objectiu de la reinserció, ha estat una màxima al llarg d’aquests anys.</w:t>
      </w:r>
    </w:p>
    <w:p w:rsidR="00FA7750" w:rsidRPr="00863774" w:rsidRDefault="00FA7750" w:rsidP="00FA7750">
      <w:pPr>
        <w:rPr>
          <w:sz w:val="20"/>
        </w:rPr>
      </w:pPr>
      <w:r w:rsidRPr="00863774">
        <w:rPr>
          <w:sz w:val="20"/>
        </w:rPr>
        <w:t>És per això que, en aquesta nova etapa, hem valorat la necessitat d’obrir un procés de reflexió serè i constructiu, que ens permeti analitzar d’on venim i concretar, alhora, cap on volem anar i com ho volem fer.</w:t>
      </w:r>
    </w:p>
    <w:p w:rsidR="00FA7750" w:rsidRPr="00863774" w:rsidRDefault="00FA7750" w:rsidP="00FA7750">
      <w:pPr>
        <w:rPr>
          <w:sz w:val="20"/>
        </w:rPr>
      </w:pPr>
      <w:r w:rsidRPr="00863774">
        <w:rPr>
          <w:sz w:val="20"/>
        </w:rPr>
        <w:t>Tenim la pretensió que aquest procés pugui acabar en un document en format de llibre blanc, que amb una metodologia àmpliament participativa, ens permeti avançar en la millora de la nostra organització i en una millor eficàcia, eficiència i efectivitat de la nostra tasca.</w:t>
      </w:r>
    </w:p>
    <w:p w:rsidR="00FA7750" w:rsidRPr="00863774" w:rsidRDefault="00FA7750" w:rsidP="00FA7750">
      <w:pPr>
        <w:rPr>
          <w:sz w:val="20"/>
        </w:rPr>
      </w:pPr>
      <w:r w:rsidRPr="00863774">
        <w:rPr>
          <w:sz w:val="20"/>
        </w:rPr>
        <w:t>Tenim molt clara la nostra missió i la nostra visió, i quines són les línies bàsiques i estratègiques d’actuació, i estem convençuts que aquest procés de reflexió ens pot aportar un clar sentit de millora i de progrés per tal de qualificar la nostra intervenció.</w:t>
      </w:r>
    </w:p>
    <w:p w:rsidR="00FA7750" w:rsidRPr="00863774" w:rsidRDefault="00FA7750" w:rsidP="00FA7750">
      <w:pPr>
        <w:rPr>
          <w:sz w:val="20"/>
        </w:rPr>
      </w:pPr>
      <w:r w:rsidRPr="00863774">
        <w:rPr>
          <w:sz w:val="20"/>
        </w:rPr>
        <w:t>Visualitzem la missió de la nostra organització com una aposta decidida per acompanyar els processos de reinserció de les persones internes, en el marc del mandat d’execució penal.</w:t>
      </w:r>
    </w:p>
    <w:p w:rsidR="00FA7750" w:rsidRPr="00863774" w:rsidRDefault="00FA7750" w:rsidP="00FA7750">
      <w:pPr>
        <w:rPr>
          <w:sz w:val="20"/>
        </w:rPr>
      </w:pPr>
      <w:r w:rsidRPr="00863774">
        <w:rPr>
          <w:sz w:val="20"/>
        </w:rPr>
        <w:t>Apostem decididament per aquesta missió, que té un valor social molt rellevant i transformador, i que en ella mateixa constitueix una veritable política social.</w:t>
      </w:r>
    </w:p>
    <w:p w:rsidR="00FA7750" w:rsidRPr="00863774" w:rsidRDefault="00FA7750" w:rsidP="00FA7750">
      <w:pPr>
        <w:rPr>
          <w:sz w:val="20"/>
        </w:rPr>
      </w:pPr>
      <w:r w:rsidRPr="00863774">
        <w:rPr>
          <w:sz w:val="20"/>
        </w:rPr>
        <w:t>Tenim la convicció que des del món de l’execució penal podem contribuir a construir una societat més segura, justa i integradora.</w:t>
      </w:r>
    </w:p>
    <w:p w:rsidR="00FA7750" w:rsidRPr="00863774" w:rsidRDefault="00FA7750" w:rsidP="00FA7750">
      <w:pPr>
        <w:rPr>
          <w:sz w:val="20"/>
        </w:rPr>
      </w:pPr>
      <w:r w:rsidRPr="00863774">
        <w:rPr>
          <w:sz w:val="20"/>
        </w:rPr>
        <w:t>Volem que el sistema penitenciari català es caracteritzi per un veritable impuls a la reinserció i a la rehabilitació, tot garantint la convivència i la seguretat, amb absolut i escrupolós respecte als drets humans i a la dignitat de les persones.</w:t>
      </w:r>
    </w:p>
    <w:p w:rsidR="00FA7750" w:rsidRPr="00863774" w:rsidRDefault="00FA7750" w:rsidP="00FA7750">
      <w:pPr>
        <w:rPr>
          <w:sz w:val="20"/>
        </w:rPr>
      </w:pPr>
      <w:r w:rsidRPr="00863774">
        <w:rPr>
          <w:sz w:val="20"/>
        </w:rPr>
        <w:t>Hem de posar les persones en el centre de la nostra actuació i apropar-nos a la realitat i singularitat de cadascuna d’elles per ajudar en el seu desenvolupament i creixement personal, amb l’objectiu d’assolir el desistiment de la carrera delictiva i garantir expectatives de futur.</w:t>
      </w:r>
    </w:p>
    <w:p w:rsidR="00FA7750" w:rsidRPr="00863774" w:rsidRDefault="00FA7750" w:rsidP="00FA7750">
      <w:pPr>
        <w:rPr>
          <w:sz w:val="20"/>
        </w:rPr>
      </w:pPr>
      <w:r w:rsidRPr="00863774">
        <w:rPr>
          <w:sz w:val="20"/>
        </w:rPr>
        <w:t xml:space="preserve">Apostem amb convicció per la intervenció amb els interns i les internes, orientada a millorar les seves capacitats i a treballar les àrees deficitàries i els motius que els han portat a delinquir, per tal d’oferir-los eines i recursos per a la reinserció. </w:t>
      </w:r>
    </w:p>
    <w:p w:rsidR="00FA7750" w:rsidRPr="00863774" w:rsidRDefault="00FA7750" w:rsidP="00FA7750">
      <w:pPr>
        <w:rPr>
          <w:sz w:val="20"/>
        </w:rPr>
      </w:pPr>
      <w:r w:rsidRPr="00863774">
        <w:rPr>
          <w:sz w:val="20"/>
        </w:rPr>
        <w:t>Treballem organitzant els centres a partir de mòduls residencials amb una dimensió que permeti avaluar les necessitats de cada intern i interna, i dissenyar un programa individual de tractament (PIT) que marqui els objectius a complir per a la seva evolució en el seu itinerari de reinserció.</w:t>
      </w:r>
    </w:p>
    <w:p w:rsidR="00FA7750" w:rsidRPr="00863774" w:rsidRDefault="00FA7750" w:rsidP="00FA7750">
      <w:pPr>
        <w:rPr>
          <w:sz w:val="20"/>
        </w:rPr>
      </w:pPr>
      <w:r w:rsidRPr="00863774">
        <w:rPr>
          <w:sz w:val="20"/>
        </w:rPr>
        <w:t>Continuem aprofundint en la idea de configurar l’organització ambiental dels centres com un sistema que ofereixi oportunitats d’aprenentatge i que incentivi la conducta pro social.</w:t>
      </w:r>
    </w:p>
    <w:p w:rsidR="00FA7750" w:rsidRPr="00863774" w:rsidRDefault="00FA7750" w:rsidP="00FA7750">
      <w:pPr>
        <w:rPr>
          <w:sz w:val="20"/>
        </w:rPr>
      </w:pPr>
      <w:r w:rsidRPr="00863774">
        <w:rPr>
          <w:sz w:val="20"/>
        </w:rPr>
        <w:t>Apostem per la idea que la seguretat es genera, també, amb la normalització i la dinamització de la vida dels centres penitenciaris. És a dir, amb la intervenció amb programes de tractament, formació, ocupació i activitats. Volem un model de seguretat dinàmica.</w:t>
      </w:r>
    </w:p>
    <w:p w:rsidR="00FA7750" w:rsidRPr="00863774" w:rsidRDefault="00FA7750" w:rsidP="00FA7750">
      <w:pPr>
        <w:rPr>
          <w:sz w:val="20"/>
        </w:rPr>
      </w:pPr>
      <w:r w:rsidRPr="00863774">
        <w:rPr>
          <w:sz w:val="20"/>
        </w:rPr>
        <w:t>Orientem la nostra tasca, perquè tots els professionals que intervenim en l’àmbit penitenciari, sigui quina sigui la nostra funció, treballem fermament compromesos, compartint els objectius formatius, educatius i terapèutics de l’organització, tot garantint la custodia i la seguretat.</w:t>
      </w:r>
    </w:p>
    <w:p w:rsidR="00FA7750" w:rsidRPr="00863774" w:rsidRDefault="00FA7750" w:rsidP="00FA7750">
      <w:pPr>
        <w:rPr>
          <w:sz w:val="20"/>
        </w:rPr>
      </w:pPr>
      <w:r w:rsidRPr="00863774">
        <w:rPr>
          <w:sz w:val="20"/>
        </w:rPr>
        <w:lastRenderedPageBreak/>
        <w:t>Tots els professionals podem i hem de ser agents de canvi. Tots podem promoure millores en la conducta, hàbits i valors dels interns i les internes.</w:t>
      </w:r>
    </w:p>
    <w:p w:rsidR="00FA7750" w:rsidRPr="00863774" w:rsidRDefault="00FA7750" w:rsidP="00FA7750">
      <w:pPr>
        <w:rPr>
          <w:sz w:val="20"/>
        </w:rPr>
      </w:pPr>
      <w:r w:rsidRPr="00863774">
        <w:rPr>
          <w:sz w:val="20"/>
        </w:rPr>
        <w:t>I per cercar l’eficàcia en l’objectiu de la reinserció, treballem amb una estreta col•laboració amb les entitats del tercer sector i de la societat civil en general, per tal de mantenir els vincles amb els recursos comunitaris i el teixit social. Hem de sumar. La reinserció és cosa de tots.</w:t>
      </w:r>
    </w:p>
    <w:p w:rsidR="00FA7750" w:rsidRPr="00863774" w:rsidRDefault="00FA7750" w:rsidP="00FA7750">
      <w:pPr>
        <w:rPr>
          <w:sz w:val="20"/>
        </w:rPr>
      </w:pPr>
      <w:r w:rsidRPr="00863774">
        <w:rPr>
          <w:sz w:val="20"/>
        </w:rPr>
        <w:t xml:space="preserve">Volem ser molt exigents, i comprometre’ns amb la bona gestió, treballant per una administració que tingui molt present la transparència, l’ètica i els valors i que sigui un instrument per poder avançar en les polítiques socials al servei de les persones. </w:t>
      </w:r>
    </w:p>
    <w:p w:rsidR="00FA7750" w:rsidRPr="00863774" w:rsidRDefault="00FA7750" w:rsidP="00FA7750">
      <w:pPr>
        <w:rPr>
          <w:sz w:val="20"/>
        </w:rPr>
      </w:pPr>
      <w:r w:rsidRPr="00863774">
        <w:rPr>
          <w:sz w:val="20"/>
        </w:rPr>
        <w:t>Comptem amb molt bons professionals de diferents disciplines, i aquest és un gran actiu. Cal posar en valor la tasca que duen a terme.</w:t>
      </w:r>
    </w:p>
    <w:p w:rsidR="00FA7750" w:rsidRPr="00863774" w:rsidRDefault="00FA7750" w:rsidP="00FA7750">
      <w:pPr>
        <w:rPr>
          <w:sz w:val="20"/>
        </w:rPr>
      </w:pPr>
      <w:r w:rsidRPr="00863774">
        <w:rPr>
          <w:sz w:val="20"/>
        </w:rPr>
        <w:t>La definició del nostre model d’intervenció ha d’integrar les funcions i l’especialització de cada col·lectiu de professionals, orientades, totes elles, a l’assoliment de la missió de l’organització.</w:t>
      </w:r>
    </w:p>
    <w:p w:rsidR="00FA7750" w:rsidRPr="00863774" w:rsidRDefault="00FA7750" w:rsidP="00FA7750">
      <w:pPr>
        <w:rPr>
          <w:sz w:val="20"/>
        </w:rPr>
      </w:pPr>
      <w:r w:rsidRPr="00863774">
        <w:rPr>
          <w:sz w:val="20"/>
        </w:rPr>
        <w:t>En aquesta nova etapa volem seguir desenvolupant aquest model, millorar-lo i fer-lo avançar per respondre als nous reptes que el dia a dia ens demanda. L’evolució i els canvis en els perfils de la població reclusa, les noves tipologies delictives, els canvis legislatius i socioeconòmics, els nous abordatges en el tractament, etc. Cal estar amatents i preparar-nos per poder respondre amb qualitat i solvència a aquests nous reptes.</w:t>
      </w:r>
    </w:p>
    <w:p w:rsidR="00FA7750" w:rsidRPr="00863774" w:rsidRDefault="00FA7750" w:rsidP="00FA7750">
      <w:pPr>
        <w:rPr>
          <w:sz w:val="20"/>
        </w:rPr>
      </w:pPr>
      <w:r w:rsidRPr="00863774">
        <w:rPr>
          <w:sz w:val="20"/>
        </w:rPr>
        <w:t>Tenim molt clars determinats eixos que volem que orientin aquest desenvolupament del model i els volem enriquir amb aquest procés de reflexió. En aquest sentit, en destacaria:</w:t>
      </w:r>
    </w:p>
    <w:p w:rsidR="00FA7750" w:rsidRPr="00863774" w:rsidRDefault="00FA7750" w:rsidP="00FA7750">
      <w:pPr>
        <w:pStyle w:val="Pargrafdellista"/>
        <w:numPr>
          <w:ilvl w:val="0"/>
          <w:numId w:val="100"/>
        </w:numPr>
        <w:rPr>
          <w:sz w:val="20"/>
        </w:rPr>
      </w:pPr>
      <w:r w:rsidRPr="00863774">
        <w:rPr>
          <w:sz w:val="20"/>
        </w:rPr>
        <w:t xml:space="preserve">La necessitat de mantenir una actitud de revisió i millora de la qualitat dels programes de tractament i les activitats i adequar-los a les necessitats actuals, amb l’objectiu d’obtenir millors índexs de reinserció. </w:t>
      </w:r>
    </w:p>
    <w:p w:rsidR="00FA7750" w:rsidRPr="00863774" w:rsidRDefault="00FA7750" w:rsidP="00FA7750">
      <w:pPr>
        <w:pStyle w:val="Pargrafdellista"/>
        <w:numPr>
          <w:ilvl w:val="0"/>
          <w:numId w:val="100"/>
        </w:numPr>
        <w:rPr>
          <w:sz w:val="20"/>
        </w:rPr>
      </w:pPr>
      <w:r w:rsidRPr="00863774">
        <w:rPr>
          <w:sz w:val="20"/>
        </w:rPr>
        <w:t>Continuar prioritzant l’activitat de la formació d’adults en els centres penitenciaris, com a eix essencial de la formació dels interns i internes.</w:t>
      </w:r>
    </w:p>
    <w:p w:rsidR="00FA7750" w:rsidRPr="00863774" w:rsidRDefault="00FA7750" w:rsidP="00FA7750">
      <w:pPr>
        <w:pStyle w:val="Pargrafdellista"/>
        <w:numPr>
          <w:ilvl w:val="0"/>
          <w:numId w:val="100"/>
        </w:numPr>
        <w:rPr>
          <w:sz w:val="20"/>
        </w:rPr>
      </w:pPr>
      <w:r w:rsidRPr="00863774">
        <w:rPr>
          <w:sz w:val="20"/>
        </w:rPr>
        <w:t>Prioritzar la transició presó-comunitat amb col•laboració amb les entitats del tercer sector potenciant l’acostament progressiu dels interns i les internes al medi social i potenciant el règim obert.</w:t>
      </w:r>
    </w:p>
    <w:p w:rsidR="00FA7750" w:rsidRPr="00863774" w:rsidRDefault="00FA7750" w:rsidP="00FA7750">
      <w:pPr>
        <w:pStyle w:val="Pargrafdellista"/>
        <w:numPr>
          <w:ilvl w:val="0"/>
          <w:numId w:val="100"/>
        </w:numPr>
        <w:rPr>
          <w:sz w:val="20"/>
        </w:rPr>
      </w:pPr>
      <w:r w:rsidRPr="00863774">
        <w:rPr>
          <w:sz w:val="20"/>
        </w:rPr>
        <w:t>Treballar en l’atenció especialitzada i individualitzada adreçada a col•lectius d’interns més vulnerables.</w:t>
      </w:r>
    </w:p>
    <w:p w:rsidR="00FA7750" w:rsidRPr="00863774" w:rsidRDefault="00FA7750" w:rsidP="00FA7750">
      <w:pPr>
        <w:pStyle w:val="Pargrafdellista"/>
        <w:numPr>
          <w:ilvl w:val="0"/>
          <w:numId w:val="100"/>
        </w:numPr>
        <w:rPr>
          <w:sz w:val="20"/>
        </w:rPr>
      </w:pPr>
      <w:r w:rsidRPr="00863774">
        <w:rPr>
          <w:sz w:val="20"/>
        </w:rPr>
        <w:t>Treballar la formació, l’ocupació i la inserció sociolaboral.</w:t>
      </w:r>
    </w:p>
    <w:p w:rsidR="00FA7750" w:rsidRPr="00863774" w:rsidRDefault="00FA7750" w:rsidP="00FA7750">
      <w:pPr>
        <w:pStyle w:val="Pargrafdellista"/>
        <w:numPr>
          <w:ilvl w:val="0"/>
          <w:numId w:val="100"/>
        </w:numPr>
        <w:rPr>
          <w:sz w:val="20"/>
        </w:rPr>
      </w:pPr>
      <w:r w:rsidRPr="00863774">
        <w:rPr>
          <w:sz w:val="20"/>
        </w:rPr>
        <w:t>Aprofundir en els programes de formació adreçats al personal per millorar la qualitat de la intervenció.</w:t>
      </w:r>
    </w:p>
    <w:p w:rsidR="00FA7750" w:rsidRPr="00863774" w:rsidRDefault="00FA7750" w:rsidP="00FA7750">
      <w:pPr>
        <w:pStyle w:val="Pargrafdellista"/>
        <w:numPr>
          <w:ilvl w:val="0"/>
          <w:numId w:val="100"/>
        </w:numPr>
        <w:rPr>
          <w:sz w:val="20"/>
        </w:rPr>
      </w:pPr>
      <w:r w:rsidRPr="00863774">
        <w:rPr>
          <w:sz w:val="20"/>
        </w:rPr>
        <w:t>Continuar avançant en la millora dels equipaments i de la qualitat de vida.</w:t>
      </w:r>
    </w:p>
    <w:p w:rsidR="00FA7750" w:rsidRPr="00863774" w:rsidRDefault="00FA7750" w:rsidP="00FA7750">
      <w:pPr>
        <w:pStyle w:val="Pargrafdellista"/>
        <w:numPr>
          <w:ilvl w:val="0"/>
          <w:numId w:val="100"/>
        </w:numPr>
        <w:rPr>
          <w:sz w:val="20"/>
        </w:rPr>
      </w:pPr>
      <w:r w:rsidRPr="00863774">
        <w:rPr>
          <w:sz w:val="20"/>
        </w:rPr>
        <w:t>Garantir els procediments de seguretat i la bona gestió dels centres i una adequada política de recursos humans.</w:t>
      </w:r>
    </w:p>
    <w:p w:rsidR="00FA7750" w:rsidRPr="00863774" w:rsidRDefault="00FA7750" w:rsidP="00FA7750">
      <w:pPr>
        <w:pStyle w:val="Pargrafdellista"/>
        <w:numPr>
          <w:ilvl w:val="0"/>
          <w:numId w:val="100"/>
        </w:numPr>
        <w:rPr>
          <w:sz w:val="20"/>
        </w:rPr>
      </w:pPr>
      <w:r w:rsidRPr="00863774">
        <w:rPr>
          <w:sz w:val="20"/>
        </w:rPr>
        <w:t>Aplicar noves tecnologies, nous sistemes d’informació: videoconferències, sistemes de gestió telemàtica, etc., per tal de modernitzar i agilitar la gestió de l’organització.</w:t>
      </w:r>
    </w:p>
    <w:p w:rsidR="00FA7750" w:rsidRPr="00863774" w:rsidRDefault="00FA7750" w:rsidP="00FA7750">
      <w:pPr>
        <w:pStyle w:val="Pargrafdellista"/>
        <w:numPr>
          <w:ilvl w:val="0"/>
          <w:numId w:val="100"/>
        </w:numPr>
        <w:rPr>
          <w:sz w:val="20"/>
        </w:rPr>
      </w:pPr>
      <w:r w:rsidRPr="00863774">
        <w:rPr>
          <w:sz w:val="20"/>
        </w:rPr>
        <w:t>Garantir una atenció sanitària de qualitat als centres penitenciaris.</w:t>
      </w:r>
    </w:p>
    <w:p w:rsidR="00FA7750" w:rsidRPr="00863774" w:rsidRDefault="00FA7750" w:rsidP="00FA7750">
      <w:pPr>
        <w:pStyle w:val="Pargrafdellista"/>
        <w:numPr>
          <w:ilvl w:val="0"/>
          <w:numId w:val="100"/>
        </w:numPr>
        <w:rPr>
          <w:sz w:val="20"/>
        </w:rPr>
      </w:pPr>
      <w:r w:rsidRPr="00863774">
        <w:rPr>
          <w:sz w:val="20"/>
        </w:rPr>
        <w:t>Treballar la reintegració progressiva al medi social i mantenir els vincles amb l’exterior durant el compliment potenciant els permisos de sortida i les sortides programades.</w:t>
      </w:r>
    </w:p>
    <w:p w:rsidR="00FA7750" w:rsidRPr="00863774" w:rsidRDefault="00FA7750" w:rsidP="00FA7750">
      <w:pPr>
        <w:rPr>
          <w:sz w:val="20"/>
        </w:rPr>
      </w:pPr>
      <w:r w:rsidRPr="00863774">
        <w:rPr>
          <w:sz w:val="20"/>
        </w:rPr>
        <w:t>En definitiva, tenim molt clar que el que dóna sentit a la nostra feina són les persones. Aquest és un projecte d’un valor social i humanitari molt rellevant. Volem potenciar l’esperit humanista del sistema penitenciari.</w:t>
      </w:r>
    </w:p>
    <w:p w:rsidR="00FA7750" w:rsidRPr="00863774" w:rsidRDefault="00FA7750" w:rsidP="00FA7750">
      <w:pPr>
        <w:rPr>
          <w:sz w:val="20"/>
        </w:rPr>
      </w:pPr>
      <w:r w:rsidRPr="00863774">
        <w:rPr>
          <w:sz w:val="20"/>
        </w:rPr>
        <w:t>Per seguir, doncs, treballant en aquesta línia, cercarem la col·laboració i la implicació de la societat civil, de les diferents administracions i dels diferents agents que poden contribuir a sumar en la rellevant i transcendent missió de la reinserció.</w:t>
      </w:r>
    </w:p>
    <w:p w:rsidR="00FA7750" w:rsidRPr="00863774" w:rsidRDefault="00FA7750" w:rsidP="00FA7750">
      <w:pPr>
        <w:rPr>
          <w:sz w:val="20"/>
        </w:rPr>
      </w:pPr>
      <w:r w:rsidRPr="00863774">
        <w:rPr>
          <w:sz w:val="20"/>
        </w:rPr>
        <w:t>Cal treballar, sens dubte, amb els ulls ben oberts i cercar models organitzatius i de gestió dels recursos que ens permetin ser més efectius en l’assoliment de la nostra missió.</w:t>
      </w:r>
    </w:p>
    <w:p w:rsidR="00FA7750" w:rsidRPr="00863774" w:rsidRDefault="00FA7750" w:rsidP="00FA7750">
      <w:pPr>
        <w:rPr>
          <w:sz w:val="20"/>
        </w:rPr>
      </w:pPr>
      <w:r w:rsidRPr="00863774">
        <w:rPr>
          <w:sz w:val="20"/>
        </w:rPr>
        <w:t>Estem convençuts que aquesta actitud ens farà més forts i millors i que aquest procés de reflexió ens permetrà créixer en qualitat.</w:t>
      </w:r>
    </w:p>
    <w:p w:rsidR="00FA7750" w:rsidRPr="00863774" w:rsidRDefault="00FA7750" w:rsidP="00FA7750">
      <w:pPr>
        <w:rPr>
          <w:sz w:val="20"/>
        </w:rPr>
      </w:pPr>
      <w:r w:rsidRPr="00863774">
        <w:rPr>
          <w:sz w:val="20"/>
        </w:rPr>
        <w:t xml:space="preserve">El procés d’elaboració d’un llibre blanc és una oportunitat de reflexió sobre el camí recorregut, sobre el present de l’organització i, per damunt de tot, una gran oportunitat de projecció de futur. Com </w:t>
      </w:r>
      <w:r w:rsidRPr="00863774">
        <w:rPr>
          <w:sz w:val="20"/>
        </w:rPr>
        <w:lastRenderedPageBreak/>
        <w:t xml:space="preserve">qualsevol organització, i partint de la base del que hem avançat en els diferents períodes, tenim qüestions importants a decidir que marcaran l’evolució del nostre model. </w:t>
      </w:r>
    </w:p>
    <w:p w:rsidR="00FA7750" w:rsidRPr="00863774" w:rsidRDefault="00FA7750" w:rsidP="00FA7750">
      <w:pPr>
        <w:rPr>
          <w:sz w:val="20"/>
        </w:rPr>
      </w:pPr>
      <w:r w:rsidRPr="00863774">
        <w:rPr>
          <w:sz w:val="20"/>
        </w:rPr>
        <w:t>Sens dubte, és un repte apassionant que volem abordar amb afany de millora i amb una actitud de revisió crítica i exigent.</w:t>
      </w:r>
    </w:p>
    <w:p w:rsidR="00FA7750" w:rsidRPr="00863774" w:rsidRDefault="00FA7750" w:rsidP="00FA7750">
      <w:pPr>
        <w:rPr>
          <w:sz w:val="20"/>
        </w:rPr>
      </w:pPr>
      <w:r w:rsidRPr="00863774">
        <w:rPr>
          <w:sz w:val="20"/>
        </w:rPr>
        <w:t>Volem que sigui un procés en el qual s’impliquin els diferents col·lectius de professionals que formem la nostra organització. En definitiva, que sigui un procés que reculli diferents visions i sensibilitats que ens ajudin a prendre decisions per tal de seguir desenvolupant el nostre model d’execució penal.</w:t>
      </w:r>
    </w:p>
    <w:p w:rsidR="00FA7750" w:rsidRPr="00863774" w:rsidRDefault="00FA7750" w:rsidP="00FA7750">
      <w:pPr>
        <w:rPr>
          <w:sz w:val="20"/>
        </w:rPr>
      </w:pPr>
      <w:r w:rsidRPr="00863774">
        <w:rPr>
          <w:sz w:val="20"/>
        </w:rPr>
        <w:t>Us animo, doncs, a participar-hi amb esperit constructiu. Tenim nous reptes i molta il·lusió per encarar-los. Junts avançarem.</w:t>
      </w:r>
    </w:p>
    <w:p w:rsidR="00FA7750" w:rsidRPr="00863774" w:rsidRDefault="00FA7750" w:rsidP="00FA7750">
      <w:pPr>
        <w:rPr>
          <w:sz w:val="20"/>
        </w:rPr>
      </w:pPr>
    </w:p>
    <w:p w:rsidR="00FA7750" w:rsidRPr="00863774" w:rsidRDefault="00FA7750" w:rsidP="00FA7750">
      <w:pPr>
        <w:jc w:val="right"/>
        <w:rPr>
          <w:sz w:val="20"/>
        </w:rPr>
      </w:pPr>
      <w:r w:rsidRPr="00863774">
        <w:rPr>
          <w:sz w:val="20"/>
        </w:rPr>
        <w:t>Amand Calderó i Montfort</w:t>
      </w:r>
    </w:p>
    <w:p w:rsidR="00FA7750" w:rsidRPr="00863774" w:rsidRDefault="00FA7750" w:rsidP="00FA7750">
      <w:pPr>
        <w:jc w:val="right"/>
        <w:rPr>
          <w:sz w:val="20"/>
        </w:rPr>
      </w:pPr>
      <w:r w:rsidRPr="00863774">
        <w:rPr>
          <w:sz w:val="20"/>
        </w:rPr>
        <w:t>Director general de Serveis Penitenciaris</w:t>
      </w:r>
    </w:p>
    <w:p w:rsidR="00FA7750" w:rsidRDefault="00FA7750" w:rsidP="00FA7750"/>
    <w:p w:rsidR="00FA7750" w:rsidRDefault="00FA7750" w:rsidP="00FA7750"/>
    <w:p w:rsidR="00FA7750" w:rsidRDefault="00FA7750" w:rsidP="00FA7750"/>
    <w:p w:rsidR="00FA7750" w:rsidRDefault="00FA7750" w:rsidP="00FA7750"/>
    <w:p w:rsidR="00FA7750" w:rsidRDefault="00FA7750" w:rsidP="00FA7750"/>
    <w:p w:rsidR="00FA7750" w:rsidRDefault="00FA7750" w:rsidP="00FA7750"/>
    <w:p w:rsidR="00FA7750" w:rsidRPr="00FA7750" w:rsidRDefault="00FA7750" w:rsidP="00FA7750"/>
    <w:p w:rsidR="00AE1078" w:rsidRDefault="00AE1078" w:rsidP="0070401F">
      <w:pPr>
        <w:pStyle w:val="Ttol1"/>
      </w:pPr>
      <w:bookmarkStart w:id="5" w:name="_Toc465293330"/>
      <w:r w:rsidRPr="00AE1078">
        <w:lastRenderedPageBreak/>
        <w:t>Context històric i marc normatiu</w:t>
      </w:r>
      <w:bookmarkEnd w:id="1"/>
      <w:bookmarkEnd w:id="5"/>
    </w:p>
    <w:p w:rsidR="00BE2F2A" w:rsidRPr="00BE2F2A" w:rsidRDefault="00BE2F2A" w:rsidP="00BE2F2A"/>
    <w:p w:rsidR="00AE1078" w:rsidRPr="004A399A" w:rsidRDefault="00AE1078" w:rsidP="0070401F">
      <w:pPr>
        <w:pStyle w:val="Ttol2"/>
      </w:pPr>
      <w:bookmarkStart w:id="6" w:name="_Toc464417678"/>
      <w:bookmarkStart w:id="7" w:name="_Toc464685600"/>
      <w:bookmarkStart w:id="8" w:name="_Toc465293331"/>
      <w:r w:rsidRPr="004A399A">
        <w:t xml:space="preserve">L’evolució </w:t>
      </w:r>
      <w:r w:rsidRPr="00AE1078">
        <w:t>del</w:t>
      </w:r>
      <w:r w:rsidRPr="004A399A">
        <w:t xml:space="preserve"> sistema penitenciari</w:t>
      </w:r>
      <w:bookmarkEnd w:id="6"/>
      <w:bookmarkEnd w:id="7"/>
      <w:bookmarkEnd w:id="8"/>
    </w:p>
    <w:p w:rsidR="00AE1078" w:rsidRPr="004A399A" w:rsidRDefault="00AE1078" w:rsidP="00AE1078">
      <w:r w:rsidRPr="004A399A">
        <w:t xml:space="preserve">El </w:t>
      </w:r>
      <w:r w:rsidRPr="004A399A">
        <w:rPr>
          <w:i/>
        </w:rPr>
        <w:t>Reglament del Servei de Presons</w:t>
      </w:r>
      <w:r w:rsidRPr="004A399A">
        <w:t xml:space="preserve"> de 1948 marca un punt d’inflexió en el funcionament formal del sistema penitenciari del règim franquista. Si més no, a nivell normatiu, es pot interpretar com el final de la postguerra en matèria penitenciària. La norma recull en un mateix text una amalgama d’elements militars, teològics i jurídics propis del discurs </w:t>
      </w:r>
      <w:r w:rsidRPr="004A399A">
        <w:rPr>
          <w:i/>
        </w:rPr>
        <w:t>redemptorista</w:t>
      </w:r>
      <w:r w:rsidRPr="004A399A">
        <w:t xml:space="preserve"> de l’època. El decret que el va aprovar fa referència a un </w:t>
      </w:r>
      <w:r w:rsidRPr="004A399A">
        <w:rPr>
          <w:rFonts w:cs="Arial"/>
        </w:rPr>
        <w:t>«</w:t>
      </w:r>
      <w:r w:rsidRPr="004A399A">
        <w:t>rigor científic</w:t>
      </w:r>
      <w:r w:rsidRPr="004A399A">
        <w:rPr>
          <w:rFonts w:cs="Arial"/>
        </w:rPr>
        <w:t>»</w:t>
      </w:r>
      <w:r w:rsidRPr="004A399A">
        <w:t xml:space="preserve"> congruent amb </w:t>
      </w:r>
      <w:r w:rsidRPr="004A399A">
        <w:rPr>
          <w:rFonts w:cs="Arial"/>
        </w:rPr>
        <w:t>«</w:t>
      </w:r>
      <w:r w:rsidRPr="004A399A">
        <w:t>les més avançades doctrines, que miren el delinqüent com una persona humana, susceptible de regeneració, mitjançant un procediment penitenciari, fonamentat en principis de caritat cristiana que l’allunyin del perill de la reincidència</w:t>
      </w:r>
      <w:r w:rsidRPr="004A399A">
        <w:rPr>
          <w:rFonts w:cs="Arial"/>
        </w:rPr>
        <w:t>»</w:t>
      </w:r>
      <w:r w:rsidRPr="004A399A">
        <w:t>.</w:t>
      </w:r>
    </w:p>
    <w:p w:rsidR="00AE1078" w:rsidRPr="004A399A" w:rsidRDefault="00AE1078" w:rsidP="00AE1078">
      <w:r w:rsidRPr="004A399A">
        <w:t xml:space="preserve">Amb el pas dels anys, successives reformes conduiran el sistema penitenciari franquista </w:t>
      </w:r>
      <w:r w:rsidRPr="004A399A">
        <w:rPr>
          <w:rFonts w:cs="Arial"/>
        </w:rPr>
        <w:t>–</w:t>
      </w:r>
      <w:r w:rsidRPr="004A399A">
        <w:t>si més no, formalment</w:t>
      </w:r>
      <w:r w:rsidRPr="004A399A">
        <w:rPr>
          <w:rFonts w:cs="Arial"/>
        </w:rPr>
        <w:t>–</w:t>
      </w:r>
      <w:r w:rsidRPr="004A399A">
        <w:t xml:space="preserve"> cap a un cert </w:t>
      </w:r>
      <w:r w:rsidRPr="004A399A">
        <w:rPr>
          <w:i/>
        </w:rPr>
        <w:t>cientifisme correccionalista</w:t>
      </w:r>
      <w:r w:rsidRPr="004A399A">
        <w:t>, situació que no començarà a canviar fins a la promulgació de la Llei orgànica 1/1979, general penitenciària (LOGP); la primera llei orgànica aprovada després de l’entrada en vigor de la Constitució.</w:t>
      </w:r>
    </w:p>
    <w:p w:rsidR="00AE1078" w:rsidRPr="004A399A" w:rsidRDefault="00AE1078" w:rsidP="00AE1078">
      <w:r w:rsidRPr="004A399A">
        <w:t>El model penitenciari predemocràtic imposava un entorn marcat per les restriccions del règim autoritari tardofranquista:</w:t>
      </w:r>
    </w:p>
    <w:p w:rsidR="00AE1078" w:rsidRPr="004A399A" w:rsidRDefault="00AE1078" w:rsidP="00904443">
      <w:pPr>
        <w:pStyle w:val="Pargrafdellista"/>
        <w:numPr>
          <w:ilvl w:val="0"/>
          <w:numId w:val="51"/>
        </w:numPr>
      </w:pPr>
      <w:r w:rsidRPr="004A399A">
        <w:t>Aïllament arquitectònic i social de l’entorn.</w:t>
      </w:r>
    </w:p>
    <w:p w:rsidR="00AE1078" w:rsidRPr="004A399A" w:rsidRDefault="00AE1078" w:rsidP="00904443">
      <w:pPr>
        <w:pStyle w:val="Pargrafdellista"/>
        <w:numPr>
          <w:ilvl w:val="0"/>
          <w:numId w:val="51"/>
        </w:numPr>
      </w:pPr>
      <w:r w:rsidRPr="004A399A">
        <w:t>Institució total plena, amb certes garanties bàsiques reglamentades.</w:t>
      </w:r>
    </w:p>
    <w:p w:rsidR="00AE1078" w:rsidRPr="004A399A" w:rsidRDefault="00AE1078" w:rsidP="00904443">
      <w:pPr>
        <w:pStyle w:val="Pargrafdellista"/>
        <w:numPr>
          <w:ilvl w:val="0"/>
          <w:numId w:val="51"/>
        </w:numPr>
      </w:pPr>
      <w:r w:rsidRPr="004A399A">
        <w:t xml:space="preserve">Gestió basada en el control dels </w:t>
      </w:r>
      <w:r w:rsidRPr="004A399A">
        <w:rPr>
          <w:rFonts w:cs="Arial"/>
        </w:rPr>
        <w:t>«</w:t>
      </w:r>
      <w:r w:rsidRPr="004A399A">
        <w:t>presos</w:t>
      </w:r>
      <w:r w:rsidRPr="004A399A">
        <w:rPr>
          <w:rFonts w:cs="Arial"/>
        </w:rPr>
        <w:t>»</w:t>
      </w:r>
      <w:r w:rsidRPr="004A399A">
        <w:t>: la força i el silenci com a formes de control, sense criteri de servei públic.</w:t>
      </w:r>
    </w:p>
    <w:p w:rsidR="00AE1078" w:rsidRPr="004A399A" w:rsidRDefault="00AE1078" w:rsidP="00904443">
      <w:pPr>
        <w:pStyle w:val="Pargrafdellista"/>
        <w:numPr>
          <w:ilvl w:val="0"/>
          <w:numId w:val="51"/>
        </w:numPr>
      </w:pPr>
      <w:r w:rsidRPr="004A399A">
        <w:t>Absència de rendiment de comptes davant la societat, domini d’un miratge d’autocontrol per part de la institució carcerària.</w:t>
      </w:r>
    </w:p>
    <w:p w:rsidR="00AE1078" w:rsidRPr="004A399A" w:rsidRDefault="00AE1078" w:rsidP="00AE1078">
      <w:pPr>
        <w:pStyle w:val="Pargrafdellista"/>
        <w:ind w:left="720"/>
      </w:pPr>
    </w:p>
    <w:p w:rsidR="00AE1078" w:rsidRPr="004A399A" w:rsidRDefault="00AE1078" w:rsidP="00AE1078">
      <w:pPr>
        <w:pStyle w:val="Pargrafdellista"/>
      </w:pPr>
      <w:r w:rsidRPr="004A399A">
        <w:t>La LOGP, filla del seu temps, promulgada en un moment en què hi havia una situació altament conflictiva a les presons, obeïa a la necessitat urgent d’un canvi de model, subsidiari del mandat constitucional (art. 25.2 de la Constitució espanyola) que el compliment de les penes i mesures privatives de llibertat s’havia d’orientar cap a la reinserció i reeducació social dels penats. El nou paradigma penitenciari implicava un nou entorn:</w:t>
      </w:r>
    </w:p>
    <w:p w:rsidR="00AE1078" w:rsidRPr="004A399A" w:rsidRDefault="00AE1078" w:rsidP="00904443">
      <w:pPr>
        <w:pStyle w:val="Pargrafdellista"/>
        <w:numPr>
          <w:ilvl w:val="0"/>
          <w:numId w:val="51"/>
        </w:numPr>
      </w:pPr>
      <w:r w:rsidRPr="004A399A">
        <w:t>Permeabilitat social i arquitectura urbana on abans es prioritzava l’aïllament.</w:t>
      </w:r>
    </w:p>
    <w:p w:rsidR="00AE1078" w:rsidRPr="004A399A" w:rsidRDefault="00AE1078" w:rsidP="00904443">
      <w:pPr>
        <w:pStyle w:val="Pargrafdellista"/>
        <w:numPr>
          <w:ilvl w:val="0"/>
          <w:numId w:val="51"/>
        </w:numPr>
      </w:pPr>
      <w:r w:rsidRPr="004A399A">
        <w:t>Introducció en la gestió del concepte de servei públic i de l’obligació de rendiment de comptes.</w:t>
      </w:r>
    </w:p>
    <w:p w:rsidR="00AE1078" w:rsidRPr="004A399A" w:rsidRDefault="00AE1078" w:rsidP="00904443">
      <w:pPr>
        <w:pStyle w:val="Pargrafdellista"/>
        <w:numPr>
          <w:ilvl w:val="0"/>
          <w:numId w:val="51"/>
        </w:numPr>
      </w:pPr>
      <w:r w:rsidRPr="004A399A">
        <w:t>Compromís social i més gran demanda social, política i jurídica d’informació.</w:t>
      </w:r>
    </w:p>
    <w:p w:rsidR="00AE1078" w:rsidRPr="004A399A" w:rsidRDefault="00AE1078" w:rsidP="00904443">
      <w:pPr>
        <w:pStyle w:val="Pargrafdellista"/>
        <w:numPr>
          <w:ilvl w:val="0"/>
          <w:numId w:val="51"/>
        </w:numPr>
      </w:pPr>
      <w:r w:rsidRPr="004A399A">
        <w:t>Control intern i control extern de la gestió.</w:t>
      </w:r>
    </w:p>
    <w:p w:rsidR="00AE1078" w:rsidRPr="004A399A" w:rsidRDefault="00AE1078" w:rsidP="00AE1078">
      <w:pPr>
        <w:pStyle w:val="Pargrafdellista"/>
      </w:pPr>
    </w:p>
    <w:p w:rsidR="00AE1078" w:rsidRPr="004A399A" w:rsidRDefault="00AE1078" w:rsidP="00AE1078">
      <w:pPr>
        <w:pStyle w:val="Pargrafdellista"/>
      </w:pPr>
      <w:r w:rsidRPr="004A399A">
        <w:t>El mateix any de promulgació de la LOGP entrà en vigor l’Estatut d’autonomia de Catalunya (de fet, la quarta llei orgànica promulgada —LO 4/1979—, pocs mesos després que la LOGP). La Constitució espanyola establia la competència exclusiva de l’Estat en matèria penal i penitenciària, alhora que l’Estatut de 1979 atribuïa a la Generalitat l’execució de la legislació estatal en matèria penitenciària.</w:t>
      </w:r>
    </w:p>
    <w:p w:rsidR="00AE1078" w:rsidRPr="004A399A" w:rsidRDefault="00AE1078" w:rsidP="00AE1078">
      <w:pPr>
        <w:pStyle w:val="Pargrafdellista"/>
      </w:pPr>
    </w:p>
    <w:p w:rsidR="00AE1078" w:rsidRPr="004A399A" w:rsidRDefault="00AE1078" w:rsidP="00AE1078">
      <w:pPr>
        <w:pStyle w:val="Pargrafdellista"/>
      </w:pPr>
      <w:r w:rsidRPr="004A399A">
        <w:t>Des de 1983 la Generalitat es va fer càrrec de la gestió dels recursos personals, tècnics i patrimonials necessaris per exercir la competència estatutària en la matèria. I, al llarg dels més de trenta anys d’exercici competencial, s’ha anat estructurant un sistema penitenciari propi de Catalunya, un dels elements característics del qual és el disseny d’estratègies de compromís social.</w:t>
      </w:r>
    </w:p>
    <w:p w:rsidR="00AE1078" w:rsidRPr="004A399A" w:rsidRDefault="00AE1078" w:rsidP="00AE1078">
      <w:pPr>
        <w:pStyle w:val="Pargrafdellista"/>
      </w:pPr>
    </w:p>
    <w:p w:rsidR="00AE1078" w:rsidRPr="004A399A" w:rsidRDefault="00AE1078" w:rsidP="00AE1078">
      <w:pPr>
        <w:pStyle w:val="Pargrafdellista"/>
      </w:pPr>
      <w:r w:rsidRPr="004A399A">
        <w:lastRenderedPageBreak/>
        <w:t>El sistema penitenciari de la Generalitat ha sofert, amb el pas dels anys, els efectes de variables externes rellevants, com la percepció pública d’augment de la inseguretat ciutadana, aparentment vinculada amb un augment de la delinqüència i, en cert grau, amb l’augment de la immigració il·legal.</w:t>
      </w:r>
    </w:p>
    <w:p w:rsidR="00AE1078" w:rsidRPr="004A399A" w:rsidRDefault="00AE1078" w:rsidP="00AE1078">
      <w:pPr>
        <w:pStyle w:val="Pargrafdellista"/>
      </w:pPr>
    </w:p>
    <w:p w:rsidR="00AE1078" w:rsidRPr="004A399A" w:rsidRDefault="00AE1078" w:rsidP="00AE1078">
      <w:pPr>
        <w:pStyle w:val="Pargrafdellista"/>
      </w:pPr>
      <w:r w:rsidRPr="004A399A">
        <w:t>Com a reacció davant aquest escenari hi ha hagut canvis en les polítiques de seguretat, que ha introduït elements de rigorisme policial i penal. Aquest rigorisme ha fet prioritzar la funció repressiva i coactiva de l’Estat per damunt de la seva funció de foment de la cohesió social i, en el cas de la política penitenciària, de l’impuls de mesures reeducadores i de reinserció dels penats. Efecte directe del rigorisme ha estat, malgrat el discurs públic, el creixement d’una desconfiança envers els procediments penals i penitenciaris alternatius a l’internament, considerats benèvols o ineficients; aquesta percepció va acabar generant un augment de la durada de les penes de privació de llibertat. Una altra reacció davant el que en alguns moments s’ha considerat excessiva preocupació pels drets dels delinqüents ha estat una creixent demanda d’atenció a les víctimes del delicte i a la seva consideració en el procés penal.</w:t>
      </w:r>
    </w:p>
    <w:p w:rsidR="00AE1078" w:rsidRPr="004A399A" w:rsidRDefault="00AE1078" w:rsidP="00AE1078">
      <w:pPr>
        <w:pStyle w:val="Pargrafdellista"/>
      </w:pPr>
    </w:p>
    <w:p w:rsidR="00AE1078" w:rsidRPr="004A399A" w:rsidRDefault="00AE1078" w:rsidP="00AE1078">
      <w:pPr>
        <w:pStyle w:val="Pargrafdellista"/>
      </w:pPr>
      <w:r w:rsidRPr="004A399A">
        <w:t>Les repercussions sobre el sistema penitenciari de les noves polítiques i actituds socials s’han traduït en un gran nombre de reformes del Codi penal, sense fer una anàlisi empírica prèvia ni un autèntic debat científic sobre la necessitat d’alguns d’aquests canvis i sobre les conseqüències socials, organitzatives i pressupostàries que impliquen.</w:t>
      </w:r>
    </w:p>
    <w:p w:rsidR="00AE1078" w:rsidRPr="004A399A" w:rsidRDefault="00AE1078" w:rsidP="00AE1078">
      <w:pPr>
        <w:pStyle w:val="Pargrafdellista"/>
      </w:pPr>
    </w:p>
    <w:p w:rsidR="00AE1078" w:rsidRPr="004A399A" w:rsidRDefault="0098342A" w:rsidP="0070401F">
      <w:pPr>
        <w:pStyle w:val="Ttol2"/>
      </w:pPr>
      <w:bookmarkStart w:id="9" w:name="_Toc464417679"/>
      <w:bookmarkStart w:id="10" w:name="_Toc464685601"/>
      <w:bookmarkStart w:id="11" w:name="_Toc465293332"/>
      <w:r>
        <w:t xml:space="preserve">l’execució penal a catalunya: des de les transferències fins avui. </w:t>
      </w:r>
      <w:r w:rsidR="00AE1078" w:rsidRPr="004A399A">
        <w:t>Elements diferenciadors i incidència de l’entorn</w:t>
      </w:r>
      <w:bookmarkEnd w:id="9"/>
      <w:bookmarkEnd w:id="10"/>
      <w:bookmarkEnd w:id="11"/>
    </w:p>
    <w:p w:rsidR="00AE1078" w:rsidRPr="004A399A" w:rsidRDefault="00AE1078" w:rsidP="00AE1078">
      <w:r w:rsidRPr="004A399A">
        <w:t xml:space="preserve">La Generalitat de Catalunya va assumir les competències en matèria d’execució penal l’any 1984. Catalunya és l’única comunitat autònoma que ha assumit competències en aquest àmbit, i gestiona la direcció, l’organització i la inspecció dels serveis d’execució penal al seu territori. </w:t>
      </w:r>
    </w:p>
    <w:p w:rsidR="00AE1078" w:rsidRPr="004A399A" w:rsidRDefault="00AE1078" w:rsidP="00AE1078">
      <w:r w:rsidRPr="004A399A">
        <w:t>L’Estatut d’autonomia de 1979 va atribuir a Catalunya, en el marc competencial establert per la Constitució espanyola, la competència executiva en matèria penitenciària. L’assumpció efectiva  de la competència va representar (i representa, encara) una singularitat a l’Estat espanyol, on l’Administració estatal gestiona el sistema d’execució penal a tot el territori, excepte a Catalunya. Aquesta singularitat en el mapa penitenciari de l’Estat, amb independència de les motivacions de la Generalitat per assumir la gestió, podria explicar-se, en part, pel fet que aquesta competència és econòmicament costosa, i alhora no particularment atractiva o rendible en termes electorals.</w:t>
      </w:r>
    </w:p>
    <w:p w:rsidR="00AE1078" w:rsidRPr="004A399A" w:rsidRDefault="00AE1078" w:rsidP="00AE1078">
      <w:r w:rsidRPr="004A399A">
        <w:t>L’Estatut d’autonomia de 2006, actualment en vigor, no altera en el que és essencial la previsió de l’Estatut de 1979 i adopta un tractament més ampli que es concreta en l’article 168. 1 i 2.</w:t>
      </w:r>
    </w:p>
    <w:p w:rsidR="00AE1078" w:rsidRPr="004A399A" w:rsidRDefault="00AE1078" w:rsidP="00AE1078">
      <w:r w:rsidRPr="004A399A">
        <w:t>La competència executiva inclou:</w:t>
      </w:r>
    </w:p>
    <w:p w:rsidR="00AE1078" w:rsidRPr="004A399A" w:rsidRDefault="00AE1078" w:rsidP="00904443">
      <w:pPr>
        <w:pStyle w:val="Pargrafdellista"/>
        <w:numPr>
          <w:ilvl w:val="0"/>
          <w:numId w:val="53"/>
        </w:numPr>
      </w:pPr>
      <w:r w:rsidRPr="004A399A">
        <w:t>Capacitat per dictar disposicions que adaptin la normativa penitenciària a la realitat de Catalunya.</w:t>
      </w:r>
    </w:p>
    <w:p w:rsidR="00AE1078" w:rsidRPr="004A399A" w:rsidRDefault="00AE1078" w:rsidP="00904443">
      <w:pPr>
        <w:pStyle w:val="Pargrafdellista"/>
        <w:numPr>
          <w:ilvl w:val="0"/>
          <w:numId w:val="53"/>
        </w:numPr>
      </w:pPr>
      <w:r w:rsidRPr="004A399A">
        <w:t>La gestió penitenciària, entesa com la direcció, l’organització, el règim, el funcionament, la planificació i la inspecció dels centres de Catalunya.</w:t>
      </w:r>
    </w:p>
    <w:p w:rsidR="00AE1078" w:rsidRPr="004A399A" w:rsidRDefault="00AE1078" w:rsidP="00904443">
      <w:pPr>
        <w:pStyle w:val="Pargrafdellista"/>
        <w:numPr>
          <w:ilvl w:val="0"/>
          <w:numId w:val="53"/>
        </w:numPr>
      </w:pPr>
      <w:r w:rsidRPr="004A399A">
        <w:t>La planificació, la construcció i la reforma dels establiments penitenciaris.</w:t>
      </w:r>
    </w:p>
    <w:p w:rsidR="00AE1078" w:rsidRPr="004A399A" w:rsidRDefault="00AE1078" w:rsidP="00904443">
      <w:pPr>
        <w:pStyle w:val="Pargrafdellista"/>
        <w:numPr>
          <w:ilvl w:val="0"/>
          <w:numId w:val="53"/>
        </w:numPr>
      </w:pPr>
      <w:r w:rsidRPr="004A399A">
        <w:t>L’administració i la gestió patrimonials dels immobles i equipaments de l’Administració catalana</w:t>
      </w:r>
    </w:p>
    <w:p w:rsidR="00AE1078" w:rsidRPr="004A399A" w:rsidRDefault="00AE1078" w:rsidP="00904443">
      <w:pPr>
        <w:pStyle w:val="Pargrafdellista"/>
        <w:numPr>
          <w:ilvl w:val="0"/>
          <w:numId w:val="53"/>
        </w:numPr>
      </w:pPr>
      <w:r w:rsidRPr="004A399A">
        <w:t>La planificació i organització del treball remunerat de la població reclusa i l’execució de mesures penals alternatives i d’activitats de reinserció.</w:t>
      </w:r>
    </w:p>
    <w:p w:rsidR="00AE1078" w:rsidRPr="004A399A" w:rsidRDefault="00AE1078" w:rsidP="00AE1078">
      <w:r w:rsidRPr="004A399A">
        <w:t>La Generalitat també pot emetre informes en el procediment d’atorgament d’indults.</w:t>
      </w:r>
    </w:p>
    <w:p w:rsidR="00AE1078" w:rsidRPr="004A399A" w:rsidRDefault="00AE1078" w:rsidP="00AE1078">
      <w:r w:rsidRPr="004A399A">
        <w:lastRenderedPageBreak/>
        <w:t>Hi ha dos continguts de l’article que es podrien destacar com a diferenciadors. Un es refereix a la capacitat per dictar disposicions, que s’entén no més enllà de la capacitat funcional d’autoorganització. L’altre és la capacitat d’emetre informes  en el procediment d’indults.</w:t>
      </w:r>
    </w:p>
    <w:p w:rsidR="00AE1078" w:rsidRPr="004A399A" w:rsidRDefault="00AE1078" w:rsidP="00AE1078"/>
    <w:p w:rsidR="00AE1078" w:rsidRPr="004A399A" w:rsidRDefault="00AE1078" w:rsidP="0070401F">
      <w:pPr>
        <w:pStyle w:val="Ttol3"/>
      </w:pPr>
      <w:bookmarkStart w:id="12" w:name="_Toc464417680"/>
      <w:bookmarkStart w:id="13" w:name="_Toc464685602"/>
      <w:bookmarkStart w:id="14" w:name="_Toc465293333"/>
      <w:r w:rsidRPr="00AE1078">
        <w:t>Panoràmica</w:t>
      </w:r>
      <w:r w:rsidRPr="004A399A">
        <w:t xml:space="preserve"> en el moment de les transferències i elements potenciadors del canvi</w:t>
      </w:r>
      <w:bookmarkEnd w:id="12"/>
      <w:bookmarkEnd w:id="13"/>
      <w:bookmarkEnd w:id="14"/>
      <w:r w:rsidRPr="004A399A">
        <w:t xml:space="preserve"> </w:t>
      </w:r>
    </w:p>
    <w:p w:rsidR="00AE1078" w:rsidRPr="004A399A" w:rsidRDefault="00AE1078" w:rsidP="00AE1078">
      <w:pPr>
        <w:rPr>
          <w:rFonts w:cs="Arial"/>
        </w:rPr>
      </w:pPr>
    </w:p>
    <w:p w:rsidR="00AE1078" w:rsidRPr="004A399A" w:rsidRDefault="00AE1078" w:rsidP="00AE1078">
      <w:pPr>
        <w:rPr>
          <w:rFonts w:cs="Arial"/>
        </w:rPr>
      </w:pPr>
      <w:r w:rsidRPr="004A399A">
        <w:rPr>
          <w:rFonts w:cs="Arial"/>
        </w:rPr>
        <w:t>Tant la Constitució com la LOGP habilitaven el marc legal per procedir a un canvi significatiu en el paradigma conceptual de l’execució de les penes privatives de llibertat i a un canvi de les institucions i del serveis penitenciaris. Però el canvi real era molt més feble per les pròpies resistències al canvi, per les dificultats econòmiques i per  la realitat física, funcional i d’inadequació o de manca de mitjans personals i materials dels centres penitenciaris del final de la dictadura.</w:t>
      </w:r>
    </w:p>
    <w:p w:rsidR="00AE1078" w:rsidRPr="004A399A" w:rsidRDefault="00AE1078" w:rsidP="00AE1078">
      <w:pPr>
        <w:rPr>
          <w:rFonts w:cs="Arial"/>
        </w:rPr>
      </w:pPr>
      <w:r w:rsidRPr="004A399A">
        <w:rPr>
          <w:rFonts w:cs="Arial"/>
        </w:rPr>
        <w:t>Els primers anys de la Transició els centres penitenciaris de tot Espanya, i també i molt especialment els de Catalunya, viuen una situació de reiterades i greus alteracions de l’ordre amb freqüents altercats i motins.</w:t>
      </w:r>
    </w:p>
    <w:p w:rsidR="00AE1078" w:rsidRPr="004A399A" w:rsidRDefault="00AE1078" w:rsidP="00AE1078">
      <w:pPr>
        <w:rPr>
          <w:rFonts w:cs="Arial"/>
        </w:rPr>
      </w:pPr>
      <w:r w:rsidRPr="004A399A">
        <w:rPr>
          <w:rFonts w:cs="Arial"/>
        </w:rPr>
        <w:t>A Catalunya cal destacar les circumstàncies següents:</w:t>
      </w:r>
    </w:p>
    <w:p w:rsidR="00AE1078" w:rsidRPr="00AE1078" w:rsidRDefault="00AE1078" w:rsidP="00904443">
      <w:pPr>
        <w:pStyle w:val="Pargrafdellista"/>
        <w:numPr>
          <w:ilvl w:val="0"/>
          <w:numId w:val="57"/>
        </w:numPr>
        <w:rPr>
          <w:rFonts w:cs="Arial"/>
        </w:rPr>
      </w:pPr>
      <w:r w:rsidRPr="00AE1078">
        <w:rPr>
          <w:rFonts w:cs="Arial"/>
        </w:rPr>
        <w:t>Centres penitenciaris vells, obsolets i amb dèficits molt greus de manteniment dels edificis i de les instal·lacions. L’exemple negatiu per excel·lència era la presó Model de Barcelona, amb taxes inacceptables de massificació fins a la disminució momentània de població reclusa a conseqüència de la reforma urgent i parcial del Codi penal aprovada el juny de 1983. L’única excepció a aquest panorama era el nou Centre Penitenciari de Lleida, si bé cal dir que la Direcció General d’Institucions Penitenciàries del Govern de l’Estat el va inaugurar amb urgència pocs dies abans de l’efectivitat de la transferència, amb un nombre tan escàs de personal que només permetia funcionar una quarta part de l’establiment.</w:t>
      </w:r>
    </w:p>
    <w:p w:rsidR="00AE1078" w:rsidRPr="00AE1078" w:rsidRDefault="00AE1078" w:rsidP="00904443">
      <w:pPr>
        <w:pStyle w:val="Pargrafdellista"/>
        <w:numPr>
          <w:ilvl w:val="0"/>
          <w:numId w:val="57"/>
        </w:numPr>
        <w:rPr>
          <w:rFonts w:cs="Arial"/>
        </w:rPr>
      </w:pPr>
      <w:r w:rsidRPr="00AE1078">
        <w:rPr>
          <w:rFonts w:cs="Arial"/>
        </w:rPr>
        <w:t>Un nombre molt reduït, gairebé testimonial, de personal de rehabilitació i reinserció i de serveis socials especialitzats. De manera que les activitats de tractament es veien reduïdes a les de classificació en graus de tractament i, fins i tot aquestes, en condicions ben precàries.</w:t>
      </w:r>
    </w:p>
    <w:p w:rsidR="00AE1078" w:rsidRPr="00AE1078" w:rsidRDefault="00AE1078" w:rsidP="00904443">
      <w:pPr>
        <w:pStyle w:val="Pargrafdellista"/>
        <w:numPr>
          <w:ilvl w:val="0"/>
          <w:numId w:val="57"/>
        </w:numPr>
        <w:rPr>
          <w:rFonts w:cs="Arial"/>
        </w:rPr>
      </w:pPr>
      <w:r w:rsidRPr="00AE1078">
        <w:rPr>
          <w:rFonts w:cs="Arial"/>
        </w:rPr>
        <w:t>La vida als centres penitenciaris està dominada per les activitats regimentals i les seves característiques són l’extrema rigidesa i la manca d’activitats recreatives, culturals, educatives, esportives, laborals o d’oci i entreteniment.</w:t>
      </w:r>
    </w:p>
    <w:p w:rsidR="00AE1078" w:rsidRPr="00AE1078" w:rsidRDefault="00AE1078" w:rsidP="00904443">
      <w:pPr>
        <w:pStyle w:val="Pargrafdellista"/>
        <w:numPr>
          <w:ilvl w:val="0"/>
          <w:numId w:val="57"/>
        </w:numPr>
        <w:rPr>
          <w:rFonts w:cs="Arial"/>
        </w:rPr>
      </w:pPr>
      <w:r w:rsidRPr="00AE1078">
        <w:rPr>
          <w:rFonts w:cs="Arial"/>
        </w:rPr>
        <w:t>Com s’ha dit abans, són freqüents i greus les alteracions de l’ordre i de la convivència.</w:t>
      </w:r>
    </w:p>
    <w:p w:rsidR="00AE1078" w:rsidRPr="00AE1078" w:rsidRDefault="00AE1078" w:rsidP="00904443">
      <w:pPr>
        <w:pStyle w:val="Pargrafdellista"/>
        <w:numPr>
          <w:ilvl w:val="0"/>
          <w:numId w:val="57"/>
        </w:numPr>
        <w:rPr>
          <w:rFonts w:cs="Arial"/>
        </w:rPr>
      </w:pPr>
      <w:r w:rsidRPr="00AE1078">
        <w:rPr>
          <w:rFonts w:cs="Arial"/>
        </w:rPr>
        <w:t>Un nombre molt important dels funcionaris penitenciaris destinats a Catalunya veuen amb recança la transferència i el fet que la Generalitat es faci càrrec del govern de les presons. És una reacció lògica: en el món de la seguretat –que és també el món de la inseguretat– els canvis importants dels responsables i de les maneres de fer es viuen amb angoixa. En darrer terme són els funcionaris de base i els comandaments intermedis els qui viuen més de prop els efectes negatius, i de vegades greument negatius, de la imperícia dels responsables i de la mala gestió. A favor s’ha de fer notar que aquest personal, en aquell moment, es caracteritzava per un profund sentit institucional i per una actitud bàsica de compliment de les normes i instruccions dels seus superiors.</w:t>
      </w:r>
    </w:p>
    <w:p w:rsidR="00AE1078" w:rsidRPr="004A399A" w:rsidRDefault="00AE1078" w:rsidP="00AE1078">
      <w:pPr>
        <w:rPr>
          <w:rFonts w:cs="Arial"/>
        </w:rPr>
      </w:pPr>
      <w:r w:rsidRPr="004A399A">
        <w:rPr>
          <w:rFonts w:cs="Arial"/>
        </w:rPr>
        <w:t xml:space="preserve">Aquestes són les circumstàncies que envolten la situació de canvi i, per tant, cal adaptar la llei i el reglament estatal, normes d’obligat compliment, a les aspiracions i les exigències de la societat catalana i del Govern de Catalunya. </w:t>
      </w:r>
    </w:p>
    <w:p w:rsidR="00AE1078" w:rsidRPr="004A399A" w:rsidRDefault="00AE1078" w:rsidP="00904443">
      <w:pPr>
        <w:pStyle w:val="Pargrafdellista"/>
        <w:numPr>
          <w:ilvl w:val="0"/>
          <w:numId w:val="54"/>
        </w:numPr>
        <w:rPr>
          <w:rFonts w:cs="Arial"/>
        </w:rPr>
      </w:pPr>
      <w:r w:rsidRPr="004A399A">
        <w:lastRenderedPageBreak/>
        <w:t xml:space="preserve">La necessitat de modernització de les infraestructures, i de crear-ne de noves, ha planat sobre el sistema penitenciari català en tot moment, fins als nostres dies. I és en aquest escenari, sota la permanent pressió de la necessitat de nous centres, que s’ha perfilat un model d’equipament penitenciari català que s’adapta a les necessitats de rehabilitació, facilitador de la socialització, de menors dimensions per articular una nova cultura i un nou clima organitzatiu, i amb sistemes de seguretat integrats, no invasius i que ofereixen un control i seguiment continuat. </w:t>
      </w:r>
    </w:p>
    <w:p w:rsidR="00AE1078" w:rsidRPr="004A399A" w:rsidRDefault="00AE1078" w:rsidP="00AE1078">
      <w:pPr>
        <w:pStyle w:val="Pargrafdellista"/>
        <w:ind w:left="720"/>
        <w:rPr>
          <w:rFonts w:cs="Arial"/>
        </w:rPr>
      </w:pPr>
    </w:p>
    <w:p w:rsidR="00AE1078" w:rsidRPr="004A399A" w:rsidRDefault="00AE1078" w:rsidP="00904443">
      <w:pPr>
        <w:pStyle w:val="Pargrafdellista"/>
        <w:numPr>
          <w:ilvl w:val="0"/>
          <w:numId w:val="54"/>
        </w:numPr>
        <w:rPr>
          <w:rFonts w:cs="Arial"/>
        </w:rPr>
      </w:pPr>
      <w:r w:rsidRPr="004A399A">
        <w:t>Els problemes endèmics derivats de la permanent i ràpida rotació dels funcionaris destinats a Catalunya van fer que, ja el mateix any 1984, s’arribés a un acord amb el Ministeri de Justícia pel qual determinades oposicions a l’ingrés als cossos penitenciaris es poguessin celebrar a Catalunya, facilitant la presentació de persones residents a Catalunya (amb l’objectiu doble d’aconseguir una estabilitat més gran de les plantilles i un arrelament més consistent al país dels funcionaris penitenciaris). Molts dels cursos de formació i bona part de les pràctiques corresponents es van començar a portar a terme a Catalunya. I va ser aquest àmbit professional, gestionat pel Departament de Justícia, el primer de tota la Generalitat que va convocar processos de selecció per a l’accés a la funció pública, en el ja llunyà any 1985.</w:t>
      </w:r>
    </w:p>
    <w:p w:rsidR="00AE1078" w:rsidRPr="004A399A" w:rsidRDefault="00AE1078" w:rsidP="00AE1078">
      <w:pPr>
        <w:ind w:left="708"/>
      </w:pPr>
      <w:r w:rsidRPr="004A399A">
        <w:t>A l’empara de la Llei 9/1986, de cossos de funcionaris, es van crear els cossos de diplomats (grup de serveis penitenciaris) i el de tècnics especialistes (grup de serveis penitenciaris). I va ser el Departament de Justícia el primer que va convocar un procés selectiu de personal que hauria de desenvolupar la seva tasca professional sota la gestió exclusiva de la Generalitat de Catalunya.</w:t>
      </w:r>
    </w:p>
    <w:p w:rsidR="00AE1078" w:rsidRPr="004A399A" w:rsidRDefault="00AE1078" w:rsidP="00AE1078">
      <w:pPr>
        <w:ind w:left="708"/>
      </w:pPr>
      <w:r w:rsidRPr="004A399A">
        <w:t xml:space="preserve">Una important decisió que va marcar l’estil i orientació de la política penitenciària va ser l’eliminació de la discriminació per raó de gènere en l’accés als llocs de treball dels funcionaris d’interior de serveis penitenciaris. Des de finals dels anys vuitanta totes les convocatòries es van adreçar, indistintament, a persones de qualsevol gènere. No va ser fins l’any 2002 que el Reglament penitenciari estatal va fusionar els fins aleshores cossos especials </w:t>
      </w:r>
      <w:r w:rsidRPr="004A399A">
        <w:rPr>
          <w:rFonts w:cs="Arial"/>
        </w:rPr>
        <w:t>«</w:t>
      </w:r>
      <w:r w:rsidRPr="004A399A">
        <w:t>masculí</w:t>
      </w:r>
      <w:r w:rsidRPr="004A399A">
        <w:rPr>
          <w:rFonts w:cs="Arial"/>
        </w:rPr>
        <w:t>»</w:t>
      </w:r>
      <w:r w:rsidRPr="004A399A">
        <w:t xml:space="preserve"> i </w:t>
      </w:r>
      <w:r w:rsidRPr="004A399A">
        <w:rPr>
          <w:rFonts w:cs="Arial"/>
        </w:rPr>
        <w:t>«</w:t>
      </w:r>
      <w:r w:rsidRPr="004A399A">
        <w:t>femení</w:t>
      </w:r>
      <w:r w:rsidRPr="004A399A">
        <w:rPr>
          <w:rFonts w:cs="Arial"/>
        </w:rPr>
        <w:t>»</w:t>
      </w:r>
      <w:r w:rsidRPr="004A399A">
        <w:t xml:space="preserve"> d’institucions penitenciàries, més de deu anys després que  la Generalitat de Catalunya eliminés, de facto, la distinció als efectes de convocatòries de personal.</w:t>
      </w:r>
    </w:p>
    <w:p w:rsidR="00AE1078" w:rsidRPr="004A399A" w:rsidRDefault="00AE1078" w:rsidP="00AE1078">
      <w:pPr>
        <w:ind w:left="708"/>
      </w:pPr>
      <w:r w:rsidRPr="004A399A">
        <w:t xml:space="preserve">Aquests canvis, que es podrien considerar com un </w:t>
      </w:r>
      <w:r w:rsidRPr="004A399A">
        <w:rPr>
          <w:i/>
        </w:rPr>
        <w:t>tarannà propi</w:t>
      </w:r>
      <w:r w:rsidRPr="004A399A">
        <w:t xml:space="preserve"> en la gestió i orientació de les tasques dels recursos humans del sistema penitenciari català, van passar a ser un </w:t>
      </w:r>
      <w:r w:rsidRPr="004A399A">
        <w:rPr>
          <w:i/>
        </w:rPr>
        <w:t>model propi</w:t>
      </w:r>
      <w:r w:rsidRPr="004A399A">
        <w:t xml:space="preserve"> quan es va impulsar clarament una nova filosofia: les prestacions no estrictament penitenciàries han d’esser protagonitzades, preferentment, per professionals d’altres cossos funcionarials o altres col·lectius professionals, tant d’institucions públiques com de privades concertades: mestres i professors, personal sanitari, assistència religiosa, monitors de taller i de formació professional, psicòlegs, criminòlegs, treballadors socials...</w:t>
      </w:r>
    </w:p>
    <w:p w:rsidR="00AE1078" w:rsidRPr="004A399A" w:rsidRDefault="00AE1078" w:rsidP="00AE1078">
      <w:pPr>
        <w:ind w:left="708"/>
      </w:pPr>
      <w:r w:rsidRPr="004A399A">
        <w:t xml:space="preserve">El Departament de Justícia va obrir el sistema penitenciari català a professionals </w:t>
      </w:r>
      <w:r w:rsidRPr="004A399A">
        <w:rPr>
          <w:i/>
        </w:rPr>
        <w:t>no penitenciaris</w:t>
      </w:r>
      <w:r w:rsidRPr="004A399A">
        <w:t>, i això va començar a diferenciar el model d’execució penal, a donar-li un perfil propi, diferenciat de la maquinària penitenciària estatal.</w:t>
      </w:r>
    </w:p>
    <w:p w:rsidR="00AE1078" w:rsidRPr="004A399A" w:rsidRDefault="00AE1078" w:rsidP="00AE1078">
      <w:pPr>
        <w:ind w:left="708"/>
      </w:pPr>
      <w:r w:rsidRPr="004A399A">
        <w:t>L’increment de personal, i particularment del personal destinat a funcions específiques de l’àmbit de rehabilitació, ha estat important durant aquests anys, i ha situat la ràtio professionals/interns molt per sobre del de l’Estat.</w:t>
      </w:r>
    </w:p>
    <w:p w:rsidR="00AE1078" w:rsidRPr="004A399A" w:rsidRDefault="00AE1078" w:rsidP="00AE1078"/>
    <w:p w:rsidR="00AE1078" w:rsidRPr="004A399A" w:rsidRDefault="00AE1078" w:rsidP="00904443">
      <w:pPr>
        <w:pStyle w:val="Pargrafdellista"/>
        <w:numPr>
          <w:ilvl w:val="0"/>
          <w:numId w:val="55"/>
        </w:numPr>
      </w:pPr>
      <w:r w:rsidRPr="004A399A">
        <w:t xml:space="preserve">Un altre element diferenciador ha estat la tasca del Centre d’Estudis Jurídics i Formació Especialitzada, creat coincidint amb la transferència penitenciària, com a centre de formació, debat, anàlisi i recerca contínua d’experiències i models d’altres països, que ha estat indispensable per a la presa estratègica de les decisions, la </w:t>
      </w:r>
      <w:r w:rsidRPr="004A399A">
        <w:lastRenderedPageBreak/>
        <w:t xml:space="preserve">posada en marxa de programes d’intervenció, i també com motor de canvi i millora contínua de l’organització de l’execució penal.  </w:t>
      </w:r>
    </w:p>
    <w:p w:rsidR="00AE1078" w:rsidRPr="004A399A" w:rsidRDefault="00AE1078" w:rsidP="00AE1078">
      <w:pPr>
        <w:pStyle w:val="Pargrafdellista"/>
        <w:ind w:left="720"/>
      </w:pPr>
    </w:p>
    <w:p w:rsidR="00AE1078" w:rsidRPr="004A399A" w:rsidRDefault="00AE1078" w:rsidP="00904443">
      <w:pPr>
        <w:pStyle w:val="Pargrafdellista"/>
        <w:numPr>
          <w:ilvl w:val="0"/>
          <w:numId w:val="55"/>
        </w:numPr>
      </w:pPr>
      <w:r w:rsidRPr="004A399A">
        <w:t>La voluntat de la Generalitat de Catalunya de gestionar la política penitenciària d’una manera diferent per fer-la millor va anar donat els seus fruits: Catalunya va promoure les sortides programades temps abans que les recollís el Reglament penitenciari de 1996; a Catalunya es van aplicar, per primer cop, els sistemes de classificació de fases progressives; aquí es va crear la primera  comunitat terapèutica penitenciària per al tractament de les drogodependències de tot l’Estat i es van aplicar, també per primer cop de manera sistemàtica, els programes de competència psicosocial (inspirats en els aleshores vigents al sistema penitenciari canadenc). També a Catalunya es van fer els primers programes d’intervenció en delictes sexuals.</w:t>
      </w:r>
    </w:p>
    <w:p w:rsidR="00AE1078" w:rsidRPr="004A399A" w:rsidRDefault="00AE1078" w:rsidP="00AE1078">
      <w:pPr>
        <w:pStyle w:val="Pargrafdellista"/>
        <w:ind w:left="720"/>
      </w:pPr>
    </w:p>
    <w:p w:rsidR="00AE1078" w:rsidRPr="004A399A" w:rsidRDefault="00AE1078" w:rsidP="00AE1078">
      <w:pPr>
        <w:pStyle w:val="Pargrafdellista"/>
        <w:ind w:left="720"/>
      </w:pPr>
      <w:r w:rsidRPr="004A399A">
        <w:t xml:space="preserve">El sistema penitenciari català ha intentat sempre innovar i adaptar noves maneres de fer i de respondre als reptes que la realitat penitenciària i la legislació vigent han anat plantejant. Un moment clau per a la rehabilitació va ser aquell en què un canvi legislatiu va eliminar les redempcions de penes pel treball, i amb elles va eliminar un important element motivador per a la participació dels interns en programes d’intervenció. En aquella etapa es va crear l’anomenat </w:t>
      </w:r>
      <w:r w:rsidRPr="004A399A">
        <w:rPr>
          <w:i/>
        </w:rPr>
        <w:t>sistema d’avaluació i motivació continuades</w:t>
      </w:r>
      <w:r w:rsidRPr="004A399A">
        <w:t>, posteriorment sotmès a una necessària revisió, però innovador i eficaç en el seu moment per tal de amortir l’impacte que l’eliminació de les redempcions va suposar per al sistema penitenciari.</w:t>
      </w:r>
    </w:p>
    <w:p w:rsidR="00AE1078" w:rsidRPr="004A399A" w:rsidRDefault="00AE1078" w:rsidP="00AE1078">
      <w:pPr>
        <w:pStyle w:val="Pargrafdellista"/>
        <w:ind w:left="720"/>
      </w:pPr>
    </w:p>
    <w:p w:rsidR="00AE1078" w:rsidRPr="004A399A" w:rsidRDefault="00AE1078" w:rsidP="00AE1078">
      <w:pPr>
        <w:pStyle w:val="Pargrafdellista"/>
        <w:ind w:left="720"/>
      </w:pPr>
      <w:r w:rsidRPr="004A399A">
        <w:t xml:space="preserve">No es pot obviar, però, que malgrat una important evolució dels programes d’intervenció al llarg dels anys, el model de rehabilitació català no sempre ha implementat mecanismes d’avaluació d’una sofisticació equivalent. En els darrers anys s’han anat consolidant mecanismes d’avaluació dels interns (com ara el RisCanvi), alhora que s’implementaven mecanismes d’avaluació del servei públic prestat. En aquest darrer sentit, fa anys que es van introduir eines de gestió de qualitat (com el mapes de processos), i s’han anat instaurant estàndards de servei en processos bàsics de rehabilitació, com ara l’atenció individual dels interns i les seves famílies, la intervenció grupal amb els interns, la gestió de la informació o la coordinació dels equips de rehabilitació. </w:t>
      </w:r>
    </w:p>
    <w:p w:rsidR="00AE1078" w:rsidRPr="004A399A" w:rsidRDefault="00AE1078" w:rsidP="00AE1078">
      <w:pPr>
        <w:pStyle w:val="Pargrafdellista"/>
        <w:ind w:left="720"/>
      </w:pPr>
    </w:p>
    <w:p w:rsidR="00AE1078" w:rsidRPr="004A399A" w:rsidRDefault="00AE1078" w:rsidP="00AE1078">
      <w:pPr>
        <w:pStyle w:val="Pargrafdellista"/>
        <w:ind w:left="720"/>
      </w:pPr>
      <w:r w:rsidRPr="004A399A">
        <w:t>D’altra banda, una diferència remarcable entre el sistema penitenciari català i el de la resta de l’Estat es troba en la gestió de la progressió a tercer grau. Aquest fet evidencia un model diferent de gestió, caracteritzat per una opció per afavorir una transició més gradual a la llibertat per part de la Generalitat. Es pot afirmar que hi ha una actitud menys punitiva per part de l’Administració penitenciària catalana, en el sentit que a Catalunya la proporció d’interns respecte de la població general és menor i, a més, entre les persones empresonades, és més alta la proporció de les que gaudeixen d’un règim de compliment en semillibertat.</w:t>
      </w:r>
    </w:p>
    <w:p w:rsidR="00AE1078" w:rsidRPr="004A399A" w:rsidRDefault="00AE1078" w:rsidP="00AE1078">
      <w:pPr>
        <w:pStyle w:val="Pargrafdellista"/>
        <w:ind w:left="720"/>
      </w:pPr>
    </w:p>
    <w:p w:rsidR="00AE1078" w:rsidRPr="004A399A" w:rsidRDefault="00AE1078" w:rsidP="00904443">
      <w:pPr>
        <w:pStyle w:val="Pargrafdellista"/>
        <w:numPr>
          <w:ilvl w:val="0"/>
          <w:numId w:val="55"/>
        </w:numPr>
      </w:pPr>
      <w:r w:rsidRPr="004A399A">
        <w:t xml:space="preserve">Un altre factor potenciador és la transparència en la informació, fiable, vàlida, pública, sistemàtica, periòdica i accessible, que des de fa anys es publica al web del Departament de Justícia, i que ha estat capdavantera dels sistemes d’informació d’altres països. </w:t>
      </w:r>
    </w:p>
    <w:p w:rsidR="00AE1078" w:rsidRPr="004A399A" w:rsidRDefault="00AE1078" w:rsidP="00AE1078">
      <w:r w:rsidRPr="004A399A">
        <w:t xml:space="preserve">Més de trenta anys després de la recepció de la competència, es pot afirmar no només que hi ha un </w:t>
      </w:r>
      <w:r w:rsidRPr="004A399A">
        <w:rPr>
          <w:i/>
        </w:rPr>
        <w:t>sistema penitenciari català</w:t>
      </w:r>
      <w:r w:rsidRPr="004A399A">
        <w:t xml:space="preserve">, sinó que hi ha un </w:t>
      </w:r>
      <w:r w:rsidRPr="004A399A">
        <w:rPr>
          <w:i/>
        </w:rPr>
        <w:t>model català</w:t>
      </w:r>
      <w:r w:rsidRPr="004A399A">
        <w:t xml:space="preserve"> d’execució penal.</w:t>
      </w:r>
    </w:p>
    <w:p w:rsidR="00AE1078" w:rsidRPr="004A399A" w:rsidRDefault="00AE1078" w:rsidP="00AE1078">
      <w:r w:rsidRPr="004A399A">
        <w:t>El sistema penitenciari català ha anat evolucionant, durant tots aquest anys, malgrat el constrenyiment ineludible que imposa la manca de capacitat legislativa pròpia en matèria d’execució penal.</w:t>
      </w:r>
    </w:p>
    <w:p w:rsidR="00AE1078" w:rsidRPr="004A399A" w:rsidRDefault="00AE1078" w:rsidP="00AE1078">
      <w:r w:rsidRPr="004A399A">
        <w:lastRenderedPageBreak/>
        <w:t>Aquest recull de blocs temàtics explica com ha evolucionat i s’ha anat consolidant el model d’execució penal a Catalunya</w:t>
      </w:r>
    </w:p>
    <w:p w:rsidR="00AE1078" w:rsidRPr="004A399A" w:rsidRDefault="00AE1078" w:rsidP="00AE1078"/>
    <w:p w:rsidR="00AE1078" w:rsidRPr="004A399A" w:rsidRDefault="00AE1078" w:rsidP="0070401F">
      <w:pPr>
        <w:pStyle w:val="Ttol3"/>
      </w:pPr>
      <w:bookmarkStart w:id="15" w:name="_Toc464417681"/>
      <w:bookmarkStart w:id="16" w:name="_Toc464685603"/>
      <w:bookmarkStart w:id="17" w:name="_Toc465293334"/>
      <w:r w:rsidRPr="004A399A">
        <w:t xml:space="preserve">L’entorn facilitador de la transformació del sistema penitenciari en l’àmbit de </w:t>
      </w:r>
      <w:r w:rsidRPr="00AE1078">
        <w:t>Catalunya</w:t>
      </w:r>
      <w:bookmarkEnd w:id="15"/>
      <w:bookmarkEnd w:id="16"/>
      <w:bookmarkEnd w:id="17"/>
    </w:p>
    <w:p w:rsidR="00AE1078" w:rsidRPr="004A399A" w:rsidRDefault="00AE1078" w:rsidP="00AE1078"/>
    <w:p w:rsidR="00AE1078" w:rsidRPr="004A399A" w:rsidRDefault="00AE1078" w:rsidP="00AE1078">
      <w:r w:rsidRPr="004A399A">
        <w:t>L’execució de les competències de Catalunya en matèria d’execució penal i l’adaptació de les normes a l’entorn de Catalunya s’han vist afavorides, d’una banda, per alguns elements característics de la societat catalana i, d’altra banda, per l’autonomia de gestió que facilita un millor ajust a les diferències territorials:</w:t>
      </w:r>
    </w:p>
    <w:p w:rsidR="00AE1078" w:rsidRPr="004A399A" w:rsidRDefault="00AE1078" w:rsidP="00904443">
      <w:pPr>
        <w:pStyle w:val="Pargrafdellista"/>
        <w:numPr>
          <w:ilvl w:val="0"/>
          <w:numId w:val="56"/>
        </w:numPr>
      </w:pPr>
      <w:r w:rsidRPr="004A399A">
        <w:t>Alta sensibilitat social envers un model penitenciari rehabilitador i de reinserció, amb compromís per evitar l’exclusió social i el risc de marginalitat.</w:t>
      </w:r>
    </w:p>
    <w:p w:rsidR="00AE1078" w:rsidRPr="004A399A" w:rsidRDefault="00AE1078" w:rsidP="00904443">
      <w:pPr>
        <w:pStyle w:val="Pargrafdellista"/>
        <w:numPr>
          <w:ilvl w:val="0"/>
          <w:numId w:val="56"/>
        </w:numPr>
      </w:pPr>
      <w:r w:rsidRPr="004A399A">
        <w:t>Alt grau de participació de la societat civil en els esdeveniments de la dinàmica del país.</w:t>
      </w:r>
    </w:p>
    <w:p w:rsidR="00AE1078" w:rsidRPr="004A399A" w:rsidRDefault="00AE1078" w:rsidP="00904443">
      <w:pPr>
        <w:pStyle w:val="Pargrafdellista"/>
        <w:numPr>
          <w:ilvl w:val="0"/>
          <w:numId w:val="56"/>
        </w:numPr>
      </w:pPr>
      <w:r w:rsidRPr="004A399A">
        <w:t>Col·laboració contínua de les entitats del tercer sector en la implicació i treball directe als centres i amb els professionals.</w:t>
      </w:r>
    </w:p>
    <w:p w:rsidR="00AE1078" w:rsidRPr="004A399A" w:rsidRDefault="00AE1078" w:rsidP="00904443">
      <w:pPr>
        <w:pStyle w:val="Pargrafdellista"/>
        <w:numPr>
          <w:ilvl w:val="0"/>
          <w:numId w:val="56"/>
        </w:numPr>
      </w:pPr>
      <w:r w:rsidRPr="004A399A">
        <w:t>Autonomia de gestió que permet plantejar dinàmiques pròpies.</w:t>
      </w:r>
    </w:p>
    <w:p w:rsidR="00AE1078" w:rsidRPr="004A399A" w:rsidRDefault="00AE1078" w:rsidP="00904443">
      <w:pPr>
        <w:pStyle w:val="Pargrafdellista"/>
        <w:numPr>
          <w:ilvl w:val="0"/>
          <w:numId w:val="56"/>
        </w:numPr>
      </w:pPr>
      <w:r w:rsidRPr="004A399A">
        <w:t>Sistema penitenciari més petit i actitud proactiva de la població reclusa.</w:t>
      </w:r>
    </w:p>
    <w:p w:rsidR="00AE1078" w:rsidRPr="004A399A" w:rsidRDefault="00AE1078" w:rsidP="00904443">
      <w:pPr>
        <w:pStyle w:val="Pargrafdellista"/>
        <w:numPr>
          <w:ilvl w:val="0"/>
          <w:numId w:val="56"/>
        </w:numPr>
      </w:pPr>
      <w:r w:rsidRPr="004A399A">
        <w:t>Proximitat del control extern, que dificulta o impossibilita l’opacitat.</w:t>
      </w:r>
    </w:p>
    <w:p w:rsidR="00AE1078" w:rsidRPr="004A399A" w:rsidRDefault="00AE1078" w:rsidP="00904443">
      <w:pPr>
        <w:pStyle w:val="Pargrafdellista"/>
        <w:numPr>
          <w:ilvl w:val="0"/>
          <w:numId w:val="56"/>
        </w:numPr>
      </w:pPr>
      <w:r w:rsidRPr="004A399A">
        <w:t>Exigència social d’eficiència.</w:t>
      </w:r>
    </w:p>
    <w:p w:rsidR="00AE1078" w:rsidRPr="004A399A" w:rsidRDefault="00AE1078" w:rsidP="00904443">
      <w:pPr>
        <w:pStyle w:val="Pargrafdellista"/>
        <w:numPr>
          <w:ilvl w:val="0"/>
          <w:numId w:val="56"/>
        </w:numPr>
      </w:pPr>
      <w:r w:rsidRPr="004A399A">
        <w:t>Personal penitenciari amb un bon nivell de formació.</w:t>
      </w:r>
    </w:p>
    <w:p w:rsidR="00AE1078" w:rsidRPr="004A399A" w:rsidRDefault="00AE1078" w:rsidP="00904443">
      <w:pPr>
        <w:pStyle w:val="Pargrafdellista"/>
        <w:numPr>
          <w:ilvl w:val="0"/>
          <w:numId w:val="56"/>
        </w:numPr>
      </w:pPr>
      <w:r w:rsidRPr="004A399A">
        <w:t>Demanda contínua d’informació i investigació universitària.</w:t>
      </w:r>
    </w:p>
    <w:p w:rsidR="00AE1078" w:rsidRDefault="00AE1078" w:rsidP="00904443">
      <w:pPr>
        <w:pStyle w:val="Pargrafdellista"/>
        <w:numPr>
          <w:ilvl w:val="0"/>
          <w:numId w:val="56"/>
        </w:numPr>
      </w:pPr>
      <w:r w:rsidRPr="004A399A">
        <w:t>Diàleg continu amb els òrgans de fiscalització del sistema.</w:t>
      </w:r>
    </w:p>
    <w:p w:rsidR="00AE1078" w:rsidRPr="004A399A" w:rsidRDefault="00AE1078" w:rsidP="00AE1078">
      <w:pPr>
        <w:pStyle w:val="Pargrafdellista"/>
        <w:ind w:left="720"/>
      </w:pPr>
    </w:p>
    <w:p w:rsidR="00AE1078" w:rsidRDefault="00AE1078" w:rsidP="0070401F">
      <w:pPr>
        <w:pStyle w:val="Ttol2"/>
      </w:pPr>
      <w:bookmarkStart w:id="18" w:name="_Toc464417682"/>
      <w:bookmarkStart w:id="19" w:name="_Toc464685604"/>
      <w:bookmarkStart w:id="20" w:name="_Toc465293335"/>
      <w:r w:rsidRPr="00AE1078">
        <w:t>Marc</w:t>
      </w:r>
      <w:r w:rsidRPr="004A399A">
        <w:t xml:space="preserve"> </w:t>
      </w:r>
      <w:r w:rsidRPr="00AE1078">
        <w:t>normatiu</w:t>
      </w:r>
      <w:r w:rsidRPr="004A399A">
        <w:t xml:space="preserve"> i orientacions generals de la intervenció penitenciària</w:t>
      </w:r>
      <w:bookmarkEnd w:id="18"/>
      <w:bookmarkEnd w:id="19"/>
      <w:bookmarkEnd w:id="20"/>
    </w:p>
    <w:p w:rsidR="00AE1078" w:rsidRPr="00AE1078" w:rsidRDefault="00AE1078" w:rsidP="00AE1078"/>
    <w:p w:rsidR="00AE1078" w:rsidRPr="004A399A" w:rsidRDefault="00AE1078" w:rsidP="0070401F">
      <w:pPr>
        <w:pStyle w:val="Ttol3"/>
      </w:pPr>
      <w:bookmarkStart w:id="21" w:name="_Toc464417683"/>
      <w:bookmarkStart w:id="22" w:name="_Toc464685605"/>
      <w:bookmarkStart w:id="23" w:name="_Toc465293336"/>
      <w:r w:rsidRPr="004A399A">
        <w:t>La funció constitucional i la competència estatutària</w:t>
      </w:r>
      <w:bookmarkEnd w:id="21"/>
      <w:bookmarkEnd w:id="22"/>
      <w:bookmarkEnd w:id="23"/>
    </w:p>
    <w:p w:rsidR="00AE1078" w:rsidRPr="004A399A" w:rsidRDefault="00AE1078" w:rsidP="00AE1078">
      <w:r w:rsidRPr="004A399A">
        <w:t xml:space="preserve">L’Estatut d’autonomia de Catalunya de 1979 (EAC-79) va atribuir a Catalunya la competència executiva en matèria penitenciària en el seu article 11. L’atribució de la competència executiva va ser subsidiària de la limitació establerta per l’article 149.6 de la Constitució de 1978, que reserva per a l’Estat la competència exclusiva sobre legislació penitenciària, especificada expressament de manera diferenciada respecte de la penal. </w:t>
      </w:r>
    </w:p>
    <w:p w:rsidR="00AE1078" w:rsidRPr="004A399A" w:rsidRDefault="00AE1078" w:rsidP="00AE1078">
      <w:r w:rsidRPr="004A399A">
        <w:t>La primera</w:t>
      </w:r>
      <w:r w:rsidRPr="004A399A">
        <w:rPr>
          <w:rStyle w:val="Refernciadenotaapeudepgina"/>
        </w:rPr>
        <w:footnoteReference w:id="1"/>
      </w:r>
      <w:r w:rsidRPr="004A399A">
        <w:t xml:space="preserve"> llei orgànica aprovada després de l’entrada en vigor de la Constitució espanyola fou la Llei orgànica 1/1979, general penitenciària</w:t>
      </w:r>
      <w:r w:rsidRPr="004A399A">
        <w:rPr>
          <w:rStyle w:val="Refernciadenotaapeudepgina"/>
        </w:rPr>
        <w:footnoteReference w:id="2"/>
      </w:r>
      <w:r w:rsidRPr="004A399A">
        <w:t>, en el context d’una situació a les presons molt conflictiva i sota el mandat establert per l’art. 25.5 de la Constitució que el compliment de les penes i mesures privatives de llibertat s’havia d’orientar cap a la reinserció i la reeducació social dels penats. Així, es va dissenyar un sistema de compliment en què el règim penitenciari estava subordinat al tractament penitenciari, entès com el conjunt d’activitats que prepararan el penat per a la futura vida en llibertat amb una expectativa de no reincidència.</w:t>
      </w:r>
    </w:p>
    <w:p w:rsidR="00AE1078" w:rsidRPr="004A399A" w:rsidRDefault="00AE1078" w:rsidP="00AE1078">
      <w:r w:rsidRPr="004A399A">
        <w:lastRenderedPageBreak/>
        <w:t>A l’empara de la previsió de l’EAC-79 es va formalitzar el traspàs mitjançant el Reial decret 3482/1983, que transferia</w:t>
      </w:r>
      <w:r w:rsidRPr="004A399A">
        <w:rPr>
          <w:rStyle w:val="Refernciadenotaapeudepgina"/>
        </w:rPr>
        <w:footnoteReference w:id="3"/>
      </w:r>
      <w:r w:rsidRPr="004A399A">
        <w:t xml:space="preserve"> a la Generalitat les funcions i els serveis de l’Administració penitenciària de l’Estat, amb els mitjans personals, materials i pressupostaris corresponents.</w:t>
      </w:r>
    </w:p>
    <w:p w:rsidR="00AE1078" w:rsidRPr="004A399A" w:rsidRDefault="00AE1078" w:rsidP="00AE1078">
      <w:r w:rsidRPr="004A399A">
        <w:t>En l’exercici d’aquesta competència, i sobre la base de la LOGP, el Departament de Justícia va iniciar una activitat d’organització i ordenació dels serveis penitenciaris de Catalunya mitjançant nombroses instruccions i circulars internes adreçades als òrgans interns del Departament i dels centres penitenciaris.</w:t>
      </w:r>
    </w:p>
    <w:p w:rsidR="00AE1078" w:rsidRPr="004A399A" w:rsidRDefault="00AE1078" w:rsidP="00AE1078">
      <w:r w:rsidRPr="004A399A">
        <w:t>L’Estatut d’autonomia actualment vigent (EAC-06), en la redacció del text aprovat pel Parlament, adopta un tractament més ampli del tema i dedica el seu article 168 al sistema penitenciari. La norma estatutària no altera en l’essencial la previsió de l’EAC-79, atès que parteix de la distribució competencial derivada de la CE, que limita el poder de la Generalitat a la competència executiva, i desenvolupa aspectes referits a la gestió, planificació, administració i organització que ja formaven part de l’actuació de l’Administració penitenciària catalana fins a l’entrada en vigor de l’EAC-06, sense afegir-hi àmbits d’actuació nous.</w:t>
      </w:r>
    </w:p>
    <w:p w:rsidR="00AE1078" w:rsidRPr="004A399A" w:rsidRDefault="00AE1078" w:rsidP="00AE1078">
      <w:r w:rsidRPr="004A399A">
        <w:t>Tot i així, es poden destacar un parell de continguts de l’art.168 de l’EAC-06: d’una banda, l’atribució a la Generalitat de la capacitat de dictar disposicions que adaptin la normativa penitenciària a la realitat social de Catalunya (168.1.</w:t>
      </w:r>
      <w:r w:rsidRPr="004A399A">
        <w:rPr>
          <w:i/>
        </w:rPr>
        <w:t>a</w:t>
      </w:r>
      <w:r w:rsidRPr="004A399A">
        <w:t>) i, d’altra, la capacitat d’emetre informes en el procediment d’atorgament d’indults.</w:t>
      </w:r>
    </w:p>
    <w:p w:rsidR="00AE1078" w:rsidRPr="004A399A" w:rsidRDefault="00AE1078" w:rsidP="00AE1078">
      <w:r w:rsidRPr="004A399A">
        <w:t>En relació amb el segon, el seu efecte s’esgota en la possibilitat que el Govern, quan ho cregui convenient, faci arribar un informe, en cap cas vinculant, al Govern de l’Estat; cosa que res no li impedia de fer abans de l’entrada en vigor de l’Estatut de 2006.</w:t>
      </w:r>
    </w:p>
    <w:p w:rsidR="00AE1078" w:rsidRPr="004A399A" w:rsidRDefault="00AE1078" w:rsidP="00AE1078">
      <w:r w:rsidRPr="004A399A">
        <w:t>En relació amb el primer, el Govern de la Generalitat va dictar el Decret 329/2006, d’organització i funcionament dels serveis d’execució penal a Catalunya. Aquest és un fet de més transcendència, i es va justificar pels canvis d’ençà que la Generalitat havia assumit les competències en matèria penitenciària. Els objectius del reglament serien dotar l’Administració d’una organització flexible i capaç, amb uns servidors públics amb un alt grau de qualificació professional, promoure vies de col·laboració basades en el principi de coresponsabilitat i afavorir una millor participació ciutadana en els serveis d’execució penal.</w:t>
      </w:r>
    </w:p>
    <w:p w:rsidR="00AE1078" w:rsidRPr="004A399A" w:rsidRDefault="00AE1078" w:rsidP="0070401F">
      <w:pPr>
        <w:pStyle w:val="Ttol2"/>
      </w:pPr>
      <w:bookmarkStart w:id="24" w:name="_Toc464417684"/>
      <w:bookmarkStart w:id="25" w:name="_Toc464685606"/>
      <w:bookmarkStart w:id="26" w:name="_Toc465293337"/>
      <w:r w:rsidRPr="004A399A">
        <w:t xml:space="preserve">Les </w:t>
      </w:r>
      <w:r w:rsidRPr="00AE1078">
        <w:t>regles</w:t>
      </w:r>
      <w:r w:rsidRPr="004A399A">
        <w:t xml:space="preserve"> penitenciàries </w:t>
      </w:r>
      <w:r w:rsidRPr="00AE1078">
        <w:t>europees</w:t>
      </w:r>
      <w:r w:rsidRPr="004A399A">
        <w:t xml:space="preserve"> i les recomanacions del Consell d’Europa</w:t>
      </w:r>
      <w:bookmarkEnd w:id="24"/>
      <w:bookmarkEnd w:id="25"/>
      <w:bookmarkEnd w:id="26"/>
    </w:p>
    <w:p w:rsidR="00AE1078" w:rsidRPr="004A399A" w:rsidRDefault="00AE1078" w:rsidP="00AE1078">
      <w:r w:rsidRPr="004A399A">
        <w:t>Els principis bàsics de les Regles mínimes de les Nacions Unides per al tractament dels reclusos van inspirar la Recomanació (87)3 del Comitè de Ministres dels Estats Membres del Consell d'Europa sobre regles penitenciàries europees. Les regles europees concretaven i desenvolupaven aspectes en els quals les Regles mínimes s'havien mantingut en un àmbit de declaracions més genèriques, fet que no ha d'estranyar tenint en compte la major afinitat cultural i política dels estats als quals es dirigeix la Recomanació. El mateix preàmbul indicava que el text no conté unes normes tipus i constata que alguns serveis penitenciaris europeus ja han anat més enllà del contingut de les regles mateixes.</w:t>
      </w:r>
    </w:p>
    <w:p w:rsidR="00AE1078" w:rsidRPr="004A399A" w:rsidRDefault="00AE1078" w:rsidP="00AE1078">
      <w:r w:rsidRPr="004A399A">
        <w:t xml:space="preserve">En alguns aspectes les regles europees superen les Regles mínimes. En els principis fonamentals es fa referència a la </w:t>
      </w:r>
      <w:r w:rsidRPr="004A399A">
        <w:rPr>
          <w:rFonts w:cs="Arial"/>
        </w:rPr>
        <w:t>«</w:t>
      </w:r>
      <w:r w:rsidRPr="004A399A">
        <w:t>legalitat en l'execució de les penes</w:t>
      </w:r>
      <w:r w:rsidRPr="004A399A">
        <w:rPr>
          <w:rFonts w:cs="Arial"/>
        </w:rPr>
        <w:t>»</w:t>
      </w:r>
      <w:r w:rsidRPr="004A399A">
        <w:t xml:space="preserve"> i al control exercit </w:t>
      </w:r>
      <w:r w:rsidRPr="004A399A">
        <w:rPr>
          <w:rFonts w:cs="Arial"/>
        </w:rPr>
        <w:t>«</w:t>
      </w:r>
      <w:r w:rsidRPr="004A399A">
        <w:t>per una autoritat judicial o qualsevol altra autoritat legalment habilitada per a visitar els interns i que no pertanyi a l'Administració penitenciària</w:t>
      </w:r>
      <w:r w:rsidRPr="004A399A">
        <w:rPr>
          <w:rFonts w:cs="Arial"/>
        </w:rPr>
        <w:t>»</w:t>
      </w:r>
      <w:r w:rsidRPr="004A399A">
        <w:t xml:space="preserve">. En matèria de relacions amb el món exterior, es recomana l'adopció d'un </w:t>
      </w:r>
      <w:r w:rsidRPr="004A399A">
        <w:rPr>
          <w:rFonts w:cs="Arial"/>
        </w:rPr>
        <w:t>«</w:t>
      </w:r>
      <w:r w:rsidRPr="004A399A">
        <w:t>sistema de permisos penitenciaris compatibles amb els objectius del tractament</w:t>
      </w:r>
      <w:r w:rsidRPr="004A399A">
        <w:rPr>
          <w:rFonts w:cs="Arial"/>
        </w:rPr>
        <w:t>»</w:t>
      </w:r>
      <w:r w:rsidRPr="004A399A">
        <w:t xml:space="preserve">. D'altra banda, les regles penitenciàries europees desenvolupen les previsions relatives al tractament, no preveuen els mitjans mèdics o </w:t>
      </w:r>
      <w:r w:rsidRPr="004A399A">
        <w:lastRenderedPageBreak/>
        <w:t xml:space="preserve">quirúrgics i defineixen el treball penitenciari essencialment com </w:t>
      </w:r>
      <w:r w:rsidRPr="004A399A">
        <w:rPr>
          <w:rFonts w:cs="Arial"/>
        </w:rPr>
        <w:t>«</w:t>
      </w:r>
      <w:r w:rsidRPr="004A399A">
        <w:t>un element positiu del tractament</w:t>
      </w:r>
      <w:r w:rsidRPr="004A399A">
        <w:rPr>
          <w:rFonts w:cs="Arial"/>
        </w:rPr>
        <w:t>».</w:t>
      </w:r>
    </w:p>
    <w:p w:rsidR="00AE1078" w:rsidRPr="004A399A" w:rsidRDefault="00AE1078" w:rsidP="00AE1078">
      <w:r w:rsidRPr="004A399A">
        <w:t xml:space="preserve">Malgrat no tenir caràcter vinculant, les regles penitenciàries europees han estat utilitzades per la Cort Europea de Drets Humans en la fonamentació d'algunes resolucions referents a les condicions de les presons. La Recomanació 2006(2) del Consell d'Europa conté una nova versió de les regles penitenciàries europees. Estan encapçalades per uns principis fonamentals, entre els quals destaquen el de la conservació per part de les persones privades de llibertat de tots els drets que no s'hagin vist afectats </w:t>
      </w:r>
      <w:r w:rsidRPr="004A399A">
        <w:rPr>
          <w:rFonts w:cs="Arial"/>
        </w:rPr>
        <w:t>–</w:t>
      </w:r>
      <w:r w:rsidRPr="004A399A">
        <w:t>d'acord amb la llei</w:t>
      </w:r>
      <w:r w:rsidRPr="004A399A">
        <w:rPr>
          <w:rFonts w:cs="Arial"/>
        </w:rPr>
        <w:t>–</w:t>
      </w:r>
      <w:r w:rsidRPr="004A399A">
        <w:t xml:space="preserve"> per la seva condició de presos, els principis de necessitat i proporcionalitat en la imposició de restriccions o la necessitat d'adaptar la vida a la presó </w:t>
      </w:r>
      <w:r w:rsidRPr="004A399A">
        <w:rPr>
          <w:rFonts w:cs="Arial"/>
        </w:rPr>
        <w:t>–</w:t>
      </w:r>
      <w:r w:rsidRPr="004A399A">
        <w:t>en la mesura del que sigui possible</w:t>
      </w:r>
      <w:r w:rsidRPr="004A399A">
        <w:rPr>
          <w:rFonts w:cs="Arial"/>
        </w:rPr>
        <w:t>–</w:t>
      </w:r>
      <w:r w:rsidRPr="004A399A">
        <w:t xml:space="preserve"> als aspectes positius de la vida a l'exterior.</w:t>
      </w:r>
    </w:p>
    <w:p w:rsidR="00AE1078" w:rsidRPr="004A399A" w:rsidRDefault="00AE1078" w:rsidP="00AE1078">
      <w:r w:rsidRPr="004A399A">
        <w:t>Entre els aspectes d'organització i règim, les regles penitenciàries europees de 2006 preveuen:</w:t>
      </w:r>
    </w:p>
    <w:p w:rsidR="00AE1078" w:rsidRPr="004A399A" w:rsidRDefault="00AE1078" w:rsidP="00904443">
      <w:pPr>
        <w:pStyle w:val="Pargrafdellista"/>
        <w:numPr>
          <w:ilvl w:val="0"/>
          <w:numId w:val="58"/>
        </w:numPr>
      </w:pPr>
      <w:r w:rsidRPr="004A399A">
        <w:t>Els detinguts han d'estar situats tant com sigui possible en presons situades prop de la seva llar o del seu centre de reinserció social.</w:t>
      </w:r>
    </w:p>
    <w:p w:rsidR="00AE1078" w:rsidRPr="004A399A" w:rsidRDefault="00AE1078" w:rsidP="00904443">
      <w:pPr>
        <w:pStyle w:val="Pargrafdellista"/>
        <w:numPr>
          <w:ilvl w:val="0"/>
          <w:numId w:val="58"/>
        </w:numPr>
      </w:pPr>
      <w:r w:rsidRPr="004A399A">
        <w:t>Els locals de detenció i, en particular, aquells que són destinats a l'allotjament dels detinguts durant la nit, han de satisfer les exigències de respecte a la dignitat humana i, en la mesura del que sigui possible, de la vida privada i respondre a les condicions mínimes requerides en matèria de salut i higiene, tenint en compte les condicions climàtiques.</w:t>
      </w:r>
    </w:p>
    <w:p w:rsidR="00AE1078" w:rsidRPr="004A399A" w:rsidRDefault="00AE1078" w:rsidP="00904443">
      <w:pPr>
        <w:pStyle w:val="Pargrafdellista"/>
        <w:numPr>
          <w:ilvl w:val="0"/>
          <w:numId w:val="58"/>
        </w:numPr>
      </w:pPr>
      <w:r w:rsidRPr="004A399A">
        <w:t>Els presos han d'estar autoritzats a comunicar tan sovint com sigui possible –per carta, per telèfon o per altres mitjans de comunicació– amb la seva família, amb tercers i amb representants d'organismes exteriors, així com a rebre visites de les persones esmentades. Les sancions no han de consistir en la prohibició de contactar amb la família (60.4).</w:t>
      </w:r>
    </w:p>
    <w:p w:rsidR="00AE1078" w:rsidRPr="004A399A" w:rsidRDefault="00AE1078" w:rsidP="00904443">
      <w:pPr>
        <w:pStyle w:val="Pargrafdellista"/>
        <w:numPr>
          <w:ilvl w:val="0"/>
          <w:numId w:val="58"/>
        </w:numPr>
      </w:pPr>
      <w:r w:rsidRPr="004A399A">
        <w:t>Les dones han d'estar autoritzades a donar a llum fora de la presó.</w:t>
      </w:r>
    </w:p>
    <w:p w:rsidR="00AE1078" w:rsidRPr="004A399A" w:rsidRDefault="00AE1078" w:rsidP="00904443">
      <w:pPr>
        <w:pStyle w:val="Pargrafdellista"/>
        <w:numPr>
          <w:ilvl w:val="0"/>
          <w:numId w:val="58"/>
        </w:numPr>
      </w:pPr>
      <w:r w:rsidRPr="004A399A">
        <w:t>Els nens de poca edat poden estar a la presó amb un parent reclús únicament si això resulta d'interès per al menor.</w:t>
      </w:r>
    </w:p>
    <w:p w:rsidR="00AE1078" w:rsidRPr="004A399A" w:rsidRDefault="00AE1078" w:rsidP="00904443">
      <w:pPr>
        <w:pStyle w:val="Pargrafdellista"/>
        <w:numPr>
          <w:ilvl w:val="0"/>
          <w:numId w:val="58"/>
        </w:numPr>
      </w:pPr>
      <w:r w:rsidRPr="004A399A">
        <w:t xml:space="preserve">Els serveis mèdics administrats a la presó han d'estar organitzats en estreta relació amb l'administració general dels serveis sanitaris de la col·lectivitat local o de l'Estat i la política sanitària penitenciària ha d'estar integrada en la política nacional de salut pública, amb ple accés dels presos als serveis de salut sense discriminació. El tractament psiquiàtric ha d'estar assegurat per a tots els presos que requereixin una teràpia, amb una atenció especial per a prevenir els suïcidis </w:t>
      </w:r>
    </w:p>
    <w:p w:rsidR="00AE1078" w:rsidRPr="004A399A" w:rsidRDefault="00AE1078" w:rsidP="0070401F">
      <w:pPr>
        <w:pStyle w:val="Ttol2"/>
      </w:pPr>
      <w:bookmarkStart w:id="27" w:name="_Toc464417685"/>
      <w:bookmarkStart w:id="28" w:name="_Toc464685607"/>
      <w:bookmarkStart w:id="29" w:name="_Toc465293338"/>
      <w:r w:rsidRPr="004A399A">
        <w:t>Rellevància de la Declaració de Barcelona 2006 del Primer Congrés Internacional sobre la Funció Social de la Política Penitenciària</w:t>
      </w:r>
      <w:bookmarkEnd w:id="27"/>
      <w:bookmarkEnd w:id="28"/>
      <w:bookmarkEnd w:id="29"/>
    </w:p>
    <w:p w:rsidR="00AE1078" w:rsidRPr="004A399A" w:rsidRDefault="00AE1078" w:rsidP="00AE1078">
      <w:r w:rsidRPr="004A399A">
        <w:t>El Congrés Penitenciari Internacional, celebrat a Barcelona l’any 2006, va ésser organitzat pel Ministeri de l’Interior del Govern d’Espanya i pel Departament de Justícia de la Generalitat de Catalunya, amb la col·laboració del Consell d’Europa. El Comitè Científic del Congrés, basant-se en el contingut de les ponències i comunicacions presentades, així com dels debats produïts en el transcurs de les diverses sessions i de les reflexions i propostes sorgides de conferenciants, ponents i participants, va emetre una declaració on es detallaven diverses conclusions i que pretenia reafirmar la funció social de la política penitenciària. La declaració s’estructura en nou punts:</w:t>
      </w:r>
    </w:p>
    <w:p w:rsidR="00AE1078" w:rsidRPr="004A399A" w:rsidRDefault="00AE1078" w:rsidP="00904443">
      <w:pPr>
        <w:pStyle w:val="Pargrafdellista"/>
        <w:numPr>
          <w:ilvl w:val="0"/>
          <w:numId w:val="52"/>
        </w:numPr>
      </w:pPr>
      <w:r w:rsidRPr="004A399A">
        <w:t>Reafirmació de la finalitat reinseridora de la pena, derivada tant del mandat legal com de la tradició política d’una orientació humanista que aposta pel desenvolupament integral de la persona.</w:t>
      </w:r>
    </w:p>
    <w:p w:rsidR="00AE1078" w:rsidRPr="004A399A" w:rsidRDefault="00AE1078" w:rsidP="00AE1078">
      <w:pPr>
        <w:pStyle w:val="Pargrafdellista"/>
        <w:ind w:left="720"/>
      </w:pPr>
    </w:p>
    <w:p w:rsidR="00AE1078" w:rsidRPr="004A399A" w:rsidRDefault="00AE1078" w:rsidP="00AE1078">
      <w:pPr>
        <w:pStyle w:val="Pargrafdellista"/>
        <w:ind w:left="720"/>
      </w:pPr>
      <w:r w:rsidRPr="004A399A">
        <w:lastRenderedPageBreak/>
        <w:t>Prevenció, detenció, custòdia i resocialització han de ser intervencions complementàries entre si.</w:t>
      </w:r>
    </w:p>
    <w:p w:rsidR="00AE1078" w:rsidRPr="004A399A" w:rsidRDefault="00AE1078" w:rsidP="00AE1078">
      <w:pPr>
        <w:pStyle w:val="Pargrafdellista"/>
        <w:ind w:left="720"/>
      </w:pPr>
    </w:p>
    <w:p w:rsidR="00AE1078" w:rsidRPr="004A399A" w:rsidRDefault="00AE1078" w:rsidP="00904443">
      <w:pPr>
        <w:pStyle w:val="Pargrafdellista"/>
        <w:numPr>
          <w:ilvl w:val="0"/>
          <w:numId w:val="52"/>
        </w:numPr>
      </w:pPr>
      <w:r w:rsidRPr="004A399A">
        <w:t>Una nova orientació legislativa que insisteixi en la facilitació de la reinserció en la societat lliure. Les Regles penitenciàries europees subratllen que la manca de recursos no justifica la violació dels drets dels detinguts. El legislador ha de reflexionar sobre el cost social i econòmic d’un augment de les penes privatives de llibertat.</w:t>
      </w:r>
    </w:p>
    <w:p w:rsidR="00AE1078" w:rsidRPr="004A399A" w:rsidRDefault="00AE1078" w:rsidP="00AE1078">
      <w:pPr>
        <w:pStyle w:val="Pargrafdellista"/>
        <w:ind w:left="720"/>
      </w:pPr>
    </w:p>
    <w:p w:rsidR="00AE1078" w:rsidRPr="004A399A" w:rsidRDefault="00AE1078" w:rsidP="00904443">
      <w:pPr>
        <w:pStyle w:val="Pargrafdellista"/>
        <w:numPr>
          <w:ilvl w:val="0"/>
          <w:numId w:val="52"/>
        </w:numPr>
      </w:pPr>
      <w:r w:rsidRPr="004A399A">
        <w:t>Intensificació dels programes de tractament. S’han de situar en el centre de l’actuació els serveis individualitzats de tractament i salut i aproximar les modalitats de compliment cap a la reinserció i normalització de la vida, mitjançant el treball productiu i les accions d’intervenció educativa, cultural i esportiva.</w:t>
      </w:r>
    </w:p>
    <w:p w:rsidR="00AE1078" w:rsidRPr="004A399A" w:rsidRDefault="00AE1078" w:rsidP="00AE1078">
      <w:pPr>
        <w:pStyle w:val="Pargrafdellista"/>
        <w:ind w:left="720"/>
      </w:pPr>
    </w:p>
    <w:p w:rsidR="00AE1078" w:rsidRPr="004A399A" w:rsidRDefault="00AE1078" w:rsidP="00904443">
      <w:pPr>
        <w:pStyle w:val="Pargrafdellista"/>
        <w:numPr>
          <w:ilvl w:val="0"/>
          <w:numId w:val="52"/>
        </w:numPr>
      </w:pPr>
      <w:r w:rsidRPr="004A399A">
        <w:t>Foment de les mesures penals alternatives i del compliment de les penes en el medi comunitari. S’ha de superar la idea que les presons són el destí de tots els qui incompleixen les lleis penals. L’organització social, la tecnologia i les ciències de la conducta incorporen instruments nous per fer front a les noves necessitats del sistema penal.</w:t>
      </w:r>
    </w:p>
    <w:p w:rsidR="00AE1078" w:rsidRPr="004A399A" w:rsidRDefault="00AE1078" w:rsidP="00AE1078">
      <w:pPr>
        <w:pStyle w:val="Pargrafdellista"/>
        <w:ind w:left="720"/>
      </w:pPr>
    </w:p>
    <w:p w:rsidR="00AE1078" w:rsidRPr="004A399A" w:rsidRDefault="00AE1078" w:rsidP="00904443">
      <w:pPr>
        <w:pStyle w:val="Pargrafdellista"/>
        <w:numPr>
          <w:ilvl w:val="0"/>
          <w:numId w:val="52"/>
        </w:numPr>
      </w:pPr>
      <w:r w:rsidRPr="004A399A">
        <w:t>La política penitenciària, com a política social, és indissociable d’altres polítiques públiques d’aquest mateix ordre. La correcta política d’execució penal és la que acaba reduint el nombre de persones subjectes a mesures de control judicial i evita que retornin a la marginalitat i la delinqüència.</w:t>
      </w:r>
    </w:p>
    <w:p w:rsidR="00AE1078" w:rsidRPr="004A399A" w:rsidRDefault="00AE1078" w:rsidP="00AE1078">
      <w:pPr>
        <w:pStyle w:val="Pargrafdellista"/>
        <w:ind w:left="720"/>
      </w:pPr>
    </w:p>
    <w:p w:rsidR="00AE1078" w:rsidRPr="004A399A" w:rsidRDefault="00AE1078" w:rsidP="00904443">
      <w:pPr>
        <w:pStyle w:val="Pargrafdellista"/>
        <w:numPr>
          <w:ilvl w:val="0"/>
          <w:numId w:val="52"/>
        </w:numPr>
      </w:pPr>
      <w:r w:rsidRPr="004A399A">
        <w:t>Transparència i reconeixement social per aconseguir canviar la imatge i percepció negativa de l’opinió pública i els mitjans de comunicació, que s’estén sobre els treballadors i els professionals i sobre l’entorn que acull establiments penitenciaris. Cal millorar el coneixement d’aquesta realitat, de la seva dimensió social i de la seva contribució a la protecció dels drets dels ciutadans i a la seguretat pública.</w:t>
      </w:r>
    </w:p>
    <w:p w:rsidR="00AE1078" w:rsidRPr="004A399A" w:rsidRDefault="00AE1078" w:rsidP="00AE1078">
      <w:pPr>
        <w:pStyle w:val="Pargrafdellista"/>
        <w:ind w:left="720"/>
      </w:pPr>
    </w:p>
    <w:p w:rsidR="00AE1078" w:rsidRPr="004A399A" w:rsidRDefault="00AE1078" w:rsidP="00904443">
      <w:pPr>
        <w:pStyle w:val="Pargrafdellista"/>
        <w:numPr>
          <w:ilvl w:val="0"/>
          <w:numId w:val="52"/>
        </w:numPr>
      </w:pPr>
      <w:r w:rsidRPr="004A399A">
        <w:t>Hi ha d’haver la implicació i concertació social necessàries perquè la capacitat d’intervenció sigui efectiva. La política d’execució penal ha de ser una política social de responsabilitat compartida entre les administracions penitenciàries, la resta d’administracions i el conjunt d’entitats que treballen en l’atenció a les persones.</w:t>
      </w:r>
    </w:p>
    <w:p w:rsidR="00AE1078" w:rsidRPr="004A399A" w:rsidRDefault="00AE1078" w:rsidP="00AE1078">
      <w:pPr>
        <w:pStyle w:val="Pargrafdellista"/>
        <w:ind w:left="720"/>
      </w:pPr>
    </w:p>
    <w:p w:rsidR="00AE1078" w:rsidRPr="004A399A" w:rsidRDefault="00AE1078" w:rsidP="00904443">
      <w:pPr>
        <w:pStyle w:val="Pargrafdellista"/>
        <w:numPr>
          <w:ilvl w:val="0"/>
          <w:numId w:val="52"/>
        </w:numPr>
      </w:pPr>
      <w:r w:rsidRPr="004A399A">
        <w:t>Dotació i assignació de recursos d’acord amb les finalitats perseguides. Cal una política activa per afavorir el desenvolupament de competències dels professionals i facilitar el seu compromís amb el sistema i el reconeixement del seu treball; i també  els recursos materials per mantinguin les prestacions en un bon nivell de qualitat i coadjuvin en el sosteniment de la xarxa comunitària de suport.</w:t>
      </w:r>
    </w:p>
    <w:p w:rsidR="00AE1078" w:rsidRPr="004A399A" w:rsidRDefault="00AE1078" w:rsidP="00AE1078">
      <w:pPr>
        <w:pStyle w:val="Pargrafdellista"/>
        <w:ind w:left="720"/>
      </w:pPr>
    </w:p>
    <w:p w:rsidR="00AE1078" w:rsidRPr="004A399A" w:rsidRDefault="00AE1078" w:rsidP="00904443">
      <w:pPr>
        <w:pStyle w:val="Pargrafdellista"/>
        <w:numPr>
          <w:ilvl w:val="0"/>
          <w:numId w:val="52"/>
        </w:numPr>
      </w:pPr>
      <w:r w:rsidRPr="004A399A">
        <w:t>Noves fórmules organitzatives i de gestió, ja que la complexitat del sistema i la diversitat de funcions i situacions requereix adaptar les estructures per tal de donar una millor resposta al requeriments del sistema, afavorint la capacitat d’intervenció més tradicional amb la intervenció proactiva en l’àmbit comunitari i generant sinèrgies en el marc d’una cultura orientada a l’eficàcia i l’eficiència.</w:t>
      </w:r>
    </w:p>
    <w:p w:rsidR="00AE1078" w:rsidRPr="004A399A" w:rsidRDefault="007E6641" w:rsidP="007E6641">
      <w:pPr>
        <w:pStyle w:val="Pargrafdellista"/>
        <w:tabs>
          <w:tab w:val="left" w:pos="5694"/>
        </w:tabs>
      </w:pPr>
      <w:r>
        <w:tab/>
      </w:r>
    </w:p>
    <w:p w:rsidR="00AE1078" w:rsidRPr="00AE1078" w:rsidRDefault="00AE1078" w:rsidP="00AE1078">
      <w:r w:rsidRPr="004A399A">
        <w:t>Han passat 10 anys des de la Declaració de Barcelona, i els seus preceptes continuen plenament vigents i són el marc orientador de les polítiques d’execució penal.</w:t>
      </w:r>
      <w:r>
        <w:t xml:space="preserve"> </w:t>
      </w:r>
    </w:p>
    <w:p w:rsidR="00584272" w:rsidRPr="00CD223E" w:rsidRDefault="00584272" w:rsidP="0070401F">
      <w:pPr>
        <w:pStyle w:val="Ttol1"/>
      </w:pPr>
      <w:bookmarkStart w:id="30" w:name="_Toc463851762"/>
      <w:bookmarkStart w:id="31" w:name="_Toc463851821"/>
      <w:bookmarkStart w:id="32" w:name="_Toc463851837"/>
      <w:bookmarkStart w:id="33" w:name="_Toc463851875"/>
      <w:bookmarkStart w:id="34" w:name="_Toc464685608"/>
      <w:bookmarkStart w:id="35" w:name="_Toc465293339"/>
      <w:r w:rsidRPr="00CD223E">
        <w:lastRenderedPageBreak/>
        <w:t>Model de l’execució penal a Catalunya: de la definició a la visió operativa</w:t>
      </w:r>
      <w:bookmarkEnd w:id="30"/>
      <w:bookmarkEnd w:id="31"/>
      <w:bookmarkEnd w:id="32"/>
      <w:bookmarkEnd w:id="33"/>
      <w:bookmarkEnd w:id="34"/>
      <w:bookmarkEnd w:id="35"/>
    </w:p>
    <w:p w:rsidR="00584272" w:rsidRPr="00852B1B" w:rsidRDefault="00584272" w:rsidP="00584272">
      <w:pPr>
        <w:rPr>
          <w:rFonts w:cs="Arial"/>
        </w:rPr>
      </w:pPr>
      <w:r w:rsidRPr="00852B1B">
        <w:rPr>
          <w:rFonts w:cs="Arial"/>
        </w:rPr>
        <w:t>Les societats avançades reclamen constantment m</w:t>
      </w:r>
      <w:r>
        <w:rPr>
          <w:rFonts w:cs="Arial"/>
        </w:rPr>
        <w:t>és</w:t>
      </w:r>
      <w:r w:rsidRPr="00852B1B">
        <w:rPr>
          <w:rFonts w:cs="Arial"/>
        </w:rPr>
        <w:t xml:space="preserve"> seguretat, signe que identifica l</w:t>
      </w:r>
      <w:r>
        <w:rPr>
          <w:rFonts w:cs="Arial"/>
        </w:rPr>
        <w:t>’</w:t>
      </w:r>
      <w:r w:rsidRPr="00852B1B">
        <w:rPr>
          <w:rFonts w:cs="Arial"/>
        </w:rPr>
        <w:t>estat del benestar, però és evident que la seguretat total no existeix, i que no s</w:t>
      </w:r>
      <w:r>
        <w:rPr>
          <w:rFonts w:cs="Arial"/>
        </w:rPr>
        <w:t>’</w:t>
      </w:r>
      <w:r w:rsidRPr="00852B1B">
        <w:rPr>
          <w:rFonts w:cs="Arial"/>
        </w:rPr>
        <w:t>incrementa per disposar de lleis més punitives, més dotacions policials o més presons. Els governs progressistes i responsables incorporen polítiques socials, que són en definitiva les que augmenten la cohesió i la justícia social, la millor manera que la població es pugui sentir més segura.</w:t>
      </w:r>
    </w:p>
    <w:p w:rsidR="00584272" w:rsidRPr="00852B1B" w:rsidRDefault="00584272" w:rsidP="00584272">
      <w:pPr>
        <w:rPr>
          <w:rFonts w:cs="Arial"/>
        </w:rPr>
      </w:pPr>
      <w:r w:rsidRPr="00852B1B">
        <w:rPr>
          <w:rFonts w:cs="Arial"/>
        </w:rPr>
        <w:t>La perspectiva actual de treball en el context de l</w:t>
      </w:r>
      <w:r>
        <w:rPr>
          <w:rFonts w:cs="Arial"/>
        </w:rPr>
        <w:t>’</w:t>
      </w:r>
      <w:r w:rsidRPr="00852B1B">
        <w:rPr>
          <w:rFonts w:cs="Arial"/>
        </w:rPr>
        <w:t xml:space="preserve">execució </w:t>
      </w:r>
      <w:r w:rsidRPr="00A970C3">
        <w:rPr>
          <w:rFonts w:cs="Arial"/>
        </w:rPr>
        <w:t>penal no s’atura en</w:t>
      </w:r>
      <w:r w:rsidRPr="00852B1B">
        <w:rPr>
          <w:rFonts w:cs="Arial"/>
        </w:rPr>
        <w:t xml:space="preserve"> la privació de llibertat de la persona que ha delinquit sinó que el camp d</w:t>
      </w:r>
      <w:r>
        <w:rPr>
          <w:rFonts w:cs="Arial"/>
        </w:rPr>
        <w:t>’</w:t>
      </w:r>
      <w:r w:rsidRPr="00852B1B">
        <w:rPr>
          <w:rFonts w:cs="Arial"/>
        </w:rPr>
        <w:t>actuació s</w:t>
      </w:r>
      <w:r>
        <w:rPr>
          <w:rFonts w:cs="Arial"/>
        </w:rPr>
        <w:t>’</w:t>
      </w:r>
      <w:r w:rsidRPr="00852B1B">
        <w:rPr>
          <w:rFonts w:cs="Arial"/>
        </w:rPr>
        <w:t>estén a la reparació de la víctima i a la reinserció social del delinqüent. En aquest context, les mesures alternatives a les penes curtes de presó i combinades amb períodes de supervisió en llibertat estan en la línia de les recomanacions internacionals.</w:t>
      </w:r>
    </w:p>
    <w:p w:rsidR="00584272" w:rsidRDefault="00584272" w:rsidP="0070401F">
      <w:pPr>
        <w:pStyle w:val="Ttol2"/>
      </w:pPr>
      <w:bookmarkStart w:id="36" w:name="_Toc463851763"/>
      <w:bookmarkStart w:id="37" w:name="_Toc463851822"/>
      <w:bookmarkStart w:id="38" w:name="_Toc463851838"/>
      <w:bookmarkStart w:id="39" w:name="_Toc463851876"/>
      <w:bookmarkStart w:id="40" w:name="_Toc464685609"/>
      <w:bookmarkStart w:id="41" w:name="_Toc465293340"/>
      <w:r w:rsidRPr="00852B1B">
        <w:t xml:space="preserve">La </w:t>
      </w:r>
      <w:r w:rsidRPr="00CD223E">
        <w:t>missió</w:t>
      </w:r>
      <w:r w:rsidRPr="00852B1B">
        <w:t xml:space="preserve"> i la </w:t>
      </w:r>
      <w:r>
        <w:t>v</w:t>
      </w:r>
      <w:r w:rsidRPr="00852B1B">
        <w:t xml:space="preserve">isió dels </w:t>
      </w:r>
      <w:r>
        <w:t>s</w:t>
      </w:r>
      <w:r w:rsidRPr="00852B1B">
        <w:t>erveis d</w:t>
      </w:r>
      <w:r>
        <w:t>’e</w:t>
      </w:r>
      <w:r w:rsidRPr="00852B1B">
        <w:t xml:space="preserve">xecució </w:t>
      </w:r>
      <w:r>
        <w:t>p</w:t>
      </w:r>
      <w:r w:rsidRPr="00852B1B">
        <w:t>enal</w:t>
      </w:r>
      <w:bookmarkEnd w:id="36"/>
      <w:bookmarkEnd w:id="37"/>
      <w:bookmarkEnd w:id="38"/>
      <w:bookmarkEnd w:id="39"/>
      <w:bookmarkEnd w:id="40"/>
      <w:bookmarkEnd w:id="41"/>
    </w:p>
    <w:p w:rsidR="00CD223E" w:rsidRPr="00CD223E" w:rsidRDefault="00CD223E" w:rsidP="00CD223E"/>
    <w:p w:rsidR="00584272" w:rsidRPr="00852B1B" w:rsidRDefault="00584272" w:rsidP="0070401F">
      <w:pPr>
        <w:pStyle w:val="Ttol3"/>
      </w:pPr>
      <w:bookmarkStart w:id="42" w:name="_Toc463851764"/>
      <w:bookmarkStart w:id="43" w:name="_Toc463851823"/>
      <w:bookmarkStart w:id="44" w:name="_Toc463851839"/>
      <w:bookmarkStart w:id="45" w:name="_Toc463851877"/>
      <w:bookmarkStart w:id="46" w:name="_Toc464685610"/>
      <w:bookmarkStart w:id="47" w:name="_Toc465293341"/>
      <w:r w:rsidRPr="00852B1B">
        <w:t xml:space="preserve">Missió dels </w:t>
      </w:r>
      <w:r>
        <w:t>s</w:t>
      </w:r>
      <w:r w:rsidRPr="00852B1B">
        <w:t xml:space="preserve">erveis </w:t>
      </w:r>
      <w:r w:rsidRPr="00CD223E">
        <w:t>d’execució</w:t>
      </w:r>
      <w:r w:rsidRPr="00852B1B">
        <w:t xml:space="preserve"> </w:t>
      </w:r>
      <w:r>
        <w:t>p</w:t>
      </w:r>
      <w:r w:rsidRPr="00852B1B">
        <w:t>enal</w:t>
      </w:r>
      <w:bookmarkEnd w:id="42"/>
      <w:bookmarkEnd w:id="43"/>
      <w:bookmarkEnd w:id="44"/>
      <w:bookmarkEnd w:id="45"/>
      <w:bookmarkEnd w:id="46"/>
      <w:bookmarkEnd w:id="47"/>
    </w:p>
    <w:p w:rsidR="00584272" w:rsidRPr="00852B1B" w:rsidRDefault="00584272" w:rsidP="00584272">
      <w:pPr>
        <w:rPr>
          <w:rFonts w:cs="Arial"/>
        </w:rPr>
      </w:pPr>
      <w:r w:rsidRPr="00852B1B">
        <w:rPr>
          <w:rFonts w:cs="Arial"/>
        </w:rPr>
        <w:t>Quan parlem de la missió</w:t>
      </w:r>
      <w:r>
        <w:rPr>
          <w:rFonts w:cs="Arial"/>
        </w:rPr>
        <w:t>,</w:t>
      </w:r>
      <w:r w:rsidRPr="00852B1B">
        <w:rPr>
          <w:rFonts w:cs="Arial"/>
        </w:rPr>
        <w:t xml:space="preserve"> podem definir-la a través </w:t>
      </w:r>
      <w:r>
        <w:rPr>
          <w:rFonts w:cs="Arial"/>
        </w:rPr>
        <w:t>de</w:t>
      </w:r>
      <w:r w:rsidRPr="00852B1B">
        <w:rPr>
          <w:rFonts w:cs="Arial"/>
        </w:rPr>
        <w:t xml:space="preserve"> quatre variables que configuren el sentit de l</w:t>
      </w:r>
      <w:r>
        <w:rPr>
          <w:rFonts w:cs="Arial"/>
        </w:rPr>
        <w:t>’</w:t>
      </w:r>
      <w:r w:rsidRPr="00852B1B">
        <w:rPr>
          <w:rFonts w:cs="Arial"/>
        </w:rPr>
        <w:t xml:space="preserve">actuació dels </w:t>
      </w:r>
      <w:r>
        <w:rPr>
          <w:rFonts w:cs="Arial"/>
        </w:rPr>
        <w:t>s</w:t>
      </w:r>
      <w:r w:rsidRPr="00852B1B">
        <w:rPr>
          <w:rFonts w:cs="Arial"/>
        </w:rPr>
        <w:t>erveis d</w:t>
      </w:r>
      <w:r>
        <w:rPr>
          <w:rFonts w:cs="Arial"/>
        </w:rPr>
        <w:t>’e</w:t>
      </w:r>
      <w:r w:rsidRPr="00852B1B">
        <w:rPr>
          <w:rFonts w:cs="Arial"/>
        </w:rPr>
        <w:t xml:space="preserve">xecució </w:t>
      </w:r>
      <w:r>
        <w:rPr>
          <w:rFonts w:cs="Arial"/>
        </w:rPr>
        <w:t>p</w:t>
      </w:r>
      <w:r w:rsidRPr="00852B1B">
        <w:rPr>
          <w:rFonts w:cs="Arial"/>
        </w:rPr>
        <w:t>enal i que dimanen del marc legal constitucional i legislatiu</w:t>
      </w:r>
      <w:r>
        <w:rPr>
          <w:rFonts w:cs="Arial"/>
        </w:rPr>
        <w:t>, i que són</w:t>
      </w:r>
      <w:r w:rsidRPr="00852B1B">
        <w:rPr>
          <w:rFonts w:cs="Arial"/>
        </w:rPr>
        <w:t xml:space="preserve">: </w:t>
      </w:r>
    </w:p>
    <w:p w:rsidR="00584272" w:rsidRPr="00B43787" w:rsidRDefault="00584272" w:rsidP="00904443">
      <w:pPr>
        <w:pStyle w:val="Pargrafdellista"/>
        <w:numPr>
          <w:ilvl w:val="0"/>
          <w:numId w:val="69"/>
        </w:numPr>
        <w:spacing w:after="0"/>
        <w:rPr>
          <w:rFonts w:cs="Arial"/>
        </w:rPr>
      </w:pPr>
      <w:r w:rsidRPr="00B43787">
        <w:rPr>
          <w:rFonts w:cs="Arial"/>
        </w:rPr>
        <w:t>La reeducació i la reinserció social dels sentenciats a penes i mesures penals privatives de llibertat</w:t>
      </w:r>
    </w:p>
    <w:p w:rsidR="00584272" w:rsidRPr="00B43787" w:rsidRDefault="00584272" w:rsidP="00904443">
      <w:pPr>
        <w:pStyle w:val="Pargrafdellista"/>
        <w:numPr>
          <w:ilvl w:val="0"/>
          <w:numId w:val="69"/>
        </w:numPr>
        <w:spacing w:after="0"/>
        <w:rPr>
          <w:rFonts w:cs="Arial"/>
        </w:rPr>
      </w:pPr>
      <w:r w:rsidRPr="00B43787">
        <w:rPr>
          <w:rFonts w:cs="Arial"/>
        </w:rPr>
        <w:t xml:space="preserve">La retenció i custòdia dels detinguts, presos i penats </w:t>
      </w:r>
    </w:p>
    <w:p w:rsidR="00584272" w:rsidRPr="00B43787" w:rsidRDefault="00584272" w:rsidP="00904443">
      <w:pPr>
        <w:pStyle w:val="Pargrafdellista"/>
        <w:numPr>
          <w:ilvl w:val="0"/>
          <w:numId w:val="69"/>
        </w:numPr>
        <w:spacing w:after="0"/>
        <w:rPr>
          <w:rFonts w:cs="Arial"/>
        </w:rPr>
      </w:pPr>
      <w:r w:rsidRPr="00B43787">
        <w:rPr>
          <w:rFonts w:cs="Arial"/>
        </w:rPr>
        <w:t>La prestació d’assistència i d’ajuda per a interns i alliberats, en tant que membres de col·lectius en situació d’un elevat risc d’exclusió social</w:t>
      </w:r>
    </w:p>
    <w:p w:rsidR="00584272" w:rsidRPr="00B43787" w:rsidRDefault="00584272" w:rsidP="00904443">
      <w:pPr>
        <w:pStyle w:val="Pargrafdellista"/>
        <w:numPr>
          <w:ilvl w:val="0"/>
          <w:numId w:val="69"/>
        </w:numPr>
        <w:spacing w:after="0"/>
        <w:rPr>
          <w:rFonts w:cs="Arial"/>
        </w:rPr>
      </w:pPr>
      <w:r w:rsidRPr="00B43787">
        <w:rPr>
          <w:rFonts w:cs="Arial"/>
        </w:rPr>
        <w:t>Foment de polítiques d’execució penal en la comunitat</w:t>
      </w:r>
    </w:p>
    <w:p w:rsidR="00584272" w:rsidRPr="00852B1B" w:rsidRDefault="00584272" w:rsidP="00584272">
      <w:pPr>
        <w:rPr>
          <w:rFonts w:cs="Arial"/>
        </w:rPr>
      </w:pPr>
    </w:p>
    <w:p w:rsidR="00584272" w:rsidRPr="00852B1B" w:rsidRDefault="00584272" w:rsidP="0070401F">
      <w:pPr>
        <w:pStyle w:val="Ttol3"/>
      </w:pPr>
      <w:bookmarkStart w:id="48" w:name="_Toc463851765"/>
      <w:bookmarkStart w:id="49" w:name="_Toc463851824"/>
      <w:bookmarkStart w:id="50" w:name="_Toc463851840"/>
      <w:bookmarkStart w:id="51" w:name="_Toc463851878"/>
      <w:bookmarkStart w:id="52" w:name="_Toc464685611"/>
      <w:bookmarkStart w:id="53" w:name="_Toc465293342"/>
      <w:r w:rsidRPr="00852B1B">
        <w:t xml:space="preserve">Visió dels </w:t>
      </w:r>
      <w:r>
        <w:t>s</w:t>
      </w:r>
      <w:r w:rsidRPr="00852B1B">
        <w:t>erveis d</w:t>
      </w:r>
      <w:r>
        <w:t>’e</w:t>
      </w:r>
      <w:r w:rsidRPr="00852B1B">
        <w:t xml:space="preserve">xecució </w:t>
      </w:r>
      <w:r>
        <w:t>p</w:t>
      </w:r>
      <w:r w:rsidRPr="00852B1B">
        <w:t>enal</w:t>
      </w:r>
      <w:bookmarkEnd w:id="48"/>
      <w:bookmarkEnd w:id="49"/>
      <w:bookmarkEnd w:id="50"/>
      <w:bookmarkEnd w:id="51"/>
      <w:bookmarkEnd w:id="52"/>
      <w:bookmarkEnd w:id="53"/>
      <w:r w:rsidRPr="00852B1B">
        <w:t xml:space="preserve"> </w:t>
      </w:r>
    </w:p>
    <w:p w:rsidR="00584272" w:rsidRPr="00852B1B" w:rsidRDefault="00584272" w:rsidP="00584272">
      <w:pPr>
        <w:rPr>
          <w:rFonts w:cs="Arial"/>
        </w:rPr>
      </w:pPr>
      <w:r w:rsidRPr="00852B1B">
        <w:rPr>
          <w:rFonts w:cs="Arial"/>
        </w:rPr>
        <w:t>Com es vol exercir la missió d</w:t>
      </w:r>
      <w:r>
        <w:rPr>
          <w:rFonts w:cs="Arial"/>
        </w:rPr>
        <w:t>’</w:t>
      </w:r>
      <w:r w:rsidRPr="00852B1B">
        <w:rPr>
          <w:rFonts w:cs="Arial"/>
        </w:rPr>
        <w:t>aquests serveis i quins elements la configuren defineixen l</w:t>
      </w:r>
      <w:r>
        <w:rPr>
          <w:rFonts w:cs="Arial"/>
        </w:rPr>
        <w:t>’</w:t>
      </w:r>
      <w:r w:rsidRPr="00852B1B">
        <w:rPr>
          <w:rFonts w:cs="Arial"/>
        </w:rPr>
        <w:t>ideari del camí que s</w:t>
      </w:r>
      <w:r>
        <w:rPr>
          <w:rFonts w:cs="Arial"/>
        </w:rPr>
        <w:t>’</w:t>
      </w:r>
      <w:r w:rsidRPr="00852B1B">
        <w:rPr>
          <w:rFonts w:cs="Arial"/>
        </w:rPr>
        <w:t>ha de rec</w:t>
      </w:r>
      <w:r>
        <w:rPr>
          <w:rFonts w:cs="Arial"/>
        </w:rPr>
        <w:t>ó</w:t>
      </w:r>
      <w:r w:rsidRPr="00852B1B">
        <w:rPr>
          <w:rFonts w:cs="Arial"/>
        </w:rPr>
        <w:t>rre</w:t>
      </w:r>
      <w:r>
        <w:rPr>
          <w:rFonts w:cs="Arial"/>
        </w:rPr>
        <w:t>r</w:t>
      </w:r>
      <w:r w:rsidRPr="00852B1B">
        <w:rPr>
          <w:rFonts w:cs="Arial"/>
        </w:rPr>
        <w:t>:</w:t>
      </w:r>
    </w:p>
    <w:p w:rsidR="00584272" w:rsidRPr="00B43787" w:rsidRDefault="00584272" w:rsidP="00904443">
      <w:pPr>
        <w:pStyle w:val="Pargrafdellista"/>
        <w:numPr>
          <w:ilvl w:val="0"/>
          <w:numId w:val="70"/>
        </w:numPr>
        <w:rPr>
          <w:rFonts w:cs="Arial"/>
        </w:rPr>
      </w:pPr>
      <w:r w:rsidRPr="00B43787">
        <w:rPr>
          <w:rFonts w:cs="Arial"/>
        </w:rPr>
        <w:t>Les mesures i actuacions que s’han de desenvolupar dins del marc d’una veritable política social,</w:t>
      </w:r>
    </w:p>
    <w:p w:rsidR="00584272" w:rsidRPr="00B43787" w:rsidRDefault="00584272" w:rsidP="00904443">
      <w:pPr>
        <w:pStyle w:val="Pargrafdellista"/>
        <w:numPr>
          <w:ilvl w:val="0"/>
          <w:numId w:val="70"/>
        </w:numPr>
        <w:rPr>
          <w:rFonts w:cs="Arial"/>
        </w:rPr>
      </w:pPr>
      <w:r w:rsidRPr="00B43787">
        <w:rPr>
          <w:rFonts w:cs="Arial"/>
        </w:rPr>
        <w:t xml:space="preserve">duta a terme en un marc de col·laboració i participació, </w:t>
      </w:r>
    </w:p>
    <w:p w:rsidR="00584272" w:rsidRPr="00B43787" w:rsidRDefault="00584272" w:rsidP="00904443">
      <w:pPr>
        <w:pStyle w:val="Pargrafdellista"/>
        <w:numPr>
          <w:ilvl w:val="0"/>
          <w:numId w:val="70"/>
        </w:numPr>
        <w:rPr>
          <w:rFonts w:cs="Arial"/>
        </w:rPr>
      </w:pPr>
      <w:r w:rsidRPr="00B43787">
        <w:rPr>
          <w:rFonts w:cs="Arial"/>
        </w:rPr>
        <w:t xml:space="preserve">basada en una atenció individualitzada, </w:t>
      </w:r>
    </w:p>
    <w:p w:rsidR="00584272" w:rsidRPr="00B43787" w:rsidRDefault="00584272" w:rsidP="00904443">
      <w:pPr>
        <w:pStyle w:val="Pargrafdellista"/>
        <w:numPr>
          <w:ilvl w:val="0"/>
          <w:numId w:val="70"/>
        </w:numPr>
        <w:rPr>
          <w:rFonts w:cs="Arial"/>
        </w:rPr>
      </w:pPr>
      <w:r w:rsidRPr="00B43787">
        <w:rPr>
          <w:rFonts w:cs="Arial"/>
        </w:rPr>
        <w:t>amb programes d’intervenció que afavoreixin la rehabilitació i la reinserció, tant social com laboral</w:t>
      </w:r>
    </w:p>
    <w:p w:rsidR="00584272" w:rsidRPr="00B43787" w:rsidRDefault="00584272" w:rsidP="00904443">
      <w:pPr>
        <w:pStyle w:val="Pargrafdellista"/>
        <w:numPr>
          <w:ilvl w:val="0"/>
          <w:numId w:val="70"/>
        </w:numPr>
        <w:rPr>
          <w:rFonts w:cs="Arial"/>
        </w:rPr>
      </w:pPr>
      <w:r w:rsidRPr="00B43787">
        <w:rPr>
          <w:rFonts w:cs="Arial"/>
        </w:rPr>
        <w:t>que es complementa amb actuacions dins de l’àmbit comunitari,</w:t>
      </w:r>
    </w:p>
    <w:p w:rsidR="00584272" w:rsidRPr="00B43787" w:rsidRDefault="00584272" w:rsidP="00904443">
      <w:pPr>
        <w:pStyle w:val="Pargrafdellista"/>
        <w:numPr>
          <w:ilvl w:val="0"/>
          <w:numId w:val="70"/>
        </w:numPr>
        <w:rPr>
          <w:rFonts w:cs="Arial"/>
        </w:rPr>
      </w:pPr>
      <w:r w:rsidRPr="00B43787">
        <w:rPr>
          <w:rFonts w:cs="Arial"/>
        </w:rPr>
        <w:t>i tot plegat dins d’un profund respecte dels drets de totes les persones afectades.</w:t>
      </w:r>
    </w:p>
    <w:p w:rsidR="00584272" w:rsidRPr="00852B1B" w:rsidRDefault="00584272" w:rsidP="00584272">
      <w:pPr>
        <w:rPr>
          <w:rFonts w:cs="Arial"/>
        </w:rPr>
      </w:pPr>
    </w:p>
    <w:p w:rsidR="00584272" w:rsidRPr="00852B1B" w:rsidRDefault="00584272" w:rsidP="0070401F">
      <w:pPr>
        <w:pStyle w:val="Ttol2"/>
      </w:pPr>
      <w:bookmarkStart w:id="54" w:name="_Toc463851766"/>
      <w:bookmarkStart w:id="55" w:name="_Toc463851825"/>
      <w:bookmarkStart w:id="56" w:name="_Toc463851841"/>
      <w:bookmarkStart w:id="57" w:name="_Toc463851879"/>
      <w:bookmarkStart w:id="58" w:name="_Toc464685612"/>
      <w:bookmarkStart w:id="59" w:name="_Toc465293343"/>
      <w:r w:rsidRPr="00852B1B">
        <w:t>Els valors de l</w:t>
      </w:r>
      <w:r>
        <w:t>’</w:t>
      </w:r>
      <w:r w:rsidRPr="00852B1B">
        <w:t>organització</w:t>
      </w:r>
      <w:bookmarkEnd w:id="54"/>
      <w:bookmarkEnd w:id="55"/>
      <w:bookmarkEnd w:id="56"/>
      <w:bookmarkEnd w:id="57"/>
      <w:bookmarkEnd w:id="58"/>
      <w:bookmarkEnd w:id="59"/>
    </w:p>
    <w:p w:rsidR="00584272" w:rsidRPr="00852B1B" w:rsidRDefault="00584272" w:rsidP="00584272">
      <w:pPr>
        <w:pStyle w:val="Pargrafdellista"/>
        <w:spacing w:after="0"/>
        <w:rPr>
          <w:rFonts w:cs="Arial"/>
        </w:rPr>
      </w:pPr>
      <w:r w:rsidRPr="00852B1B">
        <w:rPr>
          <w:rFonts w:cs="Arial"/>
        </w:rPr>
        <w:t>Els valors d</w:t>
      </w:r>
      <w:r>
        <w:rPr>
          <w:rFonts w:cs="Arial"/>
        </w:rPr>
        <w:t>’</w:t>
      </w:r>
      <w:r w:rsidRPr="00852B1B">
        <w:rPr>
          <w:rFonts w:cs="Arial"/>
        </w:rPr>
        <w:t xml:space="preserve">aquesta organització mostren els fonaments bàsics que impregnen totes les seves actuacions i comportaments. Com </w:t>
      </w:r>
      <w:r>
        <w:rPr>
          <w:rFonts w:cs="Arial"/>
        </w:rPr>
        <w:t xml:space="preserve">a </w:t>
      </w:r>
      <w:r w:rsidRPr="00852B1B">
        <w:rPr>
          <w:rFonts w:cs="Arial"/>
        </w:rPr>
        <w:t>serveis d</w:t>
      </w:r>
      <w:r>
        <w:rPr>
          <w:rFonts w:cs="Arial"/>
        </w:rPr>
        <w:t>’e</w:t>
      </w:r>
      <w:r w:rsidRPr="00852B1B">
        <w:rPr>
          <w:rFonts w:cs="Arial"/>
        </w:rPr>
        <w:t xml:space="preserve">xecució </w:t>
      </w:r>
      <w:r>
        <w:rPr>
          <w:rFonts w:cs="Arial"/>
        </w:rPr>
        <w:t>p</w:t>
      </w:r>
      <w:r w:rsidRPr="00852B1B">
        <w:rPr>
          <w:rFonts w:cs="Arial"/>
        </w:rPr>
        <w:t>enal</w:t>
      </w:r>
      <w:r>
        <w:rPr>
          <w:rFonts w:cs="Arial"/>
        </w:rPr>
        <w:t>,</w:t>
      </w:r>
      <w:r w:rsidRPr="00852B1B">
        <w:rPr>
          <w:rFonts w:cs="Arial"/>
        </w:rPr>
        <w:t xml:space="preserve"> els valors fonamentals que han de regir l</w:t>
      </w:r>
      <w:r>
        <w:rPr>
          <w:rFonts w:cs="Arial"/>
        </w:rPr>
        <w:t>’</w:t>
      </w:r>
      <w:r w:rsidRPr="00852B1B">
        <w:rPr>
          <w:rFonts w:cs="Arial"/>
        </w:rPr>
        <w:t xml:space="preserve">acció quotidiana són: </w:t>
      </w:r>
    </w:p>
    <w:p w:rsidR="00584272" w:rsidRPr="00852B1B" w:rsidRDefault="00584272" w:rsidP="00904443">
      <w:pPr>
        <w:pStyle w:val="Pargrafdellista"/>
        <w:numPr>
          <w:ilvl w:val="0"/>
          <w:numId w:val="66"/>
        </w:numPr>
        <w:spacing w:after="0"/>
        <w:rPr>
          <w:rFonts w:cs="Arial"/>
        </w:rPr>
      </w:pPr>
      <w:r w:rsidRPr="00852B1B">
        <w:rPr>
          <w:rFonts w:cs="Arial"/>
        </w:rPr>
        <w:lastRenderedPageBreak/>
        <w:t>El dret al respecte de la condició i dignitat humana de les persones sotmeses a mesures i penes privatives de llibertat</w:t>
      </w:r>
    </w:p>
    <w:p w:rsidR="00584272" w:rsidRPr="00852B1B" w:rsidRDefault="00584272" w:rsidP="00904443">
      <w:pPr>
        <w:pStyle w:val="Pargrafdellista"/>
        <w:numPr>
          <w:ilvl w:val="0"/>
          <w:numId w:val="66"/>
        </w:numPr>
        <w:spacing w:after="0"/>
        <w:rPr>
          <w:rFonts w:cs="Arial"/>
        </w:rPr>
      </w:pPr>
      <w:r w:rsidRPr="00852B1B">
        <w:rPr>
          <w:rFonts w:cs="Arial"/>
        </w:rPr>
        <w:t>L</w:t>
      </w:r>
      <w:r>
        <w:rPr>
          <w:rFonts w:cs="Arial"/>
        </w:rPr>
        <w:t>’</w:t>
      </w:r>
      <w:r w:rsidRPr="00852B1B">
        <w:rPr>
          <w:rFonts w:cs="Arial"/>
        </w:rPr>
        <w:t>accés a la informació, a la cultura i a la resta de prestacions i recursos que possibilitin el desenvolupament i el creixement personal</w:t>
      </w:r>
    </w:p>
    <w:p w:rsidR="00584272" w:rsidRPr="00852B1B" w:rsidRDefault="00584272" w:rsidP="00904443">
      <w:pPr>
        <w:pStyle w:val="Pargrafdellista"/>
        <w:numPr>
          <w:ilvl w:val="0"/>
          <w:numId w:val="66"/>
        </w:numPr>
        <w:spacing w:after="0"/>
        <w:rPr>
          <w:rFonts w:cs="Arial"/>
        </w:rPr>
      </w:pPr>
      <w:r w:rsidRPr="00852B1B">
        <w:rPr>
          <w:rFonts w:cs="Arial"/>
        </w:rPr>
        <w:t>El respecte a les diferències ètniques, religioses, culturals, ideològiques i d</w:t>
      </w:r>
      <w:r>
        <w:rPr>
          <w:rFonts w:cs="Arial"/>
        </w:rPr>
        <w:t>’</w:t>
      </w:r>
      <w:r w:rsidRPr="00852B1B">
        <w:rPr>
          <w:rFonts w:cs="Arial"/>
        </w:rPr>
        <w:t>opinió</w:t>
      </w:r>
    </w:p>
    <w:p w:rsidR="00584272" w:rsidRPr="00852B1B" w:rsidRDefault="00584272" w:rsidP="00904443">
      <w:pPr>
        <w:pStyle w:val="Pargrafdellista"/>
        <w:numPr>
          <w:ilvl w:val="0"/>
          <w:numId w:val="66"/>
        </w:numPr>
        <w:spacing w:after="0"/>
        <w:rPr>
          <w:rFonts w:cs="Arial"/>
        </w:rPr>
      </w:pPr>
      <w:r w:rsidRPr="00852B1B">
        <w:rPr>
          <w:rFonts w:cs="Arial"/>
        </w:rPr>
        <w:t>Les garanties de seguretat per a la integritat física i la salut</w:t>
      </w:r>
      <w:r>
        <w:rPr>
          <w:rFonts w:cs="Arial"/>
        </w:rPr>
        <w:t>,</w:t>
      </w:r>
      <w:r w:rsidRPr="00852B1B">
        <w:rPr>
          <w:rFonts w:cs="Arial"/>
        </w:rPr>
        <w:t xml:space="preserve"> i el respecte de totes les garanties legals per a les persones sotmeses a mesures alternatives i de privació de llibertat i també dels treballadors que exerceixen les seves funcions</w:t>
      </w:r>
    </w:p>
    <w:p w:rsidR="00584272" w:rsidRPr="00852B1B" w:rsidRDefault="00584272" w:rsidP="00584272">
      <w:pPr>
        <w:spacing w:before="0"/>
        <w:jc w:val="left"/>
        <w:rPr>
          <w:rFonts w:eastAsiaTheme="majorEastAsia" w:cs="Arial"/>
          <w:b/>
          <w:color w:val="1F497D" w:themeColor="text2"/>
          <w:sz w:val="24"/>
          <w:szCs w:val="26"/>
        </w:rPr>
      </w:pPr>
    </w:p>
    <w:p w:rsidR="00584272" w:rsidRPr="00852B1B" w:rsidRDefault="00584272" w:rsidP="0070401F">
      <w:pPr>
        <w:pStyle w:val="Ttol3"/>
      </w:pPr>
      <w:bookmarkStart w:id="60" w:name="_Toc463851767"/>
      <w:bookmarkStart w:id="61" w:name="_Toc463851826"/>
      <w:bookmarkStart w:id="62" w:name="_Toc463851842"/>
      <w:bookmarkStart w:id="63" w:name="_Toc463851880"/>
      <w:bookmarkStart w:id="64" w:name="_Toc464685613"/>
      <w:bookmarkStart w:id="65" w:name="_Toc465293344"/>
      <w:r w:rsidRPr="00852B1B">
        <w:t>El Codi ètic dels professionals de l</w:t>
      </w:r>
      <w:r>
        <w:t>’</w:t>
      </w:r>
      <w:r w:rsidRPr="00852B1B">
        <w:t>execució penal</w:t>
      </w:r>
      <w:bookmarkEnd w:id="60"/>
      <w:bookmarkEnd w:id="61"/>
      <w:bookmarkEnd w:id="62"/>
      <w:bookmarkEnd w:id="63"/>
      <w:bookmarkEnd w:id="64"/>
      <w:bookmarkEnd w:id="65"/>
    </w:p>
    <w:p w:rsidR="00584272" w:rsidRPr="00852B1B" w:rsidRDefault="00584272" w:rsidP="00584272">
      <w:pPr>
        <w:rPr>
          <w:rFonts w:cs="Arial"/>
        </w:rPr>
      </w:pPr>
      <w:r w:rsidRPr="00852B1B">
        <w:rPr>
          <w:rFonts w:cs="Arial"/>
        </w:rPr>
        <w:t>Els valors i principis que orienten les actuacions del personal de l</w:t>
      </w:r>
      <w:r>
        <w:rPr>
          <w:rFonts w:cs="Arial"/>
        </w:rPr>
        <w:t>’</w:t>
      </w:r>
      <w:r w:rsidRPr="00852B1B">
        <w:rPr>
          <w:rFonts w:cs="Arial"/>
        </w:rPr>
        <w:t>execució penal va portar al compromís d</w:t>
      </w:r>
      <w:r>
        <w:rPr>
          <w:rFonts w:cs="Arial"/>
        </w:rPr>
        <w:t>’</w:t>
      </w:r>
      <w:r w:rsidRPr="00852B1B">
        <w:rPr>
          <w:rFonts w:cs="Arial"/>
        </w:rPr>
        <w:t>elaborar un Codi ètic, entenent que un dels factors cabdals en el desenvolupament i l</w:t>
      </w:r>
      <w:r>
        <w:rPr>
          <w:rFonts w:cs="Arial"/>
        </w:rPr>
        <w:t>’</w:t>
      </w:r>
      <w:r w:rsidRPr="00852B1B">
        <w:rPr>
          <w:rFonts w:cs="Arial"/>
        </w:rPr>
        <w:t>assoliment de les funcions encomanades per l</w:t>
      </w:r>
      <w:r>
        <w:rPr>
          <w:rFonts w:cs="Arial"/>
        </w:rPr>
        <w:t>’</w:t>
      </w:r>
      <w:r w:rsidRPr="00852B1B">
        <w:rPr>
          <w:rFonts w:cs="Arial"/>
        </w:rPr>
        <w:t>ordenament jurídic són els professionals encarregats de dur a terme les funcions d</w:t>
      </w:r>
      <w:r>
        <w:rPr>
          <w:rFonts w:cs="Arial"/>
        </w:rPr>
        <w:t>’</w:t>
      </w:r>
      <w:r w:rsidRPr="00852B1B">
        <w:rPr>
          <w:rFonts w:cs="Arial"/>
        </w:rPr>
        <w:t>execució penal, atès que la seva conducta i actitud han de servir d</w:t>
      </w:r>
      <w:r>
        <w:rPr>
          <w:rFonts w:cs="Arial"/>
        </w:rPr>
        <w:t>’</w:t>
      </w:r>
      <w:r w:rsidRPr="00852B1B">
        <w:rPr>
          <w:rFonts w:cs="Arial"/>
        </w:rPr>
        <w:t xml:space="preserve">exemple i </w:t>
      </w:r>
      <w:r>
        <w:rPr>
          <w:rFonts w:cs="Arial"/>
        </w:rPr>
        <w:t>d’</w:t>
      </w:r>
      <w:r w:rsidRPr="00852B1B">
        <w:rPr>
          <w:rFonts w:cs="Arial"/>
        </w:rPr>
        <w:t>inspiració no només per als reclusos, sinó a la resta de la institució i a la societat mateixa.</w:t>
      </w:r>
    </w:p>
    <w:p w:rsidR="00584272" w:rsidRPr="00852B1B" w:rsidRDefault="00584272" w:rsidP="00584272">
      <w:pPr>
        <w:rPr>
          <w:rFonts w:cs="Arial"/>
        </w:rPr>
      </w:pPr>
      <w:r w:rsidRPr="00852B1B">
        <w:rPr>
          <w:rFonts w:cs="Arial"/>
        </w:rPr>
        <w:t>El Codi ètic dels professionals de l</w:t>
      </w:r>
      <w:r>
        <w:rPr>
          <w:rFonts w:cs="Arial"/>
        </w:rPr>
        <w:t>’</w:t>
      </w:r>
      <w:r w:rsidRPr="00852B1B">
        <w:rPr>
          <w:rFonts w:cs="Arial"/>
        </w:rPr>
        <w:t>execució penal a Catalunya és un instrument mitjançant el qual es pretén dotar l</w:t>
      </w:r>
      <w:r>
        <w:rPr>
          <w:rFonts w:cs="Arial"/>
        </w:rPr>
        <w:t>’</w:t>
      </w:r>
      <w:r w:rsidRPr="00852B1B">
        <w:rPr>
          <w:rFonts w:cs="Arial"/>
        </w:rPr>
        <w:t>organització administrativa competent en matèria d</w:t>
      </w:r>
      <w:r>
        <w:rPr>
          <w:rFonts w:cs="Arial"/>
        </w:rPr>
        <w:t>’</w:t>
      </w:r>
      <w:r w:rsidRPr="00852B1B">
        <w:rPr>
          <w:rFonts w:cs="Arial"/>
        </w:rPr>
        <w:t>execució penal a Catalunya d</w:t>
      </w:r>
      <w:r>
        <w:rPr>
          <w:rFonts w:cs="Arial"/>
        </w:rPr>
        <w:t>’</w:t>
      </w:r>
      <w:r w:rsidRPr="00852B1B">
        <w:rPr>
          <w:rFonts w:cs="Arial"/>
        </w:rPr>
        <w:t>un marc ètic on s</w:t>
      </w:r>
      <w:r>
        <w:rPr>
          <w:rFonts w:cs="Arial"/>
        </w:rPr>
        <w:t>’</w:t>
      </w:r>
      <w:r w:rsidRPr="00852B1B">
        <w:rPr>
          <w:rFonts w:cs="Arial"/>
        </w:rPr>
        <w:t>ha de situar l</w:t>
      </w:r>
      <w:r>
        <w:rPr>
          <w:rFonts w:cs="Arial"/>
        </w:rPr>
        <w:t>’</w:t>
      </w:r>
      <w:r w:rsidRPr="00852B1B">
        <w:rPr>
          <w:rFonts w:cs="Arial"/>
        </w:rPr>
        <w:t>actuació dels professionals d</w:t>
      </w:r>
      <w:r>
        <w:rPr>
          <w:rFonts w:cs="Arial"/>
        </w:rPr>
        <w:t>’</w:t>
      </w:r>
      <w:r w:rsidRPr="00852B1B">
        <w:rPr>
          <w:rFonts w:cs="Arial"/>
        </w:rPr>
        <w:t xml:space="preserve">aquest àmbit en un context de respecte als drets humans i </w:t>
      </w:r>
      <w:r>
        <w:rPr>
          <w:rFonts w:cs="Arial"/>
        </w:rPr>
        <w:t xml:space="preserve">a </w:t>
      </w:r>
      <w:r w:rsidRPr="00852B1B">
        <w:rPr>
          <w:rFonts w:cs="Arial"/>
        </w:rPr>
        <w:t>la dignitat humana de les persones a la seva disposició; i a la vegada mostrar al conjunt de la societat el compromís que el Departament assumeix en el desenvolupament i l</w:t>
      </w:r>
      <w:r>
        <w:rPr>
          <w:rFonts w:cs="Arial"/>
        </w:rPr>
        <w:t>’</w:t>
      </w:r>
      <w:r w:rsidRPr="00852B1B">
        <w:rPr>
          <w:rFonts w:cs="Arial"/>
        </w:rPr>
        <w:t>assoliment de les funcions encomanades per l</w:t>
      </w:r>
      <w:r>
        <w:rPr>
          <w:rFonts w:cs="Arial"/>
        </w:rPr>
        <w:t>’</w:t>
      </w:r>
      <w:r w:rsidRPr="00852B1B">
        <w:rPr>
          <w:rFonts w:cs="Arial"/>
        </w:rPr>
        <w:t>ordenament jurídic, definint els fonaments necessaris que han de concórrer en la prestació del servei públic d</w:t>
      </w:r>
      <w:r>
        <w:rPr>
          <w:rFonts w:cs="Arial"/>
        </w:rPr>
        <w:t>’</w:t>
      </w:r>
      <w:r w:rsidRPr="00852B1B">
        <w:rPr>
          <w:rFonts w:cs="Arial"/>
        </w:rPr>
        <w:t xml:space="preserve">execució penal per tal de vetllar per la integritat organitzativa en el seu conjunt. </w:t>
      </w:r>
    </w:p>
    <w:p w:rsidR="00584272" w:rsidRPr="00852B1B" w:rsidRDefault="00584272" w:rsidP="00584272">
      <w:pPr>
        <w:rPr>
          <w:rFonts w:cs="Arial"/>
        </w:rPr>
      </w:pPr>
      <w:r w:rsidRPr="00852B1B">
        <w:rPr>
          <w:rFonts w:cs="Arial"/>
        </w:rPr>
        <w:t>El Codi ètic és un instrument estructural de la institució d</w:t>
      </w:r>
      <w:r>
        <w:rPr>
          <w:rFonts w:cs="Arial"/>
        </w:rPr>
        <w:t>’</w:t>
      </w:r>
      <w:r w:rsidRPr="00852B1B">
        <w:rPr>
          <w:rFonts w:cs="Arial"/>
        </w:rPr>
        <w:t>execució penal a Catalunya</w:t>
      </w:r>
      <w:r>
        <w:rPr>
          <w:rFonts w:cs="Arial"/>
        </w:rPr>
        <w:t xml:space="preserve"> ja</w:t>
      </w:r>
      <w:r w:rsidRPr="00852B1B">
        <w:rPr>
          <w:rFonts w:cs="Arial"/>
        </w:rPr>
        <w:t xml:space="preserve"> qu</w:t>
      </w:r>
      <w:r>
        <w:rPr>
          <w:rFonts w:cs="Arial"/>
        </w:rPr>
        <w:t>e</w:t>
      </w:r>
      <w:r w:rsidRPr="00852B1B">
        <w:rPr>
          <w:rFonts w:cs="Arial"/>
        </w:rPr>
        <w:t xml:space="preserve"> no només determina quin ha de ser l</w:t>
      </w:r>
      <w:r>
        <w:rPr>
          <w:rFonts w:cs="Arial"/>
        </w:rPr>
        <w:t>’</w:t>
      </w:r>
      <w:r w:rsidRPr="00852B1B">
        <w:rPr>
          <w:rFonts w:cs="Arial"/>
        </w:rPr>
        <w:t>estàndard de comportament i actuació de totes aquelles persones implicades, des de qualsevol àmbit, i en qualsevol posició jeràrquica, en un servei tan ampli com és el de l</w:t>
      </w:r>
      <w:r>
        <w:rPr>
          <w:rFonts w:cs="Arial"/>
        </w:rPr>
        <w:t>’</w:t>
      </w:r>
      <w:r w:rsidRPr="00852B1B">
        <w:rPr>
          <w:rFonts w:cs="Arial"/>
        </w:rPr>
        <w:t>execució penal, sinó perquè enllaça també i es fonamenta directament en tots aquells compromisos adquirits per l</w:t>
      </w:r>
      <w:r>
        <w:rPr>
          <w:rFonts w:cs="Arial"/>
        </w:rPr>
        <w:t>’</w:t>
      </w:r>
      <w:r w:rsidRPr="00852B1B">
        <w:rPr>
          <w:rFonts w:cs="Arial"/>
        </w:rPr>
        <w:t xml:space="preserve">Estat espanyol en matèria de reconeixement i respecte als drets humans de les persones, amb caràcter general, i de les persones sotmeses a penes i mesures privatives de llibertat, de manera més específica. </w:t>
      </w:r>
    </w:p>
    <w:p w:rsidR="00584272" w:rsidRPr="00852B1B" w:rsidRDefault="00584272" w:rsidP="00584272">
      <w:pPr>
        <w:rPr>
          <w:rFonts w:cs="Arial"/>
        </w:rPr>
      </w:pPr>
      <w:r w:rsidRPr="00852B1B">
        <w:rPr>
          <w:rFonts w:cs="Arial"/>
        </w:rPr>
        <w:t xml:space="preserve">Mitjançant la Circular 2/2001 es va aprovar, en annex, el text del Codi ètic, el qual va incorporar gairebé íntegrament el </w:t>
      </w:r>
      <w:r>
        <w:rPr>
          <w:rFonts w:cs="Arial"/>
        </w:rPr>
        <w:t>d</w:t>
      </w:r>
      <w:r w:rsidRPr="00852B1B">
        <w:rPr>
          <w:rFonts w:cs="Arial"/>
        </w:rPr>
        <w:t>ocument de bases de la Comissió d</w:t>
      </w:r>
      <w:r>
        <w:rPr>
          <w:rFonts w:cs="Arial"/>
        </w:rPr>
        <w:t>’</w:t>
      </w:r>
      <w:r w:rsidRPr="00852B1B">
        <w:rPr>
          <w:rFonts w:cs="Arial"/>
        </w:rPr>
        <w:t>experts. La Circular conté igualment un seguit de disposicions mitjançant les quals, d</w:t>
      </w:r>
      <w:r>
        <w:rPr>
          <w:rFonts w:cs="Arial"/>
        </w:rPr>
        <w:t>’</w:t>
      </w:r>
      <w:r w:rsidRPr="00852B1B">
        <w:rPr>
          <w:rFonts w:cs="Arial"/>
        </w:rPr>
        <w:t>una banda, s</w:t>
      </w:r>
      <w:r>
        <w:rPr>
          <w:rFonts w:cs="Arial"/>
        </w:rPr>
        <w:t>’</w:t>
      </w:r>
      <w:r w:rsidRPr="00852B1B">
        <w:rPr>
          <w:rFonts w:cs="Arial"/>
        </w:rPr>
        <w:t>insta les persones titulars de les unitats directives a impulsar i promoure la mediació administrativa com a instrument de resolució de conflictes i de creació d</w:t>
      </w:r>
      <w:r>
        <w:rPr>
          <w:rFonts w:cs="Arial"/>
        </w:rPr>
        <w:t>’</w:t>
      </w:r>
      <w:r w:rsidRPr="00852B1B">
        <w:rPr>
          <w:rFonts w:cs="Arial"/>
        </w:rPr>
        <w:t>un entorn ètic entre els professionals de l</w:t>
      </w:r>
      <w:r>
        <w:rPr>
          <w:rFonts w:cs="Arial"/>
        </w:rPr>
        <w:t>’</w:t>
      </w:r>
      <w:r w:rsidRPr="00852B1B">
        <w:rPr>
          <w:rFonts w:cs="Arial"/>
        </w:rPr>
        <w:t>execució penal i/o l</w:t>
      </w:r>
      <w:r>
        <w:rPr>
          <w:rFonts w:cs="Arial"/>
        </w:rPr>
        <w:t>’A</w:t>
      </w:r>
      <w:r w:rsidRPr="00852B1B">
        <w:rPr>
          <w:rFonts w:cs="Arial"/>
        </w:rPr>
        <w:t>dministració pública; s</w:t>
      </w:r>
      <w:r>
        <w:rPr>
          <w:rFonts w:cs="Arial"/>
        </w:rPr>
        <w:t>’</w:t>
      </w:r>
      <w:r w:rsidRPr="00852B1B">
        <w:rPr>
          <w:rFonts w:cs="Arial"/>
        </w:rPr>
        <w:t>acorda que els òrgans competents de les unitats directives afectades incloguin una clàusula, pacte o acord, en els instruments de cooperació i col·laboració amb entitats dels sector social, per tal que les persones que les integrin acompleix</w:t>
      </w:r>
      <w:r>
        <w:rPr>
          <w:rFonts w:cs="Arial"/>
        </w:rPr>
        <w:t>i</w:t>
      </w:r>
      <w:r w:rsidRPr="00852B1B">
        <w:rPr>
          <w:rFonts w:cs="Arial"/>
        </w:rPr>
        <w:t>n les previsions del Codi ètic</w:t>
      </w:r>
      <w:r>
        <w:rPr>
          <w:rFonts w:cs="Arial"/>
        </w:rPr>
        <w:t>,</w:t>
      </w:r>
      <w:r w:rsidRPr="00852B1B">
        <w:rPr>
          <w:rFonts w:cs="Arial"/>
        </w:rPr>
        <w:t xml:space="preserve"> i, finalment, es crea la Comissió de seguiment del Codi ètic, com a unitat de treball a la qual correspon de manera específica la vigilància del grau de compliment del </w:t>
      </w:r>
      <w:r>
        <w:rPr>
          <w:rFonts w:cs="Arial"/>
        </w:rPr>
        <w:t>C</w:t>
      </w:r>
      <w:r w:rsidRPr="00852B1B">
        <w:rPr>
          <w:rFonts w:cs="Arial"/>
        </w:rPr>
        <w:t>odi ètic, així com la formulació de propostes per a l</w:t>
      </w:r>
      <w:r>
        <w:rPr>
          <w:rFonts w:cs="Arial"/>
        </w:rPr>
        <w:t>’</w:t>
      </w:r>
      <w:r w:rsidRPr="00852B1B">
        <w:rPr>
          <w:rFonts w:cs="Arial"/>
        </w:rPr>
        <w:t>eradicació dels comportaments que denotin corrupció personal, i l</w:t>
      </w:r>
      <w:r>
        <w:rPr>
          <w:rFonts w:cs="Arial"/>
        </w:rPr>
        <w:t>’</w:t>
      </w:r>
      <w:r w:rsidRPr="00852B1B">
        <w:rPr>
          <w:rFonts w:cs="Arial"/>
        </w:rPr>
        <w:t xml:space="preserve">optimització de les actituds ètiques. </w:t>
      </w:r>
    </w:p>
    <w:p w:rsidR="00584272" w:rsidRPr="00852B1B" w:rsidRDefault="00584272" w:rsidP="00584272">
      <w:pPr>
        <w:rPr>
          <w:rFonts w:cs="Arial"/>
        </w:rPr>
      </w:pPr>
      <w:r w:rsidRPr="00852B1B">
        <w:rPr>
          <w:rFonts w:cs="Arial"/>
        </w:rPr>
        <w:t>S</w:t>
      </w:r>
      <w:r>
        <w:rPr>
          <w:rFonts w:cs="Arial"/>
        </w:rPr>
        <w:t>’</w:t>
      </w:r>
      <w:r w:rsidRPr="00852B1B">
        <w:rPr>
          <w:rFonts w:cs="Arial"/>
        </w:rPr>
        <w:t>ha de posar en evidència la importància en el contingut de les bases del Codi ètic, que si bé algunes d</w:t>
      </w:r>
      <w:r>
        <w:rPr>
          <w:rFonts w:cs="Arial"/>
        </w:rPr>
        <w:t>’</w:t>
      </w:r>
      <w:r w:rsidRPr="00852B1B">
        <w:rPr>
          <w:rFonts w:cs="Arial"/>
        </w:rPr>
        <w:t>elles es podria dir que aporten reflexions que haurien de ser compartides per qualsevol persona que duu a terme un servei públic, com poden ser la lleialtat institucional, el principi d</w:t>
      </w:r>
      <w:r>
        <w:rPr>
          <w:rFonts w:cs="Arial"/>
        </w:rPr>
        <w:t>’</w:t>
      </w:r>
      <w:r w:rsidRPr="00852B1B">
        <w:rPr>
          <w:rFonts w:cs="Arial"/>
        </w:rPr>
        <w:t>igualtat efectiva, el de bona fe i dedicació exclusiva, per exemple, n</w:t>
      </w:r>
      <w:r>
        <w:rPr>
          <w:rFonts w:cs="Arial"/>
        </w:rPr>
        <w:t>’</w:t>
      </w:r>
      <w:r w:rsidRPr="00852B1B">
        <w:rPr>
          <w:rFonts w:cs="Arial"/>
        </w:rPr>
        <w:t>hi ha d</w:t>
      </w:r>
      <w:r>
        <w:rPr>
          <w:rFonts w:cs="Arial"/>
        </w:rPr>
        <w:t>’</w:t>
      </w:r>
      <w:r w:rsidRPr="00852B1B">
        <w:rPr>
          <w:rFonts w:cs="Arial"/>
        </w:rPr>
        <w:t>altres amb un profund arrelament en l</w:t>
      </w:r>
      <w:r>
        <w:rPr>
          <w:rFonts w:cs="Arial"/>
        </w:rPr>
        <w:t>’</w:t>
      </w:r>
      <w:r w:rsidRPr="00852B1B">
        <w:rPr>
          <w:rFonts w:cs="Arial"/>
        </w:rPr>
        <w:t>àmbit de l</w:t>
      </w:r>
      <w:r>
        <w:rPr>
          <w:rFonts w:cs="Arial"/>
        </w:rPr>
        <w:t>’</w:t>
      </w:r>
      <w:r w:rsidRPr="00852B1B">
        <w:rPr>
          <w:rFonts w:cs="Arial"/>
        </w:rPr>
        <w:t>execució penal, com són l</w:t>
      </w:r>
      <w:r>
        <w:rPr>
          <w:rFonts w:cs="Arial"/>
        </w:rPr>
        <w:t>’</w:t>
      </w:r>
      <w:r w:rsidRPr="00852B1B">
        <w:rPr>
          <w:rFonts w:cs="Arial"/>
        </w:rPr>
        <w:t xml:space="preserve">ús mínim i proporcional </w:t>
      </w:r>
      <w:r w:rsidRPr="00852B1B">
        <w:rPr>
          <w:rFonts w:cs="Arial"/>
        </w:rPr>
        <w:lastRenderedPageBreak/>
        <w:t xml:space="preserve">de la força per part del personal penitenciari, i la prohibició absoluta de la tortura i els tractes degradants, i que han de ser escrupolosament i rigorosament </w:t>
      </w:r>
      <w:r w:rsidRPr="002D5B6F">
        <w:rPr>
          <w:rFonts w:cs="Arial"/>
        </w:rPr>
        <w:t>observades per</w:t>
      </w:r>
      <w:r w:rsidRPr="00852B1B">
        <w:rPr>
          <w:rFonts w:cs="Arial"/>
        </w:rPr>
        <w:t xml:space="preserve"> tal de garantir que aquest servei públic es presta en les millors condicions d</w:t>
      </w:r>
      <w:r>
        <w:rPr>
          <w:rFonts w:cs="Arial"/>
        </w:rPr>
        <w:t>’</w:t>
      </w:r>
      <w:r w:rsidRPr="00852B1B">
        <w:rPr>
          <w:rFonts w:cs="Arial"/>
        </w:rPr>
        <w:t>eficàcia i excel·lència, amb un ple respecte als drets humans de les persones afectades per l</w:t>
      </w:r>
      <w:r>
        <w:rPr>
          <w:rFonts w:cs="Arial"/>
        </w:rPr>
        <w:t>’</w:t>
      </w:r>
      <w:r w:rsidRPr="00852B1B">
        <w:rPr>
          <w:rFonts w:cs="Arial"/>
        </w:rPr>
        <w:t>execució d</w:t>
      </w:r>
      <w:r>
        <w:rPr>
          <w:rFonts w:cs="Arial"/>
        </w:rPr>
        <w:t>’</w:t>
      </w:r>
      <w:r w:rsidRPr="00852B1B">
        <w:rPr>
          <w:rFonts w:cs="Arial"/>
        </w:rPr>
        <w:t xml:space="preserve">una mesura restrictiva de la llibertat. </w:t>
      </w:r>
    </w:p>
    <w:p w:rsidR="00584272" w:rsidRPr="00852B1B" w:rsidRDefault="00584272" w:rsidP="00584272">
      <w:pPr>
        <w:rPr>
          <w:rFonts w:cs="Arial"/>
        </w:rPr>
      </w:pPr>
      <w:r w:rsidRPr="00852B1B">
        <w:rPr>
          <w:rFonts w:cs="Arial"/>
        </w:rPr>
        <w:t>En el mes d</w:t>
      </w:r>
      <w:r>
        <w:rPr>
          <w:rFonts w:cs="Arial"/>
        </w:rPr>
        <w:t>’</w:t>
      </w:r>
      <w:r w:rsidRPr="00852B1B">
        <w:rPr>
          <w:rFonts w:cs="Arial"/>
        </w:rPr>
        <w:t xml:space="preserve">octubre de 2012 es configura la Comissió del Codi ètic com un grup de treball, de caràcter consultiu, encarregat de la vigilància del grau de compliment del Codi ètic, així com de la formulació de les propostes que </w:t>
      </w:r>
      <w:r>
        <w:rPr>
          <w:rFonts w:cs="Arial"/>
        </w:rPr>
        <w:t>sigui</w:t>
      </w:r>
      <w:r w:rsidRPr="00852B1B">
        <w:rPr>
          <w:rFonts w:cs="Arial"/>
        </w:rPr>
        <w:t>n necessàries per a l</w:t>
      </w:r>
      <w:r>
        <w:rPr>
          <w:rFonts w:cs="Arial"/>
        </w:rPr>
        <w:t>’</w:t>
      </w:r>
      <w:r w:rsidRPr="00852B1B">
        <w:rPr>
          <w:rFonts w:cs="Arial"/>
        </w:rPr>
        <w:t>eradicació dels comportaments que denotin corrupció personal, i l</w:t>
      </w:r>
      <w:r>
        <w:rPr>
          <w:rFonts w:cs="Arial"/>
        </w:rPr>
        <w:t>’</w:t>
      </w:r>
      <w:r w:rsidRPr="00852B1B">
        <w:rPr>
          <w:rFonts w:cs="Arial"/>
        </w:rPr>
        <w:t>optimització de les actituds ètiques en l</w:t>
      </w:r>
      <w:r>
        <w:rPr>
          <w:rFonts w:cs="Arial"/>
        </w:rPr>
        <w:t>’</w:t>
      </w:r>
      <w:r w:rsidRPr="00852B1B">
        <w:rPr>
          <w:rFonts w:cs="Arial"/>
        </w:rPr>
        <w:t>àmbit d</w:t>
      </w:r>
      <w:r>
        <w:rPr>
          <w:rFonts w:cs="Arial"/>
        </w:rPr>
        <w:t>’</w:t>
      </w:r>
      <w:r w:rsidRPr="00852B1B">
        <w:rPr>
          <w:rFonts w:cs="Arial"/>
        </w:rPr>
        <w:t>actuació de l</w:t>
      </w:r>
      <w:r>
        <w:rPr>
          <w:rFonts w:cs="Arial"/>
        </w:rPr>
        <w:t>’a</w:t>
      </w:r>
      <w:r w:rsidRPr="00852B1B">
        <w:rPr>
          <w:rFonts w:cs="Arial"/>
        </w:rPr>
        <w:t>dministració d</w:t>
      </w:r>
      <w:r>
        <w:rPr>
          <w:rFonts w:cs="Arial"/>
        </w:rPr>
        <w:t>’</w:t>
      </w:r>
      <w:r w:rsidRPr="00852B1B">
        <w:rPr>
          <w:rFonts w:cs="Arial"/>
        </w:rPr>
        <w:t xml:space="preserve">execució penal. </w:t>
      </w:r>
    </w:p>
    <w:p w:rsidR="00584272" w:rsidRPr="00852B1B" w:rsidRDefault="00584272" w:rsidP="00584272">
      <w:pPr>
        <w:rPr>
          <w:rFonts w:cs="Arial"/>
        </w:rPr>
      </w:pPr>
      <w:r w:rsidRPr="00852B1B">
        <w:rPr>
          <w:rFonts w:cs="Arial"/>
        </w:rPr>
        <w:t>Aquesta Comissió està formada per sis persones, representants del centre directiu, d</w:t>
      </w:r>
      <w:r>
        <w:rPr>
          <w:rFonts w:cs="Arial"/>
        </w:rPr>
        <w:t>’</w:t>
      </w:r>
      <w:r w:rsidRPr="00852B1B">
        <w:rPr>
          <w:rFonts w:cs="Arial"/>
        </w:rPr>
        <w:t>equipaments penitenciaris i de justícia juvenil, de l</w:t>
      </w:r>
      <w:r>
        <w:rPr>
          <w:rFonts w:cs="Arial"/>
        </w:rPr>
        <w:t>’</w:t>
      </w:r>
      <w:r w:rsidRPr="00852B1B">
        <w:rPr>
          <w:rFonts w:cs="Arial"/>
        </w:rPr>
        <w:t>àmbit sindical i del sector de la col·laboració social; i des de la seva creació, s</w:t>
      </w:r>
      <w:r>
        <w:rPr>
          <w:rFonts w:cs="Arial"/>
        </w:rPr>
        <w:t>’</w:t>
      </w:r>
      <w:r w:rsidRPr="00852B1B">
        <w:rPr>
          <w:rFonts w:cs="Arial"/>
        </w:rPr>
        <w:t xml:space="preserve">ha reunit amb una periodicitat anual. </w:t>
      </w:r>
    </w:p>
    <w:p w:rsidR="00584272" w:rsidRPr="00852B1B" w:rsidRDefault="00584272" w:rsidP="00584272">
      <w:pPr>
        <w:rPr>
          <w:rFonts w:cs="Arial"/>
        </w:rPr>
      </w:pPr>
      <w:r w:rsidRPr="00852B1B">
        <w:rPr>
          <w:rFonts w:cs="Arial"/>
        </w:rPr>
        <w:t xml:space="preserve">Un dels objectius principals de la Comissió de seguiment ha estat </w:t>
      </w:r>
      <w:r>
        <w:rPr>
          <w:rFonts w:cs="Arial"/>
        </w:rPr>
        <w:t xml:space="preserve">difondre tant com els ha estat possible </w:t>
      </w:r>
      <w:r w:rsidRPr="00852B1B">
        <w:rPr>
          <w:rFonts w:cs="Arial"/>
        </w:rPr>
        <w:t>el Codi ètic, tant entre els professionals de la institució com entre les entitats i les persones col·laboradores amb el servei públic d</w:t>
      </w:r>
      <w:r>
        <w:rPr>
          <w:rFonts w:cs="Arial"/>
        </w:rPr>
        <w:t>’</w:t>
      </w:r>
      <w:r w:rsidRPr="00852B1B">
        <w:rPr>
          <w:rFonts w:cs="Arial"/>
        </w:rPr>
        <w:t>execució penal. I en aquest sentit, s</w:t>
      </w:r>
      <w:r>
        <w:rPr>
          <w:rFonts w:cs="Arial"/>
        </w:rPr>
        <w:t>’</w:t>
      </w:r>
      <w:r w:rsidRPr="00852B1B">
        <w:rPr>
          <w:rFonts w:cs="Arial"/>
        </w:rPr>
        <w:t>inclou en els instruments de col·laboració amb entitats del sector social, de caràcter públic o privat, i de voluntariat, una clàusula sobre la necessitat d</w:t>
      </w:r>
      <w:r>
        <w:rPr>
          <w:rFonts w:cs="Arial"/>
        </w:rPr>
        <w:t>’</w:t>
      </w:r>
      <w:r w:rsidRPr="00852B1B">
        <w:rPr>
          <w:rFonts w:cs="Arial"/>
        </w:rPr>
        <w:t>incorporació de les previsions del codi ètic en l</w:t>
      </w:r>
      <w:r>
        <w:rPr>
          <w:rFonts w:cs="Arial"/>
        </w:rPr>
        <w:t>’</w:t>
      </w:r>
      <w:r w:rsidRPr="00852B1B">
        <w:rPr>
          <w:rFonts w:cs="Arial"/>
        </w:rPr>
        <w:t xml:space="preserve">actuació de les persones que en formin part. </w:t>
      </w:r>
    </w:p>
    <w:p w:rsidR="00584272" w:rsidRPr="00852B1B" w:rsidRDefault="00584272" w:rsidP="00584272">
      <w:pPr>
        <w:rPr>
          <w:rFonts w:cs="Arial"/>
        </w:rPr>
      </w:pPr>
      <w:r w:rsidRPr="00852B1B">
        <w:rPr>
          <w:rFonts w:cs="Arial"/>
        </w:rPr>
        <w:t>Igualment, una altra de les finalitats que cal atribuir a les disposicions del Codi ètic, de conformitat amb la normativa vigent, és la de servir de paràmetre d</w:t>
      </w:r>
      <w:r>
        <w:rPr>
          <w:rFonts w:cs="Arial"/>
        </w:rPr>
        <w:t>’</w:t>
      </w:r>
      <w:r w:rsidRPr="00852B1B">
        <w:rPr>
          <w:rFonts w:cs="Arial"/>
        </w:rPr>
        <w:t>interpretació del règim disciplinari dels professionals de l</w:t>
      </w:r>
      <w:r>
        <w:rPr>
          <w:rFonts w:cs="Arial"/>
        </w:rPr>
        <w:t>’</w:t>
      </w:r>
      <w:r w:rsidRPr="00852B1B">
        <w:rPr>
          <w:rFonts w:cs="Arial"/>
        </w:rPr>
        <w:t>execució penal. D</w:t>
      </w:r>
      <w:r>
        <w:rPr>
          <w:rFonts w:cs="Arial"/>
        </w:rPr>
        <w:t>’</w:t>
      </w:r>
      <w:r w:rsidRPr="00852B1B">
        <w:rPr>
          <w:rFonts w:cs="Arial"/>
        </w:rPr>
        <w:t>acord amb el què preveu l</w:t>
      </w:r>
      <w:r>
        <w:rPr>
          <w:rFonts w:cs="Arial"/>
        </w:rPr>
        <w:t>’</w:t>
      </w:r>
      <w:r w:rsidRPr="00852B1B">
        <w:rPr>
          <w:rFonts w:cs="Arial"/>
        </w:rPr>
        <w:t>article 52 del Text refós de la Llei de l</w:t>
      </w:r>
      <w:r>
        <w:rPr>
          <w:rFonts w:cs="Arial"/>
        </w:rPr>
        <w:t>’</w:t>
      </w:r>
      <w:r w:rsidRPr="00852B1B">
        <w:rPr>
          <w:rFonts w:cs="Arial"/>
        </w:rPr>
        <w:t xml:space="preserve">Estatut </w:t>
      </w:r>
      <w:r>
        <w:rPr>
          <w:rFonts w:cs="Arial"/>
        </w:rPr>
        <w:t>b</w:t>
      </w:r>
      <w:r w:rsidRPr="00852B1B">
        <w:rPr>
          <w:rFonts w:cs="Arial"/>
        </w:rPr>
        <w:t>àsic de l</w:t>
      </w:r>
      <w:r>
        <w:rPr>
          <w:rFonts w:cs="Arial"/>
        </w:rPr>
        <w:t>’e</w:t>
      </w:r>
      <w:r w:rsidRPr="00852B1B">
        <w:rPr>
          <w:rFonts w:cs="Arial"/>
        </w:rPr>
        <w:t xml:space="preserve">mpleat </w:t>
      </w:r>
      <w:r>
        <w:rPr>
          <w:rFonts w:cs="Arial"/>
        </w:rPr>
        <w:t>p</w:t>
      </w:r>
      <w:r w:rsidRPr="00852B1B">
        <w:rPr>
          <w:rFonts w:cs="Arial"/>
        </w:rPr>
        <w:t>úblic (EBEP), aprovat mitjançant el Reial decret legislatiu 5/2015, de 30 d</w:t>
      </w:r>
      <w:r>
        <w:rPr>
          <w:rFonts w:cs="Arial"/>
        </w:rPr>
        <w:t>’</w:t>
      </w:r>
      <w:r w:rsidRPr="00852B1B">
        <w:rPr>
          <w:rFonts w:cs="Arial"/>
        </w:rPr>
        <w:t xml:space="preserve">octubre, els principis i </w:t>
      </w:r>
      <w:r>
        <w:rPr>
          <w:rFonts w:cs="Arial"/>
        </w:rPr>
        <w:t xml:space="preserve">les </w:t>
      </w:r>
      <w:r w:rsidRPr="00852B1B">
        <w:rPr>
          <w:rFonts w:cs="Arial"/>
        </w:rPr>
        <w:t>regles de conducta establerts a la norma han d</w:t>
      </w:r>
      <w:r>
        <w:rPr>
          <w:rFonts w:cs="Arial"/>
        </w:rPr>
        <w:t>’</w:t>
      </w:r>
      <w:r w:rsidRPr="00852B1B">
        <w:rPr>
          <w:rFonts w:cs="Arial"/>
        </w:rPr>
        <w:t>informar la interpretació i l</w:t>
      </w:r>
      <w:r>
        <w:rPr>
          <w:rFonts w:cs="Arial"/>
        </w:rPr>
        <w:t>’</w:t>
      </w:r>
      <w:r w:rsidRPr="00852B1B">
        <w:rPr>
          <w:rFonts w:cs="Arial"/>
        </w:rPr>
        <w:t>aplicació del règim disciplinari dels empleats públics, motiu pel qual aquelles regles de conducta, juntament amb les previsions del Codi ètic, han servit de manera eficaç i adequada per interpretar, modular i aplicar les normes vigents relatives al règim disciplinari dels professionals al servei de l</w:t>
      </w:r>
      <w:r>
        <w:rPr>
          <w:rFonts w:cs="Arial"/>
        </w:rPr>
        <w:t>’</w:t>
      </w:r>
      <w:r w:rsidRPr="00852B1B">
        <w:rPr>
          <w:rFonts w:cs="Arial"/>
        </w:rPr>
        <w:t>Administració d</w:t>
      </w:r>
      <w:r>
        <w:rPr>
          <w:rFonts w:cs="Arial"/>
        </w:rPr>
        <w:t>’</w:t>
      </w:r>
      <w:r w:rsidRPr="00852B1B">
        <w:rPr>
          <w:rFonts w:cs="Arial"/>
        </w:rPr>
        <w:t xml:space="preserve">execució penal. </w:t>
      </w:r>
    </w:p>
    <w:p w:rsidR="00584272" w:rsidRDefault="00584272" w:rsidP="00584272">
      <w:pPr>
        <w:rPr>
          <w:rFonts w:cs="Arial"/>
        </w:rPr>
      </w:pPr>
      <w:r w:rsidRPr="00852B1B">
        <w:rPr>
          <w:rFonts w:cs="Arial"/>
        </w:rPr>
        <w:t>Tot i la important tasca que s</w:t>
      </w:r>
      <w:r>
        <w:rPr>
          <w:rFonts w:cs="Arial"/>
        </w:rPr>
        <w:t>’</w:t>
      </w:r>
      <w:r w:rsidRPr="00852B1B">
        <w:rPr>
          <w:rFonts w:cs="Arial"/>
        </w:rPr>
        <w:t>ha dut a terme en aquest àmbit, l</w:t>
      </w:r>
      <w:r>
        <w:rPr>
          <w:rFonts w:cs="Arial"/>
        </w:rPr>
        <w:t>’</w:t>
      </w:r>
      <w:r w:rsidRPr="00852B1B">
        <w:rPr>
          <w:rFonts w:cs="Arial"/>
        </w:rPr>
        <w:t>aplicació del Codi ètic d</w:t>
      </w:r>
      <w:r>
        <w:rPr>
          <w:rFonts w:cs="Arial"/>
        </w:rPr>
        <w:t>’</w:t>
      </w:r>
      <w:r w:rsidRPr="00852B1B">
        <w:rPr>
          <w:rFonts w:cs="Arial"/>
        </w:rPr>
        <w:t xml:space="preserve">ençà </w:t>
      </w:r>
      <w:r>
        <w:rPr>
          <w:rFonts w:cs="Arial"/>
        </w:rPr>
        <w:t>que es va aprovar</w:t>
      </w:r>
      <w:r w:rsidRPr="00852B1B">
        <w:rPr>
          <w:rFonts w:cs="Arial"/>
        </w:rPr>
        <w:t xml:space="preserve"> no ha esdevingut encara plena ni definitiva, i resta pendent un major coneixement per part de l</w:t>
      </w:r>
      <w:r>
        <w:rPr>
          <w:rFonts w:cs="Arial"/>
        </w:rPr>
        <w:t>’</w:t>
      </w:r>
      <w:r w:rsidRPr="00852B1B">
        <w:rPr>
          <w:rFonts w:cs="Arial"/>
        </w:rPr>
        <w:t>organització</w:t>
      </w:r>
      <w:r>
        <w:rPr>
          <w:rFonts w:cs="Arial"/>
        </w:rPr>
        <w:t xml:space="preserve"> </w:t>
      </w:r>
      <w:r w:rsidRPr="00852B1B">
        <w:rPr>
          <w:rFonts w:cs="Arial"/>
        </w:rPr>
        <w:t>i</w:t>
      </w:r>
      <w:r>
        <w:rPr>
          <w:rFonts w:cs="Arial"/>
        </w:rPr>
        <w:t>,</w:t>
      </w:r>
      <w:r w:rsidRPr="00852B1B">
        <w:rPr>
          <w:rFonts w:cs="Arial"/>
        </w:rPr>
        <w:t xml:space="preserve"> per tant</w:t>
      </w:r>
      <w:r>
        <w:rPr>
          <w:rFonts w:cs="Arial"/>
        </w:rPr>
        <w:t>,</w:t>
      </w:r>
      <w:r w:rsidRPr="00852B1B">
        <w:rPr>
          <w:rFonts w:cs="Arial"/>
        </w:rPr>
        <w:t xml:space="preserve"> una presència </w:t>
      </w:r>
      <w:r>
        <w:rPr>
          <w:rFonts w:cs="Arial"/>
        </w:rPr>
        <w:t xml:space="preserve">més estesa </w:t>
      </w:r>
      <w:r w:rsidRPr="00852B1B">
        <w:rPr>
          <w:rFonts w:cs="Arial"/>
        </w:rPr>
        <w:t>en el conjunt de la institució.</w:t>
      </w:r>
    </w:p>
    <w:p w:rsidR="00584272" w:rsidRPr="00852B1B" w:rsidRDefault="00584272" w:rsidP="00584272">
      <w:pPr>
        <w:rPr>
          <w:rFonts w:cs="Arial"/>
        </w:rPr>
      </w:pPr>
    </w:p>
    <w:p w:rsidR="00584272" w:rsidRPr="00852B1B" w:rsidRDefault="00584272" w:rsidP="0070401F">
      <w:pPr>
        <w:pStyle w:val="Ttol2"/>
      </w:pPr>
      <w:bookmarkStart w:id="66" w:name="_Toc463851768"/>
      <w:bookmarkStart w:id="67" w:name="_Toc463851827"/>
      <w:bookmarkStart w:id="68" w:name="_Toc463851843"/>
      <w:bookmarkStart w:id="69" w:name="_Toc463851881"/>
      <w:bookmarkStart w:id="70" w:name="_Toc464685614"/>
      <w:bookmarkStart w:id="71" w:name="_Toc465293345"/>
      <w:r w:rsidRPr="00852B1B">
        <w:t xml:space="preserve">Els principis orientadors de les </w:t>
      </w:r>
      <w:r w:rsidRPr="00B43787">
        <w:t>polítiques</w:t>
      </w:r>
      <w:r w:rsidRPr="00852B1B">
        <w:t xml:space="preserve"> d</w:t>
      </w:r>
      <w:r>
        <w:t>’</w:t>
      </w:r>
      <w:r w:rsidRPr="00852B1B">
        <w:t>execució penal</w:t>
      </w:r>
      <w:bookmarkEnd w:id="66"/>
      <w:bookmarkEnd w:id="67"/>
      <w:bookmarkEnd w:id="68"/>
      <w:bookmarkEnd w:id="69"/>
      <w:bookmarkEnd w:id="70"/>
      <w:bookmarkEnd w:id="71"/>
    </w:p>
    <w:p w:rsidR="00584272" w:rsidRPr="00852B1B" w:rsidRDefault="00584272" w:rsidP="00904443">
      <w:pPr>
        <w:numPr>
          <w:ilvl w:val="0"/>
          <w:numId w:val="59"/>
        </w:numPr>
        <w:rPr>
          <w:rFonts w:cs="Arial"/>
        </w:rPr>
      </w:pPr>
      <w:r w:rsidRPr="00852B1B">
        <w:rPr>
          <w:rFonts w:cs="Arial"/>
        </w:rPr>
        <w:t>De legalitat, amb el compliment de les lleis vigents i els tractats internacionals</w:t>
      </w:r>
      <w:r>
        <w:rPr>
          <w:rFonts w:cs="Arial"/>
        </w:rPr>
        <w:t>,</w:t>
      </w:r>
      <w:r w:rsidRPr="00852B1B">
        <w:rPr>
          <w:rFonts w:cs="Arial"/>
        </w:rPr>
        <w:t xml:space="preserve"> que dóna resposta als poders fiscalitzadors del sistema i que respon objectivament davant dels mecanismes de control.</w:t>
      </w:r>
    </w:p>
    <w:p w:rsidR="00584272" w:rsidRPr="00852B1B" w:rsidRDefault="00584272" w:rsidP="00904443">
      <w:pPr>
        <w:numPr>
          <w:ilvl w:val="0"/>
          <w:numId w:val="59"/>
        </w:numPr>
        <w:rPr>
          <w:rFonts w:cs="Arial"/>
        </w:rPr>
      </w:pPr>
      <w:r w:rsidRPr="00852B1B">
        <w:rPr>
          <w:rFonts w:cs="Arial"/>
        </w:rPr>
        <w:t>De servei públic</w:t>
      </w:r>
      <w:r>
        <w:rPr>
          <w:rFonts w:cs="Arial"/>
        </w:rPr>
        <w:t>:</w:t>
      </w:r>
      <w:r w:rsidRPr="00852B1B">
        <w:rPr>
          <w:rFonts w:cs="Arial"/>
        </w:rPr>
        <w:t xml:space="preserve"> la gestió en execució penal ha d</w:t>
      </w:r>
      <w:r>
        <w:rPr>
          <w:rFonts w:cs="Arial"/>
        </w:rPr>
        <w:t>’</w:t>
      </w:r>
      <w:r w:rsidRPr="00852B1B">
        <w:rPr>
          <w:rFonts w:cs="Arial"/>
        </w:rPr>
        <w:t>estar impregnada de l</w:t>
      </w:r>
      <w:r>
        <w:rPr>
          <w:rFonts w:cs="Arial"/>
        </w:rPr>
        <w:t>’</w:t>
      </w:r>
      <w:r w:rsidRPr="00852B1B">
        <w:rPr>
          <w:rFonts w:cs="Arial"/>
        </w:rPr>
        <w:t>ànim de prestar un servei a la societat, i s</w:t>
      </w:r>
      <w:r>
        <w:rPr>
          <w:rFonts w:cs="Arial"/>
        </w:rPr>
        <w:t>’</w:t>
      </w:r>
      <w:r w:rsidRPr="00852B1B">
        <w:rPr>
          <w:rFonts w:cs="Arial"/>
        </w:rPr>
        <w:t>ha de portar a terme amb la màxima transparència informativa i de gestió, amb integritat en el comportament de tot el seu personal, amb esperit de millora, qualitat i eficiència.</w:t>
      </w:r>
    </w:p>
    <w:p w:rsidR="00584272" w:rsidRPr="00852B1B" w:rsidRDefault="00584272" w:rsidP="00904443">
      <w:pPr>
        <w:numPr>
          <w:ilvl w:val="0"/>
          <w:numId w:val="59"/>
        </w:numPr>
        <w:rPr>
          <w:rFonts w:cs="Arial"/>
        </w:rPr>
      </w:pPr>
      <w:r w:rsidRPr="00852B1B">
        <w:rPr>
          <w:rFonts w:cs="Arial"/>
        </w:rPr>
        <w:t xml:space="preserve">De dignitat, com </w:t>
      </w:r>
      <w:r>
        <w:rPr>
          <w:rFonts w:cs="Arial"/>
        </w:rPr>
        <w:t xml:space="preserve">a </w:t>
      </w:r>
      <w:r w:rsidRPr="00852B1B">
        <w:rPr>
          <w:rFonts w:cs="Arial"/>
        </w:rPr>
        <w:t>base per al respecte dels drets humans i la llei, que ha de regir tota l</w:t>
      </w:r>
      <w:r>
        <w:rPr>
          <w:rFonts w:cs="Arial"/>
        </w:rPr>
        <w:t>’</w:t>
      </w:r>
      <w:r w:rsidRPr="00852B1B">
        <w:rPr>
          <w:rFonts w:cs="Arial"/>
        </w:rPr>
        <w:t>actuació en les relacions amb les persones privades de llibertat i sotmeses a mesures penals alternatives.</w:t>
      </w:r>
    </w:p>
    <w:p w:rsidR="00584272" w:rsidRPr="00852B1B" w:rsidRDefault="00584272" w:rsidP="00904443">
      <w:pPr>
        <w:numPr>
          <w:ilvl w:val="0"/>
          <w:numId w:val="59"/>
        </w:numPr>
        <w:rPr>
          <w:rFonts w:cs="Arial"/>
        </w:rPr>
      </w:pPr>
      <w:r w:rsidRPr="00852B1B">
        <w:rPr>
          <w:rFonts w:cs="Arial"/>
        </w:rPr>
        <w:t>De normalització: no definir marcs específics, llevat d</w:t>
      </w:r>
      <w:r>
        <w:rPr>
          <w:rFonts w:cs="Arial"/>
        </w:rPr>
        <w:t>’</w:t>
      </w:r>
      <w:r w:rsidRPr="00852B1B">
        <w:rPr>
          <w:rFonts w:cs="Arial"/>
        </w:rPr>
        <w:t>aquelles qüestions que per la singularitat de l</w:t>
      </w:r>
      <w:r>
        <w:rPr>
          <w:rFonts w:cs="Arial"/>
        </w:rPr>
        <w:t>’</w:t>
      </w:r>
      <w:r w:rsidRPr="00852B1B">
        <w:rPr>
          <w:rFonts w:cs="Arial"/>
        </w:rPr>
        <w:t xml:space="preserve">activitat així ho exigeixen. Utilització de les eines i integració de les xarxes públiques comunes a tots els ciutadans, mantenint una institució oberta al </w:t>
      </w:r>
      <w:r w:rsidRPr="00852B1B">
        <w:rPr>
          <w:rFonts w:cs="Arial"/>
        </w:rPr>
        <w:lastRenderedPageBreak/>
        <w:t>medi social al qu</w:t>
      </w:r>
      <w:r>
        <w:rPr>
          <w:rFonts w:cs="Arial"/>
        </w:rPr>
        <w:t>al</w:t>
      </w:r>
      <w:r w:rsidRPr="00852B1B">
        <w:rPr>
          <w:rFonts w:cs="Arial"/>
        </w:rPr>
        <w:t xml:space="preserve"> s</w:t>
      </w:r>
      <w:r>
        <w:rPr>
          <w:rFonts w:cs="Arial"/>
        </w:rPr>
        <w:t>’</w:t>
      </w:r>
      <w:r w:rsidRPr="00852B1B">
        <w:rPr>
          <w:rFonts w:cs="Arial"/>
        </w:rPr>
        <w:t>han d</w:t>
      </w:r>
      <w:r>
        <w:rPr>
          <w:rFonts w:cs="Arial"/>
        </w:rPr>
        <w:t>’</w:t>
      </w:r>
      <w:r w:rsidRPr="00852B1B">
        <w:rPr>
          <w:rFonts w:cs="Arial"/>
        </w:rPr>
        <w:t xml:space="preserve">integrar les persones a mesures i penes privatives de llibertat. </w:t>
      </w:r>
    </w:p>
    <w:p w:rsidR="00584272" w:rsidRPr="00852B1B" w:rsidRDefault="00584272" w:rsidP="00904443">
      <w:pPr>
        <w:numPr>
          <w:ilvl w:val="0"/>
          <w:numId w:val="59"/>
        </w:numPr>
        <w:rPr>
          <w:rFonts w:cs="Arial"/>
        </w:rPr>
      </w:pPr>
      <w:r w:rsidRPr="00852B1B">
        <w:rPr>
          <w:rFonts w:cs="Arial"/>
        </w:rPr>
        <w:t>De proporcionalitat, d</w:t>
      </w:r>
      <w:r>
        <w:rPr>
          <w:rFonts w:cs="Arial"/>
        </w:rPr>
        <w:t>’</w:t>
      </w:r>
      <w:r w:rsidRPr="00852B1B">
        <w:rPr>
          <w:rFonts w:cs="Arial"/>
        </w:rPr>
        <w:t>intervenció mínima, transitori i adequat: l</w:t>
      </w:r>
      <w:r>
        <w:rPr>
          <w:rFonts w:cs="Arial"/>
        </w:rPr>
        <w:t>’</w:t>
      </w:r>
      <w:r w:rsidRPr="00852B1B">
        <w:rPr>
          <w:rFonts w:cs="Arial"/>
        </w:rPr>
        <w:t>execució de qualsevol mesura és només una part del desenvolupament de l</w:t>
      </w:r>
      <w:r>
        <w:rPr>
          <w:rFonts w:cs="Arial"/>
        </w:rPr>
        <w:t>’</w:t>
      </w:r>
      <w:r w:rsidRPr="00852B1B">
        <w:rPr>
          <w:rFonts w:cs="Arial"/>
        </w:rPr>
        <w:t>individu.</w:t>
      </w:r>
    </w:p>
    <w:p w:rsidR="00584272" w:rsidRPr="00852B1B" w:rsidRDefault="00584272" w:rsidP="00904443">
      <w:pPr>
        <w:numPr>
          <w:ilvl w:val="0"/>
          <w:numId w:val="59"/>
        </w:numPr>
        <w:rPr>
          <w:rFonts w:cs="Arial"/>
        </w:rPr>
      </w:pPr>
      <w:r w:rsidRPr="00852B1B">
        <w:rPr>
          <w:rFonts w:cs="Arial"/>
        </w:rPr>
        <w:t>De participació, perquè vincula el procés participatiu de l</w:t>
      </w:r>
      <w:r>
        <w:rPr>
          <w:rFonts w:cs="Arial"/>
        </w:rPr>
        <w:t>’</w:t>
      </w:r>
      <w:r w:rsidRPr="00852B1B">
        <w:rPr>
          <w:rFonts w:cs="Arial"/>
        </w:rPr>
        <w:t>individu en el seu procés d</w:t>
      </w:r>
      <w:r>
        <w:rPr>
          <w:rFonts w:cs="Arial"/>
        </w:rPr>
        <w:t>’</w:t>
      </w:r>
      <w:r w:rsidRPr="00852B1B">
        <w:rPr>
          <w:rFonts w:cs="Arial"/>
        </w:rPr>
        <w:t>inserció i afavoreix la participació activa de les famílies i altres col·lectius socials en els processos de reinserció social.</w:t>
      </w:r>
    </w:p>
    <w:p w:rsidR="00584272" w:rsidRPr="00852B1B" w:rsidRDefault="00584272" w:rsidP="00904443">
      <w:pPr>
        <w:numPr>
          <w:ilvl w:val="0"/>
          <w:numId w:val="59"/>
        </w:numPr>
        <w:rPr>
          <w:rFonts w:cs="Arial"/>
        </w:rPr>
      </w:pPr>
      <w:r w:rsidRPr="00852B1B">
        <w:rPr>
          <w:rFonts w:cs="Arial"/>
        </w:rPr>
        <w:t>D</w:t>
      </w:r>
      <w:r>
        <w:rPr>
          <w:rFonts w:cs="Arial"/>
        </w:rPr>
        <w:t>’</w:t>
      </w:r>
      <w:r w:rsidRPr="00852B1B">
        <w:rPr>
          <w:rFonts w:cs="Arial"/>
        </w:rPr>
        <w:t>integració, de la diversitat, de la diferència, dels objectius diferencials, de l</w:t>
      </w:r>
      <w:r>
        <w:rPr>
          <w:rFonts w:cs="Arial"/>
        </w:rPr>
        <w:t>’</w:t>
      </w:r>
      <w:r w:rsidRPr="00852B1B">
        <w:rPr>
          <w:rFonts w:cs="Arial"/>
        </w:rPr>
        <w:t xml:space="preserve">individu </w:t>
      </w:r>
      <w:r>
        <w:rPr>
          <w:rFonts w:cs="Arial"/>
        </w:rPr>
        <w:t>en el se</w:t>
      </w:r>
      <w:r w:rsidRPr="00852B1B">
        <w:rPr>
          <w:rFonts w:cs="Arial"/>
        </w:rPr>
        <w:t>u medi.</w:t>
      </w:r>
    </w:p>
    <w:p w:rsidR="00584272" w:rsidRPr="00852B1B" w:rsidRDefault="00584272" w:rsidP="00904443">
      <w:pPr>
        <w:numPr>
          <w:ilvl w:val="0"/>
          <w:numId w:val="59"/>
        </w:numPr>
        <w:rPr>
          <w:rFonts w:cs="Arial"/>
        </w:rPr>
      </w:pPr>
      <w:r w:rsidRPr="00852B1B">
        <w:rPr>
          <w:rFonts w:cs="Arial"/>
        </w:rPr>
        <w:t>D</w:t>
      </w:r>
      <w:r>
        <w:rPr>
          <w:rFonts w:cs="Arial"/>
        </w:rPr>
        <w:t>’</w:t>
      </w:r>
      <w:r w:rsidRPr="00852B1B">
        <w:rPr>
          <w:rFonts w:cs="Arial"/>
        </w:rPr>
        <w:t>individualització científica: l</w:t>
      </w:r>
      <w:r>
        <w:rPr>
          <w:rFonts w:cs="Arial"/>
        </w:rPr>
        <w:t>’</w:t>
      </w:r>
      <w:r w:rsidRPr="00852B1B">
        <w:rPr>
          <w:rFonts w:cs="Arial"/>
        </w:rPr>
        <w:t>adequació del tractament ha de respectar el dret al desenvolupament personal, amb aplicació de models individuals a les necessitats de les persones i les situacions. Aplica programes personalitzats i individuals.</w:t>
      </w:r>
    </w:p>
    <w:p w:rsidR="00584272" w:rsidRPr="00852B1B" w:rsidRDefault="00584272" w:rsidP="00904443">
      <w:pPr>
        <w:numPr>
          <w:ilvl w:val="0"/>
          <w:numId w:val="59"/>
        </w:numPr>
        <w:rPr>
          <w:rFonts w:cs="Arial"/>
        </w:rPr>
      </w:pPr>
      <w:r w:rsidRPr="00852B1B">
        <w:rPr>
          <w:rFonts w:cs="Arial"/>
        </w:rPr>
        <w:t>De responsabilitat social: les accions i decisions en l</w:t>
      </w:r>
      <w:r>
        <w:rPr>
          <w:rFonts w:cs="Arial"/>
        </w:rPr>
        <w:t>’</w:t>
      </w:r>
      <w:r w:rsidRPr="00852B1B">
        <w:rPr>
          <w:rFonts w:cs="Arial"/>
        </w:rPr>
        <w:t>execució han de ponderar i equilibrar el respecte i el dret dels interns a un veritable procés de rehabilitació i reinserció amb el dret dels ciutadans a la seguretat i la llibertat dels seus membres.</w:t>
      </w:r>
    </w:p>
    <w:p w:rsidR="00584272" w:rsidRPr="00852B1B" w:rsidRDefault="00584272" w:rsidP="00904443">
      <w:pPr>
        <w:numPr>
          <w:ilvl w:val="0"/>
          <w:numId w:val="59"/>
        </w:numPr>
        <w:rPr>
          <w:rFonts w:cs="Arial"/>
        </w:rPr>
      </w:pPr>
      <w:r w:rsidRPr="00852B1B">
        <w:rPr>
          <w:rFonts w:cs="Arial"/>
        </w:rPr>
        <w:t xml:space="preserve">De </w:t>
      </w:r>
      <w:r>
        <w:rPr>
          <w:rFonts w:cs="Arial"/>
        </w:rPr>
        <w:t>p</w:t>
      </w:r>
      <w:r w:rsidRPr="00852B1B">
        <w:rPr>
          <w:rFonts w:cs="Arial"/>
        </w:rPr>
        <w:t>roximitat, per mantenir l</w:t>
      </w:r>
      <w:r>
        <w:rPr>
          <w:rFonts w:cs="Arial"/>
        </w:rPr>
        <w:t>’</w:t>
      </w:r>
      <w:r w:rsidRPr="00852B1B">
        <w:rPr>
          <w:rFonts w:cs="Arial"/>
        </w:rPr>
        <w:t xml:space="preserve">entorn social i familiar, afavorir la inserció i facilitar el contacte amb el nucli familiar i social. </w:t>
      </w:r>
    </w:p>
    <w:p w:rsidR="00584272" w:rsidRPr="00852B1B" w:rsidRDefault="00584272" w:rsidP="00904443">
      <w:pPr>
        <w:numPr>
          <w:ilvl w:val="0"/>
          <w:numId w:val="59"/>
        </w:numPr>
        <w:rPr>
          <w:rFonts w:cs="Arial"/>
        </w:rPr>
      </w:pPr>
      <w:r w:rsidRPr="00852B1B">
        <w:rPr>
          <w:rFonts w:cs="Arial"/>
        </w:rPr>
        <w:t>D</w:t>
      </w:r>
      <w:r>
        <w:rPr>
          <w:rFonts w:cs="Arial"/>
        </w:rPr>
        <w:t>’</w:t>
      </w:r>
      <w:r w:rsidRPr="00852B1B">
        <w:rPr>
          <w:rFonts w:cs="Arial"/>
        </w:rPr>
        <w:t>avaluació i millora contínua en els seus diferents àmbits d</w:t>
      </w:r>
      <w:r>
        <w:rPr>
          <w:rFonts w:cs="Arial"/>
        </w:rPr>
        <w:t>’</w:t>
      </w:r>
      <w:r w:rsidRPr="00852B1B">
        <w:rPr>
          <w:rFonts w:cs="Arial"/>
        </w:rPr>
        <w:t>actuació, per objectivar que l</w:t>
      </w:r>
      <w:r>
        <w:rPr>
          <w:rFonts w:cs="Arial"/>
        </w:rPr>
        <w:t>’</w:t>
      </w:r>
      <w:r w:rsidRPr="00852B1B">
        <w:rPr>
          <w:rFonts w:cs="Arial"/>
        </w:rPr>
        <w:t>aplicació de les mesures tenen els efecte</w:t>
      </w:r>
      <w:r>
        <w:rPr>
          <w:rFonts w:cs="Arial"/>
        </w:rPr>
        <w:t>s</w:t>
      </w:r>
      <w:r w:rsidRPr="00852B1B">
        <w:rPr>
          <w:rFonts w:cs="Arial"/>
        </w:rPr>
        <w:t xml:space="preserve"> i </w:t>
      </w:r>
      <w:r>
        <w:rPr>
          <w:rFonts w:cs="Arial"/>
        </w:rPr>
        <w:t>l’</w:t>
      </w:r>
      <w:r w:rsidRPr="00852B1B">
        <w:rPr>
          <w:rFonts w:cs="Arial"/>
        </w:rPr>
        <w:t>impacte desitjat.</w:t>
      </w:r>
    </w:p>
    <w:p w:rsidR="00584272" w:rsidRPr="00852B1B" w:rsidRDefault="00584272" w:rsidP="00584272">
      <w:pPr>
        <w:rPr>
          <w:rFonts w:cs="Arial"/>
        </w:rPr>
      </w:pPr>
    </w:p>
    <w:p w:rsidR="00584272" w:rsidRPr="00852B1B" w:rsidRDefault="00584272" w:rsidP="0070401F">
      <w:pPr>
        <w:pStyle w:val="Ttol2"/>
      </w:pPr>
      <w:bookmarkStart w:id="72" w:name="_Toc463851769"/>
      <w:bookmarkStart w:id="73" w:name="_Toc463851828"/>
      <w:bookmarkStart w:id="74" w:name="_Toc463851844"/>
      <w:bookmarkStart w:id="75" w:name="_Toc463851882"/>
      <w:bookmarkStart w:id="76" w:name="_Toc464685615"/>
      <w:bookmarkStart w:id="77" w:name="_Toc465293346"/>
      <w:r w:rsidRPr="00852B1B">
        <w:t xml:space="preserve">Línies estratègiques de les </w:t>
      </w:r>
      <w:r w:rsidRPr="00B43787">
        <w:t>polítiques</w:t>
      </w:r>
      <w:r w:rsidRPr="00852B1B">
        <w:t xml:space="preserve"> d</w:t>
      </w:r>
      <w:r>
        <w:t>’e</w:t>
      </w:r>
      <w:r w:rsidRPr="00852B1B">
        <w:t>xecució penal</w:t>
      </w:r>
      <w:bookmarkEnd w:id="72"/>
      <w:bookmarkEnd w:id="73"/>
      <w:bookmarkEnd w:id="74"/>
      <w:bookmarkEnd w:id="75"/>
      <w:bookmarkEnd w:id="76"/>
      <w:bookmarkEnd w:id="77"/>
      <w:r w:rsidRPr="00852B1B">
        <w:t xml:space="preserve"> </w:t>
      </w:r>
    </w:p>
    <w:p w:rsidR="00584272" w:rsidRPr="00852B1B" w:rsidRDefault="00584272" w:rsidP="00584272">
      <w:pPr>
        <w:rPr>
          <w:rFonts w:cs="Arial"/>
        </w:rPr>
      </w:pPr>
      <w:r w:rsidRPr="00852B1B">
        <w:rPr>
          <w:rFonts w:cs="Arial"/>
        </w:rPr>
        <w:t>Les línies estratègiques han de conduir a l</w:t>
      </w:r>
      <w:r>
        <w:rPr>
          <w:rFonts w:cs="Arial"/>
        </w:rPr>
        <w:t>’</w:t>
      </w:r>
      <w:r w:rsidRPr="00852B1B">
        <w:rPr>
          <w:rFonts w:cs="Arial"/>
        </w:rPr>
        <w:t>establiment d</w:t>
      </w:r>
      <w:r>
        <w:rPr>
          <w:rFonts w:cs="Arial"/>
        </w:rPr>
        <w:t>’</w:t>
      </w:r>
      <w:r w:rsidRPr="00852B1B">
        <w:rPr>
          <w:rFonts w:cs="Arial"/>
        </w:rPr>
        <w:t xml:space="preserve">objectius i de les mesures que els </w:t>
      </w:r>
      <w:r>
        <w:rPr>
          <w:rFonts w:cs="Arial"/>
        </w:rPr>
        <w:t>g</w:t>
      </w:r>
      <w:r w:rsidRPr="00852B1B">
        <w:rPr>
          <w:rFonts w:cs="Arial"/>
        </w:rPr>
        <w:t>overns han d</w:t>
      </w:r>
      <w:r>
        <w:rPr>
          <w:rFonts w:cs="Arial"/>
        </w:rPr>
        <w:t>’</w:t>
      </w:r>
      <w:r w:rsidRPr="00852B1B">
        <w:rPr>
          <w:rFonts w:cs="Arial"/>
        </w:rPr>
        <w:t>adoptar en compliment de les competències en matèria d</w:t>
      </w:r>
      <w:r>
        <w:rPr>
          <w:rFonts w:cs="Arial"/>
        </w:rPr>
        <w:t>’e</w:t>
      </w:r>
      <w:r w:rsidRPr="00852B1B">
        <w:rPr>
          <w:rFonts w:cs="Arial"/>
        </w:rPr>
        <w:t>xecució penal.</w:t>
      </w:r>
    </w:p>
    <w:p w:rsidR="00584272" w:rsidRPr="00852B1B" w:rsidRDefault="00584272" w:rsidP="00584272">
      <w:pPr>
        <w:rPr>
          <w:rFonts w:cs="Arial"/>
        </w:rPr>
      </w:pPr>
      <w:r w:rsidRPr="00852B1B">
        <w:rPr>
          <w:rFonts w:cs="Arial"/>
        </w:rPr>
        <w:t>Les línies que han orientat el treball des de les transferències</w:t>
      </w:r>
      <w:r>
        <w:rPr>
          <w:rFonts w:cs="Arial"/>
        </w:rPr>
        <w:t>,</w:t>
      </w:r>
      <w:r w:rsidRPr="00852B1B">
        <w:rPr>
          <w:rFonts w:cs="Arial"/>
        </w:rPr>
        <w:t xml:space="preserve"> però principalment en els últims 10 anys, són les següents: </w:t>
      </w:r>
    </w:p>
    <w:p w:rsidR="00584272" w:rsidRPr="00852B1B" w:rsidRDefault="00584272" w:rsidP="00904443">
      <w:pPr>
        <w:pStyle w:val="Pargrafdellista"/>
        <w:numPr>
          <w:ilvl w:val="0"/>
          <w:numId w:val="60"/>
        </w:numPr>
        <w:rPr>
          <w:rFonts w:cs="Arial"/>
        </w:rPr>
      </w:pPr>
      <w:r w:rsidRPr="00852B1B">
        <w:rPr>
          <w:rFonts w:cs="Arial"/>
          <w:i/>
        </w:rPr>
        <w:t>Reafirmació de la finalitat constitucional de la pena</w:t>
      </w:r>
      <w:r w:rsidRPr="00852B1B">
        <w:rPr>
          <w:rFonts w:cs="Arial"/>
        </w:rPr>
        <w:t>: imperatiu d</w:t>
      </w:r>
      <w:r>
        <w:rPr>
          <w:rFonts w:cs="Arial"/>
        </w:rPr>
        <w:t>’</w:t>
      </w:r>
      <w:r w:rsidRPr="00852B1B">
        <w:rPr>
          <w:rFonts w:cs="Arial"/>
        </w:rPr>
        <w:t>una tradició política d</w:t>
      </w:r>
      <w:r>
        <w:rPr>
          <w:rFonts w:cs="Arial"/>
        </w:rPr>
        <w:t>’</w:t>
      </w:r>
      <w:r w:rsidRPr="00852B1B">
        <w:rPr>
          <w:rFonts w:cs="Arial"/>
        </w:rPr>
        <w:t>orientació progressista que promou el desenvolupament de totes les dimensions de la persona, sense cap excepció, ni tan sols de les persones condemnades per haver vulnerat les normes de convivència que són les lleis penals.</w:t>
      </w:r>
    </w:p>
    <w:p w:rsidR="00584272" w:rsidRPr="00852B1B" w:rsidRDefault="00584272" w:rsidP="00584272">
      <w:pPr>
        <w:pStyle w:val="Pargrafdellista"/>
        <w:ind w:left="720"/>
        <w:rPr>
          <w:rFonts w:cs="Arial"/>
        </w:rPr>
      </w:pPr>
    </w:p>
    <w:p w:rsidR="00584272" w:rsidRPr="00852B1B" w:rsidRDefault="00584272" w:rsidP="00904443">
      <w:pPr>
        <w:pStyle w:val="Pargrafdellista"/>
        <w:numPr>
          <w:ilvl w:val="0"/>
          <w:numId w:val="60"/>
        </w:numPr>
        <w:rPr>
          <w:rFonts w:cs="Arial"/>
        </w:rPr>
      </w:pPr>
      <w:r w:rsidRPr="00852B1B">
        <w:rPr>
          <w:rFonts w:cs="Arial"/>
          <w:i/>
        </w:rPr>
        <w:t>La política penitenciària com a política social</w:t>
      </w:r>
      <w:r w:rsidRPr="00852B1B">
        <w:rPr>
          <w:rFonts w:cs="Arial"/>
        </w:rPr>
        <w:t>, que ha de promoure les condicions necessàries per al desenvolupament dels drets de tots els ciutadans i per eliminar els obstacles que s</w:t>
      </w:r>
      <w:r>
        <w:rPr>
          <w:rFonts w:cs="Arial"/>
        </w:rPr>
        <w:t>’</w:t>
      </w:r>
      <w:r w:rsidRPr="00852B1B">
        <w:rPr>
          <w:rFonts w:cs="Arial"/>
        </w:rPr>
        <w:t xml:space="preserve">interposen </w:t>
      </w:r>
      <w:r>
        <w:rPr>
          <w:rFonts w:cs="Arial"/>
        </w:rPr>
        <w:t>en</w:t>
      </w:r>
      <w:r w:rsidRPr="00852B1B">
        <w:rPr>
          <w:rFonts w:cs="Arial"/>
        </w:rPr>
        <w:t xml:space="preserve"> l</w:t>
      </w:r>
      <w:r>
        <w:rPr>
          <w:rFonts w:cs="Arial"/>
        </w:rPr>
        <w:t>’</w:t>
      </w:r>
      <w:r w:rsidRPr="00852B1B">
        <w:rPr>
          <w:rFonts w:cs="Arial"/>
        </w:rPr>
        <w:t>establiment de la cohesió social</w:t>
      </w:r>
      <w:r>
        <w:rPr>
          <w:rFonts w:cs="Arial"/>
        </w:rPr>
        <w:t>.</w:t>
      </w:r>
    </w:p>
    <w:p w:rsidR="00584272" w:rsidRPr="00852B1B" w:rsidRDefault="00584272" w:rsidP="00584272">
      <w:pPr>
        <w:pStyle w:val="Pargrafdellista"/>
        <w:ind w:left="720"/>
        <w:rPr>
          <w:rFonts w:cs="Arial"/>
        </w:rPr>
      </w:pPr>
    </w:p>
    <w:p w:rsidR="00584272" w:rsidRPr="00852B1B" w:rsidRDefault="00584272" w:rsidP="00904443">
      <w:pPr>
        <w:pStyle w:val="Pargrafdellista"/>
        <w:numPr>
          <w:ilvl w:val="0"/>
          <w:numId w:val="60"/>
        </w:numPr>
        <w:rPr>
          <w:rFonts w:cs="Arial"/>
        </w:rPr>
      </w:pPr>
      <w:r w:rsidRPr="00852B1B">
        <w:rPr>
          <w:rFonts w:cs="Arial"/>
          <w:i/>
        </w:rPr>
        <w:t>Una política penitenciària amb diferenciació en el tractament penal de la dona</w:t>
      </w:r>
      <w:r w:rsidRPr="00852B1B">
        <w:rPr>
          <w:rFonts w:cs="Arial"/>
        </w:rPr>
        <w:t>, distanciat de pautes històricament concebudes per al tractament dels homes i que no s</w:t>
      </w:r>
      <w:r>
        <w:rPr>
          <w:rFonts w:cs="Arial"/>
        </w:rPr>
        <w:t>ó</w:t>
      </w:r>
      <w:r w:rsidRPr="00852B1B">
        <w:rPr>
          <w:rFonts w:cs="Arial"/>
        </w:rPr>
        <w:t>n adequades per al tractament de les dones.</w:t>
      </w:r>
    </w:p>
    <w:p w:rsidR="00584272" w:rsidRPr="00852B1B" w:rsidRDefault="00584272" w:rsidP="00584272">
      <w:pPr>
        <w:pStyle w:val="Pargrafdellista"/>
        <w:ind w:left="720"/>
        <w:rPr>
          <w:rFonts w:cs="Arial"/>
        </w:rPr>
      </w:pPr>
    </w:p>
    <w:p w:rsidR="00584272" w:rsidRPr="00852B1B" w:rsidRDefault="00584272" w:rsidP="00904443">
      <w:pPr>
        <w:pStyle w:val="Pargrafdellista"/>
        <w:numPr>
          <w:ilvl w:val="0"/>
          <w:numId w:val="60"/>
        </w:numPr>
        <w:rPr>
          <w:rFonts w:cs="Arial"/>
        </w:rPr>
      </w:pPr>
      <w:r w:rsidRPr="00852B1B">
        <w:rPr>
          <w:rFonts w:cs="Arial"/>
          <w:i/>
        </w:rPr>
        <w:t>La política penitenciària com a responsabilitat governamental compartida</w:t>
      </w:r>
      <w:r w:rsidRPr="00852B1B">
        <w:rPr>
          <w:rFonts w:cs="Arial"/>
        </w:rPr>
        <w:t>, en el sentit que tot el Govern la comparteix i, de manera especial, alguns d</w:t>
      </w:r>
      <w:r>
        <w:rPr>
          <w:rFonts w:cs="Arial"/>
        </w:rPr>
        <w:t>’</w:t>
      </w:r>
      <w:r w:rsidRPr="00852B1B">
        <w:rPr>
          <w:rFonts w:cs="Arial"/>
        </w:rPr>
        <w:t>ells han de coordinar-se per fixar línies i impulsar actuacions lligades a l</w:t>
      </w:r>
      <w:r>
        <w:rPr>
          <w:rFonts w:cs="Arial"/>
        </w:rPr>
        <w:t>’</w:t>
      </w:r>
      <w:r w:rsidRPr="00852B1B">
        <w:rPr>
          <w:rFonts w:cs="Arial"/>
        </w:rPr>
        <w:t>actuació penitenciària (els competents en matèria d</w:t>
      </w:r>
      <w:r>
        <w:rPr>
          <w:rFonts w:cs="Arial"/>
        </w:rPr>
        <w:t>’</w:t>
      </w:r>
      <w:r w:rsidRPr="00852B1B">
        <w:rPr>
          <w:rFonts w:cs="Arial"/>
        </w:rPr>
        <w:t>educació, treball, benestar social, família, sanitat, cultura, interior, habitatge)</w:t>
      </w:r>
      <w:r>
        <w:rPr>
          <w:rFonts w:cs="Arial"/>
        </w:rPr>
        <w:t>.</w:t>
      </w:r>
    </w:p>
    <w:p w:rsidR="00584272" w:rsidRPr="00852B1B" w:rsidRDefault="00584272" w:rsidP="00584272">
      <w:pPr>
        <w:pStyle w:val="Pargrafdellista"/>
        <w:ind w:left="720"/>
        <w:rPr>
          <w:rFonts w:cs="Arial"/>
        </w:rPr>
      </w:pPr>
    </w:p>
    <w:p w:rsidR="00584272" w:rsidRPr="00852B1B" w:rsidRDefault="00584272" w:rsidP="00904443">
      <w:pPr>
        <w:pStyle w:val="Pargrafdellista"/>
        <w:numPr>
          <w:ilvl w:val="0"/>
          <w:numId w:val="60"/>
        </w:numPr>
        <w:rPr>
          <w:rFonts w:cs="Arial"/>
        </w:rPr>
      </w:pPr>
      <w:r w:rsidRPr="00852B1B">
        <w:rPr>
          <w:rFonts w:cs="Arial"/>
          <w:i/>
        </w:rPr>
        <w:t>Reforç dels mecanismes d</w:t>
      </w:r>
      <w:r>
        <w:rPr>
          <w:rFonts w:cs="Arial"/>
          <w:i/>
        </w:rPr>
        <w:t>’</w:t>
      </w:r>
      <w:r w:rsidRPr="00852B1B">
        <w:rPr>
          <w:rFonts w:cs="Arial"/>
          <w:i/>
        </w:rPr>
        <w:t>intercanvi d</w:t>
      </w:r>
      <w:r>
        <w:rPr>
          <w:rFonts w:cs="Arial"/>
          <w:i/>
        </w:rPr>
        <w:t>’</w:t>
      </w:r>
      <w:r w:rsidRPr="00852B1B">
        <w:rPr>
          <w:rFonts w:cs="Arial"/>
          <w:i/>
        </w:rPr>
        <w:t>informació entre els jutges, la fiscalia i l</w:t>
      </w:r>
      <w:r>
        <w:rPr>
          <w:rFonts w:cs="Arial"/>
          <w:i/>
        </w:rPr>
        <w:t>’</w:t>
      </w:r>
      <w:r w:rsidRPr="00852B1B">
        <w:rPr>
          <w:rFonts w:cs="Arial"/>
          <w:i/>
        </w:rPr>
        <w:t>administració penitenciària</w:t>
      </w:r>
      <w:r w:rsidRPr="00852B1B">
        <w:rPr>
          <w:rFonts w:cs="Arial"/>
        </w:rPr>
        <w:t xml:space="preserve"> catalana per tal de definir polítiques i posar-les en </w:t>
      </w:r>
      <w:r w:rsidRPr="00852B1B">
        <w:rPr>
          <w:rFonts w:cs="Arial"/>
        </w:rPr>
        <w:lastRenderedPageBreak/>
        <w:t>pràctica de forma coherent, compartint el coneixement dels programes i els processos d</w:t>
      </w:r>
      <w:r>
        <w:rPr>
          <w:rFonts w:cs="Arial"/>
        </w:rPr>
        <w:t>’</w:t>
      </w:r>
      <w:r w:rsidRPr="00852B1B">
        <w:rPr>
          <w:rFonts w:cs="Arial"/>
        </w:rPr>
        <w:t>avaluació de resultats</w:t>
      </w:r>
      <w:r>
        <w:rPr>
          <w:rFonts w:cs="Arial"/>
        </w:rPr>
        <w:t>.</w:t>
      </w:r>
    </w:p>
    <w:p w:rsidR="00584272" w:rsidRPr="00852B1B" w:rsidRDefault="00584272" w:rsidP="00584272">
      <w:pPr>
        <w:pStyle w:val="Pargrafdellista"/>
        <w:ind w:left="720"/>
        <w:rPr>
          <w:rFonts w:cs="Arial"/>
        </w:rPr>
      </w:pPr>
    </w:p>
    <w:p w:rsidR="00584272" w:rsidRPr="00852B1B" w:rsidRDefault="00584272" w:rsidP="00904443">
      <w:pPr>
        <w:pStyle w:val="Pargrafdellista"/>
        <w:numPr>
          <w:ilvl w:val="0"/>
          <w:numId w:val="60"/>
        </w:numPr>
        <w:rPr>
          <w:rFonts w:cs="Arial"/>
        </w:rPr>
      </w:pPr>
      <w:r w:rsidRPr="00852B1B">
        <w:rPr>
          <w:rFonts w:cs="Arial"/>
          <w:i/>
        </w:rPr>
        <w:t>Mediació i mesures penals alternatives</w:t>
      </w:r>
      <w:r w:rsidRPr="00852B1B">
        <w:rPr>
          <w:rFonts w:cs="Arial"/>
        </w:rPr>
        <w:t xml:space="preserve"> han de tenir garantida la seva execució efectiva, de manera que la seva eventual insuficiència no pugui ser raó o excusa per imposar com a norma l</w:t>
      </w:r>
      <w:r>
        <w:rPr>
          <w:rFonts w:cs="Arial"/>
        </w:rPr>
        <w:t>’</w:t>
      </w:r>
      <w:r w:rsidRPr="00852B1B">
        <w:rPr>
          <w:rFonts w:cs="Arial"/>
        </w:rPr>
        <w:t xml:space="preserve">internament en </w:t>
      </w:r>
      <w:r>
        <w:rPr>
          <w:rFonts w:cs="Arial"/>
        </w:rPr>
        <w:t xml:space="preserve">un </w:t>
      </w:r>
      <w:r w:rsidRPr="00852B1B">
        <w:rPr>
          <w:rFonts w:cs="Arial"/>
        </w:rPr>
        <w:t>centre penitenciari, tant per raons de rehabilitació i reinserció com per raons econòmiques i pressupostàries.</w:t>
      </w:r>
    </w:p>
    <w:p w:rsidR="00584272" w:rsidRPr="00852B1B" w:rsidRDefault="00584272" w:rsidP="00584272">
      <w:pPr>
        <w:pStyle w:val="Pargrafdellista"/>
        <w:ind w:left="720"/>
        <w:rPr>
          <w:rFonts w:cs="Arial"/>
        </w:rPr>
      </w:pPr>
    </w:p>
    <w:p w:rsidR="00584272" w:rsidRPr="00852B1B" w:rsidRDefault="00584272" w:rsidP="00904443">
      <w:pPr>
        <w:pStyle w:val="Pargrafdellista"/>
        <w:numPr>
          <w:ilvl w:val="0"/>
          <w:numId w:val="60"/>
        </w:numPr>
        <w:rPr>
          <w:rFonts w:cs="Arial"/>
        </w:rPr>
      </w:pPr>
      <w:r w:rsidRPr="00852B1B">
        <w:rPr>
          <w:rFonts w:cs="Arial"/>
          <w:i/>
        </w:rPr>
        <w:t>Política penitenciària concertada entre poders públics i actors socials</w:t>
      </w:r>
      <w:r w:rsidRPr="00852B1B">
        <w:rPr>
          <w:rFonts w:cs="Arial"/>
        </w:rPr>
        <w:t>: l</w:t>
      </w:r>
      <w:r>
        <w:rPr>
          <w:rFonts w:cs="Arial"/>
        </w:rPr>
        <w:t>’</w:t>
      </w:r>
      <w:r w:rsidRPr="00852B1B">
        <w:rPr>
          <w:rFonts w:cs="Arial"/>
        </w:rPr>
        <w:t>actuació pública no és prou efectiva sense comptar amb els actors social</w:t>
      </w:r>
      <w:r>
        <w:rPr>
          <w:rFonts w:cs="Arial"/>
        </w:rPr>
        <w:t>s</w:t>
      </w:r>
      <w:r w:rsidRPr="00852B1B">
        <w:rPr>
          <w:rFonts w:cs="Arial"/>
        </w:rPr>
        <w:t xml:space="preserve"> i amb la seva contribució a les tasques de reeducació i reinserció, a més de la seva contribució al canvi en la percepció social de la seguretat pública.</w:t>
      </w:r>
    </w:p>
    <w:p w:rsidR="00584272" w:rsidRPr="00852B1B" w:rsidRDefault="00584272" w:rsidP="00584272">
      <w:pPr>
        <w:pStyle w:val="Pargrafdellista"/>
        <w:ind w:left="720"/>
        <w:rPr>
          <w:rFonts w:cs="Arial"/>
        </w:rPr>
      </w:pPr>
    </w:p>
    <w:p w:rsidR="00584272" w:rsidRPr="00852B1B" w:rsidRDefault="00584272" w:rsidP="00904443">
      <w:pPr>
        <w:pStyle w:val="Pargrafdellista"/>
        <w:numPr>
          <w:ilvl w:val="0"/>
          <w:numId w:val="60"/>
        </w:numPr>
        <w:rPr>
          <w:rFonts w:cs="Arial"/>
        </w:rPr>
      </w:pPr>
      <w:r w:rsidRPr="00852B1B">
        <w:rPr>
          <w:rFonts w:cs="Arial"/>
          <w:i/>
        </w:rPr>
        <w:t>Sensibilització de l</w:t>
      </w:r>
      <w:r>
        <w:rPr>
          <w:rFonts w:cs="Arial"/>
          <w:i/>
        </w:rPr>
        <w:t>’</w:t>
      </w:r>
      <w:r w:rsidRPr="00852B1B">
        <w:rPr>
          <w:rFonts w:cs="Arial"/>
          <w:i/>
        </w:rPr>
        <w:t>opinió pública</w:t>
      </w:r>
      <w:r w:rsidRPr="00852B1B">
        <w:rPr>
          <w:rFonts w:cs="Arial"/>
        </w:rPr>
        <w:t>, en el sentit de canviar una percepció negativa sovint alimentada per la imatge de l</w:t>
      </w:r>
      <w:r>
        <w:rPr>
          <w:rFonts w:cs="Arial"/>
        </w:rPr>
        <w:t>’</w:t>
      </w:r>
      <w:r w:rsidRPr="00852B1B">
        <w:rPr>
          <w:rFonts w:cs="Arial"/>
        </w:rPr>
        <w:t>acció penitenciària proporcionada pels mitjans de comunicació. Cal complicitat i col·laboració dels col·lectius professionals propers al m</w:t>
      </w:r>
      <w:r>
        <w:rPr>
          <w:rFonts w:cs="Arial"/>
        </w:rPr>
        <w:t>ó</w:t>
      </w:r>
      <w:r w:rsidRPr="00852B1B">
        <w:rPr>
          <w:rFonts w:cs="Arial"/>
        </w:rPr>
        <w:t>n penitenciari per ressaltar el seu component de política social i de contribució a la seguretat pública</w:t>
      </w:r>
      <w:r>
        <w:rPr>
          <w:rFonts w:cs="Arial"/>
        </w:rPr>
        <w:t>.</w:t>
      </w:r>
    </w:p>
    <w:p w:rsidR="00584272" w:rsidRPr="00852B1B" w:rsidRDefault="00584272" w:rsidP="00584272">
      <w:pPr>
        <w:pStyle w:val="Pargrafdellista"/>
        <w:ind w:left="720"/>
        <w:rPr>
          <w:rFonts w:cs="Arial"/>
        </w:rPr>
      </w:pPr>
    </w:p>
    <w:p w:rsidR="00584272" w:rsidRPr="00852B1B" w:rsidRDefault="00584272" w:rsidP="00904443">
      <w:pPr>
        <w:pStyle w:val="Pargrafdellista"/>
        <w:numPr>
          <w:ilvl w:val="0"/>
          <w:numId w:val="60"/>
        </w:numPr>
        <w:rPr>
          <w:rFonts w:cs="Arial"/>
        </w:rPr>
      </w:pPr>
      <w:r w:rsidRPr="00852B1B">
        <w:rPr>
          <w:rFonts w:cs="Arial"/>
          <w:i/>
        </w:rPr>
        <w:t>Atenció a les víctimes</w:t>
      </w:r>
      <w:r w:rsidRPr="00852B1B">
        <w:rPr>
          <w:rFonts w:cs="Arial"/>
        </w:rPr>
        <w:t>, millorant el recursos i els mecanismes d</w:t>
      </w:r>
      <w:r>
        <w:rPr>
          <w:rFonts w:cs="Arial"/>
        </w:rPr>
        <w:t>’</w:t>
      </w:r>
      <w:r w:rsidRPr="00852B1B">
        <w:rPr>
          <w:rFonts w:cs="Arial"/>
        </w:rPr>
        <w:t>atenció i el seu estatus al llarg del procés penal</w:t>
      </w:r>
      <w:r>
        <w:rPr>
          <w:rFonts w:cs="Arial"/>
        </w:rPr>
        <w:t>.</w:t>
      </w:r>
    </w:p>
    <w:p w:rsidR="00584272" w:rsidRPr="00852B1B" w:rsidRDefault="00584272" w:rsidP="00584272">
      <w:pPr>
        <w:pStyle w:val="Pargrafdellista"/>
        <w:ind w:left="720"/>
        <w:rPr>
          <w:rFonts w:cs="Arial"/>
        </w:rPr>
      </w:pPr>
    </w:p>
    <w:p w:rsidR="00584272" w:rsidRPr="00852B1B" w:rsidRDefault="00584272" w:rsidP="00904443">
      <w:pPr>
        <w:pStyle w:val="Pargrafdellista"/>
        <w:numPr>
          <w:ilvl w:val="0"/>
          <w:numId w:val="60"/>
        </w:numPr>
        <w:rPr>
          <w:rFonts w:cs="Arial"/>
        </w:rPr>
      </w:pPr>
      <w:r w:rsidRPr="00852B1B">
        <w:rPr>
          <w:rFonts w:cs="Arial"/>
          <w:i/>
        </w:rPr>
        <w:t>Un nou paradigma de seguretat</w:t>
      </w:r>
      <w:r w:rsidRPr="00852B1B">
        <w:rPr>
          <w:rFonts w:cs="Arial"/>
        </w:rPr>
        <w:t>, fonamentat en avenços tecnològics que alliberin recursos econòmics destinats a personal de vigilància i possibilitin la seva eventual assignació a tasques de rehabilitació, reeducació i reinserció.</w:t>
      </w:r>
    </w:p>
    <w:p w:rsidR="00584272" w:rsidRPr="00852B1B" w:rsidRDefault="00584272" w:rsidP="0070401F">
      <w:pPr>
        <w:pStyle w:val="Ttol3"/>
      </w:pPr>
      <w:bookmarkStart w:id="78" w:name="_Toc463851770"/>
      <w:bookmarkStart w:id="79" w:name="_Toc463851829"/>
      <w:bookmarkStart w:id="80" w:name="_Toc463851845"/>
      <w:bookmarkStart w:id="81" w:name="_Toc463851883"/>
      <w:bookmarkStart w:id="82" w:name="_Toc464685616"/>
      <w:bookmarkStart w:id="83" w:name="_Toc465293347"/>
      <w:r w:rsidRPr="00852B1B">
        <w:t xml:space="preserve">La recerca i la </w:t>
      </w:r>
      <w:r w:rsidRPr="00B43787">
        <w:t>investigació</w:t>
      </w:r>
      <w:bookmarkEnd w:id="78"/>
      <w:bookmarkEnd w:id="79"/>
      <w:bookmarkEnd w:id="80"/>
      <w:bookmarkEnd w:id="81"/>
      <w:bookmarkEnd w:id="82"/>
      <w:bookmarkEnd w:id="83"/>
      <w:r w:rsidRPr="00852B1B">
        <w:t xml:space="preserve"> </w:t>
      </w:r>
    </w:p>
    <w:p w:rsidR="00584272" w:rsidRPr="00852B1B" w:rsidRDefault="00584272" w:rsidP="00584272">
      <w:pPr>
        <w:rPr>
          <w:rFonts w:cs="Arial"/>
        </w:rPr>
      </w:pPr>
      <w:r w:rsidRPr="00852B1B">
        <w:rPr>
          <w:rFonts w:cs="Arial"/>
        </w:rPr>
        <w:t>Els resultats de l</w:t>
      </w:r>
      <w:r>
        <w:rPr>
          <w:rFonts w:cs="Arial"/>
        </w:rPr>
        <w:t>’</w:t>
      </w:r>
      <w:r w:rsidRPr="00852B1B">
        <w:rPr>
          <w:rFonts w:cs="Arial"/>
        </w:rPr>
        <w:t>activitat investigadora feta, impulsada o finançada pel CEJFE s</w:t>
      </w:r>
      <w:r>
        <w:rPr>
          <w:rFonts w:cs="Arial"/>
        </w:rPr>
        <w:t>’</w:t>
      </w:r>
      <w:r w:rsidRPr="00852B1B">
        <w:rPr>
          <w:rFonts w:cs="Arial"/>
        </w:rPr>
        <w:t>ha</w:t>
      </w:r>
      <w:r>
        <w:rPr>
          <w:rFonts w:cs="Arial"/>
        </w:rPr>
        <w:t>n</w:t>
      </w:r>
      <w:r w:rsidRPr="00852B1B">
        <w:rPr>
          <w:rFonts w:cs="Arial"/>
        </w:rPr>
        <w:t xml:space="preserve"> incorporat, </w:t>
      </w:r>
      <w:r>
        <w:rPr>
          <w:rFonts w:cs="Arial"/>
        </w:rPr>
        <w:t>poc o molt</w:t>
      </w:r>
      <w:r w:rsidRPr="00852B1B">
        <w:rPr>
          <w:rFonts w:cs="Arial"/>
        </w:rPr>
        <w:t>, a l</w:t>
      </w:r>
      <w:r>
        <w:rPr>
          <w:rFonts w:cs="Arial"/>
        </w:rPr>
        <w:t>’</w:t>
      </w:r>
      <w:r w:rsidRPr="00852B1B">
        <w:rPr>
          <w:rFonts w:cs="Arial"/>
        </w:rPr>
        <w:t>operativa de la gestió dels recursos humans, a la gestió de les metodologies de rehabilitació i als procediments de gestió dels riscos del sistema d</w:t>
      </w:r>
      <w:r>
        <w:rPr>
          <w:rFonts w:cs="Arial"/>
        </w:rPr>
        <w:t>’</w:t>
      </w:r>
      <w:r w:rsidRPr="00852B1B">
        <w:rPr>
          <w:rFonts w:cs="Arial"/>
        </w:rPr>
        <w:t>execució penal català.</w:t>
      </w:r>
    </w:p>
    <w:p w:rsidR="00584272" w:rsidRPr="00852B1B" w:rsidRDefault="00584272" w:rsidP="00584272">
      <w:pPr>
        <w:rPr>
          <w:rFonts w:cs="Arial"/>
          <w:sz w:val="24"/>
          <w:szCs w:val="24"/>
        </w:rPr>
      </w:pPr>
      <w:r w:rsidRPr="00852B1B">
        <w:rPr>
          <w:rFonts w:cs="Arial"/>
        </w:rPr>
        <w:t xml:space="preserve">La importància de la investigació en penologia, criminologia i ciència penitenciària ha ajudat </w:t>
      </w:r>
      <w:r>
        <w:rPr>
          <w:rFonts w:cs="Arial"/>
        </w:rPr>
        <w:t>e</w:t>
      </w:r>
      <w:r w:rsidRPr="00852B1B">
        <w:rPr>
          <w:rFonts w:cs="Arial"/>
        </w:rPr>
        <w:t>l sistema a orientar i redefinir les seves actuacions. Les investigacions pròpies</w:t>
      </w:r>
      <w:r>
        <w:rPr>
          <w:rFonts w:cs="Arial"/>
        </w:rPr>
        <w:t>,</w:t>
      </w:r>
      <w:r w:rsidRPr="00852B1B">
        <w:rPr>
          <w:rFonts w:cs="Arial"/>
        </w:rPr>
        <w:t xml:space="preserve"> entre les qu</w:t>
      </w:r>
      <w:r>
        <w:rPr>
          <w:rFonts w:cs="Arial"/>
        </w:rPr>
        <w:t>als hi ha</w:t>
      </w:r>
      <w:r w:rsidRPr="00852B1B">
        <w:rPr>
          <w:rFonts w:cs="Arial"/>
        </w:rPr>
        <w:t xml:space="preserve"> la de la taxa de reincidència penitenciària</w:t>
      </w:r>
      <w:r>
        <w:rPr>
          <w:rFonts w:cs="Arial"/>
        </w:rPr>
        <w:t>,</w:t>
      </w:r>
      <w:r w:rsidRPr="00852B1B">
        <w:rPr>
          <w:rFonts w:cs="Arial"/>
        </w:rPr>
        <w:t xml:space="preserve"> permeten al sistema comprovar l</w:t>
      </w:r>
      <w:r>
        <w:rPr>
          <w:rFonts w:cs="Arial"/>
        </w:rPr>
        <w:t>’</w:t>
      </w:r>
      <w:r w:rsidRPr="00852B1B">
        <w:rPr>
          <w:rFonts w:cs="Arial"/>
        </w:rPr>
        <w:t>impacte de les seves polítiques. L</w:t>
      </w:r>
      <w:r>
        <w:rPr>
          <w:rFonts w:cs="Arial"/>
        </w:rPr>
        <w:t>’</w:t>
      </w:r>
      <w:r w:rsidRPr="00852B1B">
        <w:rPr>
          <w:rFonts w:cs="Arial"/>
        </w:rPr>
        <w:t>activitat d</w:t>
      </w:r>
      <w:r>
        <w:rPr>
          <w:rFonts w:cs="Arial"/>
        </w:rPr>
        <w:t>’</w:t>
      </w:r>
      <w:r w:rsidRPr="00852B1B">
        <w:rPr>
          <w:rFonts w:cs="Arial"/>
        </w:rPr>
        <w:t>investigació és</w:t>
      </w:r>
      <w:r>
        <w:rPr>
          <w:rFonts w:cs="Arial"/>
        </w:rPr>
        <w:t>,</w:t>
      </w:r>
      <w:r w:rsidRPr="00852B1B">
        <w:rPr>
          <w:rFonts w:cs="Arial"/>
        </w:rPr>
        <w:t xml:space="preserve"> per tant</w:t>
      </w:r>
      <w:r>
        <w:rPr>
          <w:rFonts w:cs="Arial"/>
        </w:rPr>
        <w:t>,</w:t>
      </w:r>
      <w:r w:rsidRPr="00852B1B">
        <w:rPr>
          <w:rFonts w:cs="Arial"/>
        </w:rPr>
        <w:t xml:space="preserve"> una de les línies que es potencien per continuar orientant les intervencions cap a la millora dels resultat.</w:t>
      </w:r>
    </w:p>
    <w:p w:rsidR="00584272" w:rsidRPr="00852B1B" w:rsidRDefault="00584272" w:rsidP="00584272">
      <w:pPr>
        <w:spacing w:before="0" w:after="0"/>
        <w:rPr>
          <w:rFonts w:eastAsia="Times New Roman" w:cs="Arial"/>
          <w:lang w:eastAsia="ca-ES"/>
        </w:rPr>
      </w:pPr>
    </w:p>
    <w:p w:rsidR="00584272" w:rsidRPr="00852B1B" w:rsidRDefault="00584272" w:rsidP="0070401F">
      <w:pPr>
        <w:pStyle w:val="Ttol3"/>
      </w:pPr>
      <w:bookmarkStart w:id="84" w:name="_Toc463851771"/>
      <w:bookmarkStart w:id="85" w:name="_Toc463851830"/>
      <w:bookmarkStart w:id="86" w:name="_Toc463851846"/>
      <w:bookmarkStart w:id="87" w:name="_Toc463851884"/>
      <w:bookmarkStart w:id="88" w:name="_Toc464685617"/>
      <w:bookmarkStart w:id="89" w:name="_Toc465293348"/>
      <w:r w:rsidRPr="00852B1B">
        <w:t>La col·laboració continuada i sinèrgica amb la Universitat</w:t>
      </w:r>
      <w:bookmarkEnd w:id="84"/>
      <w:bookmarkEnd w:id="85"/>
      <w:bookmarkEnd w:id="86"/>
      <w:bookmarkEnd w:id="87"/>
      <w:bookmarkEnd w:id="88"/>
      <w:bookmarkEnd w:id="89"/>
    </w:p>
    <w:p w:rsidR="00584272" w:rsidRPr="00852B1B" w:rsidRDefault="00584272" w:rsidP="00584272">
      <w:pPr>
        <w:rPr>
          <w:rFonts w:cs="Arial"/>
        </w:rPr>
      </w:pPr>
      <w:r w:rsidRPr="00852B1B">
        <w:rPr>
          <w:rFonts w:cs="Arial"/>
        </w:rPr>
        <w:t>La interacció entre els serveis d</w:t>
      </w:r>
      <w:r>
        <w:rPr>
          <w:rFonts w:cs="Arial"/>
        </w:rPr>
        <w:t>’</w:t>
      </w:r>
      <w:r w:rsidRPr="00852B1B">
        <w:rPr>
          <w:rFonts w:cs="Arial"/>
        </w:rPr>
        <w:t xml:space="preserve">execució penal del Departament de Justícia i la comunitat universitària ha estat intensa des </w:t>
      </w:r>
      <w:r>
        <w:rPr>
          <w:rFonts w:cs="Arial"/>
        </w:rPr>
        <w:t>del</w:t>
      </w:r>
      <w:r w:rsidRPr="00852B1B">
        <w:rPr>
          <w:rFonts w:cs="Arial"/>
        </w:rPr>
        <w:t xml:space="preserve"> primer moment de recepció de la competència. </w:t>
      </w:r>
    </w:p>
    <w:p w:rsidR="00584272" w:rsidRPr="00852B1B" w:rsidRDefault="00584272" w:rsidP="00584272">
      <w:pPr>
        <w:rPr>
          <w:rFonts w:cs="Arial"/>
        </w:rPr>
      </w:pPr>
      <w:r w:rsidRPr="00852B1B">
        <w:rPr>
          <w:rFonts w:cs="Arial"/>
        </w:rPr>
        <w:t>El Centre d</w:t>
      </w:r>
      <w:r>
        <w:rPr>
          <w:rFonts w:cs="Arial"/>
        </w:rPr>
        <w:t>’</w:t>
      </w:r>
      <w:r w:rsidRPr="00852B1B">
        <w:rPr>
          <w:rFonts w:cs="Arial"/>
        </w:rPr>
        <w:t>Estudis Jurídics i Formació Especialitzada, en col·laboració amb les universitats, desenvolupa un programa de pràctiques universitàries als centres i serveis de la Direcció General d</w:t>
      </w:r>
      <w:r>
        <w:rPr>
          <w:rFonts w:cs="Arial"/>
        </w:rPr>
        <w:t>’</w:t>
      </w:r>
      <w:r w:rsidRPr="00852B1B">
        <w:rPr>
          <w:rFonts w:cs="Arial"/>
        </w:rPr>
        <w:t>Execució Penal a la Comunitat i de Justícia Juvenil i de la Direcció General de Serveis Penitenciaris per tal que els estudiants que cursen carreres relacionades amb l</w:t>
      </w:r>
      <w:r>
        <w:rPr>
          <w:rFonts w:cs="Arial"/>
        </w:rPr>
        <w:t>’</w:t>
      </w:r>
      <w:r w:rsidRPr="00852B1B">
        <w:rPr>
          <w:rFonts w:cs="Arial"/>
        </w:rPr>
        <w:t>àmbit de l</w:t>
      </w:r>
      <w:r>
        <w:rPr>
          <w:rFonts w:cs="Arial"/>
        </w:rPr>
        <w:t>’</w:t>
      </w:r>
      <w:r w:rsidRPr="00852B1B">
        <w:rPr>
          <w:rFonts w:cs="Arial"/>
        </w:rPr>
        <w:t>execució penal puguin fer el pràcticum establert als seus programes d</w:t>
      </w:r>
      <w:r>
        <w:rPr>
          <w:rFonts w:cs="Arial"/>
        </w:rPr>
        <w:t>’</w:t>
      </w:r>
      <w:r w:rsidRPr="00852B1B">
        <w:rPr>
          <w:rFonts w:cs="Arial"/>
        </w:rPr>
        <w:t>estudi.</w:t>
      </w:r>
    </w:p>
    <w:p w:rsidR="00584272" w:rsidRPr="00852B1B" w:rsidRDefault="00584272" w:rsidP="00584272">
      <w:pPr>
        <w:rPr>
          <w:rFonts w:cs="Arial"/>
        </w:rPr>
      </w:pPr>
      <w:r w:rsidRPr="00852B1B">
        <w:rPr>
          <w:rFonts w:cs="Arial"/>
        </w:rPr>
        <w:t>La col·laboració en el terreny de la recerca ha estat bidireccional, i fructífera. Bona part del catàleg de publicacions de recerca del CEJFE ha sortit d</w:t>
      </w:r>
      <w:r>
        <w:rPr>
          <w:rFonts w:cs="Arial"/>
        </w:rPr>
        <w:t>’</w:t>
      </w:r>
      <w:r w:rsidRPr="00852B1B">
        <w:rPr>
          <w:rFonts w:cs="Arial"/>
        </w:rPr>
        <w:t>equips compostos parcial</w:t>
      </w:r>
      <w:r>
        <w:rPr>
          <w:rFonts w:cs="Arial"/>
        </w:rPr>
        <w:t>ment</w:t>
      </w:r>
      <w:r w:rsidRPr="00852B1B">
        <w:rPr>
          <w:rFonts w:cs="Arial"/>
        </w:rPr>
        <w:t xml:space="preserve"> o totalment per docents o investigadors de les universitats catalanes; de fet, part dels recursos pressupostaris destinats a la promoció de la recerca en matèria d</w:t>
      </w:r>
      <w:r>
        <w:rPr>
          <w:rFonts w:cs="Arial"/>
        </w:rPr>
        <w:t>’</w:t>
      </w:r>
      <w:r w:rsidRPr="00852B1B">
        <w:rPr>
          <w:rFonts w:cs="Arial"/>
        </w:rPr>
        <w:t>execució penal es destina específicament a professors universitaris.</w:t>
      </w:r>
    </w:p>
    <w:p w:rsidR="00584272" w:rsidRPr="00852B1B" w:rsidRDefault="00584272" w:rsidP="00584272">
      <w:pPr>
        <w:tabs>
          <w:tab w:val="left" w:pos="709"/>
        </w:tabs>
        <w:rPr>
          <w:rFonts w:cs="Arial"/>
        </w:rPr>
      </w:pPr>
      <w:r w:rsidRPr="00852B1B">
        <w:rPr>
          <w:rFonts w:cs="Arial"/>
        </w:rPr>
        <w:lastRenderedPageBreak/>
        <w:t>Els programes d</w:t>
      </w:r>
      <w:r>
        <w:rPr>
          <w:rFonts w:cs="Arial"/>
        </w:rPr>
        <w:t>’</w:t>
      </w:r>
      <w:r w:rsidRPr="00852B1B">
        <w:rPr>
          <w:rFonts w:cs="Arial"/>
        </w:rPr>
        <w:t>intervenció que s</w:t>
      </w:r>
      <w:r>
        <w:rPr>
          <w:rFonts w:cs="Arial"/>
        </w:rPr>
        <w:t>’</w:t>
      </w:r>
      <w:r w:rsidRPr="00852B1B">
        <w:rPr>
          <w:rFonts w:cs="Arial"/>
        </w:rPr>
        <w:t>han posat en marxa al llarg d</w:t>
      </w:r>
      <w:r>
        <w:rPr>
          <w:rFonts w:cs="Arial"/>
        </w:rPr>
        <w:t>’</w:t>
      </w:r>
      <w:r w:rsidRPr="00852B1B">
        <w:rPr>
          <w:rFonts w:cs="Arial"/>
        </w:rPr>
        <w:t xml:space="preserve">aquests anys sempre han comptat amb la participació de les universitats, </w:t>
      </w:r>
      <w:r>
        <w:rPr>
          <w:rFonts w:cs="Arial"/>
        </w:rPr>
        <w:t>t</w:t>
      </w:r>
      <w:r w:rsidRPr="00852B1B">
        <w:rPr>
          <w:rFonts w:cs="Arial"/>
        </w:rPr>
        <w:t xml:space="preserve">ant en la formació dels professionals com en la planificació i </w:t>
      </w:r>
      <w:r>
        <w:rPr>
          <w:rFonts w:cs="Arial"/>
        </w:rPr>
        <w:t>l’</w:t>
      </w:r>
      <w:r w:rsidRPr="00852B1B">
        <w:rPr>
          <w:rFonts w:cs="Arial"/>
        </w:rPr>
        <w:t>avaluació dels programes d</w:t>
      </w:r>
      <w:r>
        <w:rPr>
          <w:rFonts w:cs="Arial"/>
        </w:rPr>
        <w:t>’</w:t>
      </w:r>
      <w:r w:rsidRPr="00852B1B">
        <w:rPr>
          <w:rFonts w:cs="Arial"/>
        </w:rPr>
        <w:t>actuació. Aquesta realitat d</w:t>
      </w:r>
      <w:r>
        <w:rPr>
          <w:rFonts w:cs="Arial"/>
        </w:rPr>
        <w:t>’</w:t>
      </w:r>
      <w:r w:rsidRPr="00852B1B">
        <w:rPr>
          <w:rFonts w:cs="Arial"/>
        </w:rPr>
        <w:t>interacció cont</w:t>
      </w:r>
      <w:r>
        <w:rPr>
          <w:rFonts w:cs="Arial"/>
        </w:rPr>
        <w:t>í</w:t>
      </w:r>
      <w:r w:rsidRPr="00852B1B">
        <w:rPr>
          <w:rFonts w:cs="Arial"/>
        </w:rPr>
        <w:t>nua amb els centres de recerca i coneixement facilit</w:t>
      </w:r>
      <w:r>
        <w:rPr>
          <w:rFonts w:cs="Arial"/>
        </w:rPr>
        <w:t>a</w:t>
      </w:r>
      <w:r w:rsidRPr="00852B1B">
        <w:rPr>
          <w:rFonts w:cs="Arial"/>
        </w:rPr>
        <w:t xml:space="preserve"> l</w:t>
      </w:r>
      <w:r>
        <w:rPr>
          <w:rFonts w:cs="Arial"/>
        </w:rPr>
        <w:t>’</w:t>
      </w:r>
      <w:r w:rsidRPr="00852B1B">
        <w:rPr>
          <w:rFonts w:cs="Arial"/>
        </w:rPr>
        <w:t>actualització permanent del sistema d</w:t>
      </w:r>
      <w:r>
        <w:rPr>
          <w:rFonts w:cs="Arial"/>
        </w:rPr>
        <w:t>’</w:t>
      </w:r>
      <w:r w:rsidRPr="00852B1B">
        <w:rPr>
          <w:rFonts w:cs="Arial"/>
        </w:rPr>
        <w:t>execució penal.</w:t>
      </w:r>
    </w:p>
    <w:p w:rsidR="00584272" w:rsidRPr="00852B1B" w:rsidRDefault="00584272" w:rsidP="00584272">
      <w:pPr>
        <w:rPr>
          <w:rFonts w:cs="Arial"/>
        </w:rPr>
      </w:pPr>
    </w:p>
    <w:p w:rsidR="00584272" w:rsidRPr="00852B1B" w:rsidRDefault="00584272" w:rsidP="0070401F">
      <w:pPr>
        <w:pStyle w:val="Ttol3"/>
      </w:pPr>
      <w:bookmarkStart w:id="90" w:name="_Toc463851772"/>
      <w:bookmarkStart w:id="91" w:name="_Toc463851831"/>
      <w:bookmarkStart w:id="92" w:name="_Toc463851847"/>
      <w:bookmarkStart w:id="93" w:name="_Toc463851885"/>
      <w:bookmarkStart w:id="94" w:name="_Toc464685618"/>
      <w:bookmarkStart w:id="95" w:name="_Toc465293349"/>
      <w:r w:rsidRPr="00FE61F2">
        <w:t>La col·laboració amb administracions penitenciàries d</w:t>
      </w:r>
      <w:r>
        <w:t>’</w:t>
      </w:r>
      <w:r w:rsidRPr="00FE61F2">
        <w:t>altres estats i</w:t>
      </w:r>
      <w:r w:rsidRPr="00852B1B">
        <w:t xml:space="preserve"> amb organismes </w:t>
      </w:r>
      <w:r w:rsidRPr="00B43787">
        <w:t>internacionals</w:t>
      </w:r>
      <w:r w:rsidRPr="00852B1B">
        <w:t xml:space="preserve"> relacionats amb l</w:t>
      </w:r>
      <w:r>
        <w:t>’</w:t>
      </w:r>
      <w:r w:rsidRPr="00852B1B">
        <w:t>execució penal</w:t>
      </w:r>
      <w:bookmarkEnd w:id="90"/>
      <w:bookmarkEnd w:id="91"/>
      <w:bookmarkEnd w:id="92"/>
      <w:bookmarkEnd w:id="93"/>
      <w:bookmarkEnd w:id="94"/>
      <w:bookmarkEnd w:id="95"/>
    </w:p>
    <w:p w:rsidR="00584272" w:rsidRPr="00852B1B" w:rsidRDefault="00584272" w:rsidP="00584272">
      <w:pPr>
        <w:rPr>
          <w:rFonts w:cs="Arial"/>
        </w:rPr>
      </w:pPr>
      <w:r w:rsidRPr="00852B1B">
        <w:rPr>
          <w:rFonts w:cs="Arial"/>
        </w:rPr>
        <w:t xml:space="preserve">El Departament de Justícia ha exportat </w:t>
      </w:r>
      <w:r>
        <w:rPr>
          <w:rFonts w:cs="Arial"/>
        </w:rPr>
        <w:t>saber fer (</w:t>
      </w:r>
      <w:r w:rsidRPr="00852B1B">
        <w:rPr>
          <w:rFonts w:cs="Arial"/>
          <w:i/>
        </w:rPr>
        <w:t>know-how</w:t>
      </w:r>
      <w:r>
        <w:rPr>
          <w:rFonts w:cs="Arial"/>
          <w:i/>
        </w:rPr>
        <w:t>)</w:t>
      </w:r>
      <w:r w:rsidRPr="00852B1B">
        <w:rPr>
          <w:rFonts w:cs="Arial"/>
        </w:rPr>
        <w:t xml:space="preserve"> en matèria d</w:t>
      </w:r>
      <w:r>
        <w:rPr>
          <w:rFonts w:cs="Arial"/>
        </w:rPr>
        <w:t>’</w:t>
      </w:r>
      <w:r w:rsidRPr="00852B1B">
        <w:rPr>
          <w:rFonts w:cs="Arial"/>
        </w:rPr>
        <w:t>execució penal a diversos països, com ara l</w:t>
      </w:r>
      <w:r>
        <w:rPr>
          <w:rFonts w:cs="Arial"/>
        </w:rPr>
        <w:t>’</w:t>
      </w:r>
      <w:r w:rsidRPr="00852B1B">
        <w:rPr>
          <w:rFonts w:cs="Arial"/>
        </w:rPr>
        <w:t>Uruguai o Algèria, a més de col·laborar activament amb organismes supranacionals, com ara el Consell d</w:t>
      </w:r>
      <w:r>
        <w:rPr>
          <w:rFonts w:cs="Arial"/>
        </w:rPr>
        <w:t>’</w:t>
      </w:r>
      <w:r w:rsidRPr="00852B1B">
        <w:rPr>
          <w:rFonts w:cs="Arial"/>
        </w:rPr>
        <w:t>Europa, en aquest àmbit de gestió. L</w:t>
      </w:r>
      <w:r>
        <w:rPr>
          <w:rFonts w:cs="Arial"/>
        </w:rPr>
        <w:t>’</w:t>
      </w:r>
      <w:r w:rsidRPr="00852B1B">
        <w:rPr>
          <w:rFonts w:cs="Arial"/>
        </w:rPr>
        <w:t>eina coneguda com a RisCanvi, en particular, ha estat objecte d</w:t>
      </w:r>
      <w:r>
        <w:rPr>
          <w:rFonts w:cs="Arial"/>
        </w:rPr>
        <w:t>’</w:t>
      </w:r>
      <w:r w:rsidRPr="00852B1B">
        <w:rPr>
          <w:rFonts w:cs="Arial"/>
        </w:rPr>
        <w:t>interès per part de diverses administracions penitenciàries europees i llatinoamericanes, a més d</w:t>
      </w:r>
      <w:r>
        <w:rPr>
          <w:rFonts w:cs="Arial"/>
        </w:rPr>
        <w:t>’</w:t>
      </w:r>
      <w:r w:rsidRPr="00852B1B">
        <w:rPr>
          <w:rFonts w:cs="Arial"/>
        </w:rPr>
        <w:t>haver-se iniciat la seva implantació al sistema penitenciari de l</w:t>
      </w:r>
      <w:r>
        <w:rPr>
          <w:rFonts w:cs="Arial"/>
        </w:rPr>
        <w:t>’</w:t>
      </w:r>
      <w:r w:rsidRPr="00852B1B">
        <w:rPr>
          <w:rFonts w:cs="Arial"/>
        </w:rPr>
        <w:t>Uruguai, a partir d</w:t>
      </w:r>
      <w:r>
        <w:rPr>
          <w:rFonts w:cs="Arial"/>
        </w:rPr>
        <w:t>’</w:t>
      </w:r>
      <w:r w:rsidRPr="00852B1B">
        <w:rPr>
          <w:rFonts w:cs="Arial"/>
        </w:rPr>
        <w:t>una intensa col·laboració que va començar l</w:t>
      </w:r>
      <w:r>
        <w:rPr>
          <w:rFonts w:cs="Arial"/>
        </w:rPr>
        <w:t>’</w:t>
      </w:r>
      <w:r w:rsidRPr="00852B1B">
        <w:rPr>
          <w:rFonts w:cs="Arial"/>
        </w:rPr>
        <w:t>any 2013.</w:t>
      </w:r>
    </w:p>
    <w:p w:rsidR="00584272" w:rsidRPr="00852B1B" w:rsidRDefault="00584272" w:rsidP="00584272">
      <w:pPr>
        <w:rPr>
          <w:rFonts w:cs="Arial"/>
        </w:rPr>
      </w:pPr>
      <w:r w:rsidRPr="00852B1B">
        <w:rPr>
          <w:rFonts w:cs="Arial"/>
        </w:rPr>
        <w:t>La participació en projectes europeus i l</w:t>
      </w:r>
      <w:r>
        <w:rPr>
          <w:rFonts w:cs="Arial"/>
        </w:rPr>
        <w:t>’</w:t>
      </w:r>
      <w:r w:rsidRPr="00852B1B">
        <w:rPr>
          <w:rFonts w:cs="Arial"/>
        </w:rPr>
        <w:t>intercanvi d</w:t>
      </w:r>
      <w:r>
        <w:rPr>
          <w:rFonts w:cs="Arial"/>
        </w:rPr>
        <w:t>’</w:t>
      </w:r>
      <w:r w:rsidRPr="00852B1B">
        <w:rPr>
          <w:rFonts w:cs="Arial"/>
        </w:rPr>
        <w:t xml:space="preserve">experiències com és el projecte </w:t>
      </w:r>
      <w:r w:rsidRPr="00E520A3">
        <w:rPr>
          <w:rFonts w:cs="Arial"/>
        </w:rPr>
        <w:t>Cercles de Suport i Responsabilitat, programa per a la integració social i prevenció de deli</w:t>
      </w:r>
      <w:r>
        <w:rPr>
          <w:rFonts w:cs="Arial"/>
        </w:rPr>
        <w:t xml:space="preserve">nqüència, o el projecte Institucions locals contra l’extremisme II-LIAISE II, </w:t>
      </w:r>
      <w:r w:rsidRPr="00E520A3">
        <w:rPr>
          <w:rFonts w:cs="Arial"/>
        </w:rPr>
        <w:t>per prevenir i afrontar el problema de la radicalització</w:t>
      </w:r>
      <w:r>
        <w:rPr>
          <w:rFonts w:cs="Arial"/>
        </w:rPr>
        <w:t xml:space="preserve">, </w:t>
      </w:r>
      <w:r w:rsidRPr="00852B1B">
        <w:rPr>
          <w:rFonts w:cs="Arial"/>
        </w:rPr>
        <w:t>és també un dels focus d</w:t>
      </w:r>
      <w:r>
        <w:rPr>
          <w:rFonts w:cs="Arial"/>
        </w:rPr>
        <w:t>’</w:t>
      </w:r>
      <w:r w:rsidRPr="00852B1B">
        <w:rPr>
          <w:rFonts w:cs="Arial"/>
        </w:rPr>
        <w:t xml:space="preserve">actuació que emmarquen el desig </w:t>
      </w:r>
      <w:r>
        <w:rPr>
          <w:rFonts w:cs="Arial"/>
        </w:rPr>
        <w:t>del Departament</w:t>
      </w:r>
      <w:r w:rsidRPr="00852B1B">
        <w:rPr>
          <w:rFonts w:cs="Arial"/>
        </w:rPr>
        <w:t xml:space="preserve"> de Justícia de compartir experiències amb altres països, i poder cercar les millors pràctiques i la retroalimentació continua de projectes comuns</w:t>
      </w:r>
      <w:r>
        <w:rPr>
          <w:rFonts w:cs="Arial"/>
        </w:rPr>
        <w:t>.</w:t>
      </w:r>
    </w:p>
    <w:p w:rsidR="00584272" w:rsidRPr="00852B1B" w:rsidRDefault="00584272" w:rsidP="0070401F">
      <w:pPr>
        <w:pStyle w:val="Ttol2"/>
      </w:pPr>
      <w:bookmarkStart w:id="96" w:name="_Toc463851773"/>
      <w:bookmarkStart w:id="97" w:name="_Toc463851832"/>
      <w:bookmarkStart w:id="98" w:name="_Toc463851848"/>
      <w:bookmarkStart w:id="99" w:name="_Toc463851886"/>
      <w:bookmarkStart w:id="100" w:name="_Toc464685619"/>
      <w:bookmarkStart w:id="101" w:name="_Toc465293350"/>
      <w:r w:rsidRPr="00852B1B">
        <w:t>De les línies estratègiques al Pla d</w:t>
      </w:r>
      <w:r>
        <w:t>’</w:t>
      </w:r>
      <w:r w:rsidRPr="00852B1B">
        <w:t>acció i a l</w:t>
      </w:r>
      <w:r>
        <w:t>’</w:t>
      </w:r>
      <w:r w:rsidRPr="00852B1B">
        <w:t xml:space="preserve">avaluació de resultats: la </w:t>
      </w:r>
      <w:r w:rsidRPr="00B43787">
        <w:t>responsabilitat</w:t>
      </w:r>
      <w:r w:rsidRPr="00852B1B">
        <w:t xml:space="preserve"> en la gestió</w:t>
      </w:r>
      <w:bookmarkEnd w:id="96"/>
      <w:bookmarkEnd w:id="97"/>
      <w:bookmarkEnd w:id="98"/>
      <w:bookmarkEnd w:id="99"/>
      <w:bookmarkEnd w:id="100"/>
      <w:bookmarkEnd w:id="101"/>
    </w:p>
    <w:p w:rsidR="00584272" w:rsidRPr="00852B1B" w:rsidRDefault="00584272" w:rsidP="00584272">
      <w:pPr>
        <w:rPr>
          <w:rFonts w:cs="Arial"/>
        </w:rPr>
      </w:pPr>
      <w:r w:rsidRPr="00852B1B">
        <w:rPr>
          <w:rFonts w:cs="Arial"/>
        </w:rPr>
        <w:t>Al llarg d</w:t>
      </w:r>
      <w:r>
        <w:rPr>
          <w:rFonts w:cs="Arial"/>
        </w:rPr>
        <w:t>’</w:t>
      </w:r>
      <w:r w:rsidRPr="00852B1B">
        <w:rPr>
          <w:rFonts w:cs="Arial"/>
        </w:rPr>
        <w:t>aquesta mirada a través del sistema d</w:t>
      </w:r>
      <w:r>
        <w:rPr>
          <w:rFonts w:cs="Arial"/>
        </w:rPr>
        <w:t>’</w:t>
      </w:r>
      <w:r w:rsidRPr="00852B1B">
        <w:rPr>
          <w:rFonts w:cs="Arial"/>
        </w:rPr>
        <w:t xml:space="preserve">execució penal català, i molt especialment del sistema penitenciari, des de les transferències fins </w:t>
      </w:r>
      <w:r>
        <w:rPr>
          <w:rFonts w:cs="Arial"/>
        </w:rPr>
        <w:t xml:space="preserve">a </w:t>
      </w:r>
      <w:r w:rsidRPr="00852B1B">
        <w:rPr>
          <w:rFonts w:cs="Arial"/>
        </w:rPr>
        <w:t>l</w:t>
      </w:r>
      <w:r>
        <w:rPr>
          <w:rFonts w:cs="Arial"/>
        </w:rPr>
        <w:t>’</w:t>
      </w:r>
      <w:r w:rsidRPr="00852B1B">
        <w:rPr>
          <w:rFonts w:cs="Arial"/>
        </w:rPr>
        <w:t>actualitat, els diferents blocs temàtics en els qu</w:t>
      </w:r>
      <w:r>
        <w:rPr>
          <w:rFonts w:cs="Arial"/>
        </w:rPr>
        <w:t>als</w:t>
      </w:r>
      <w:r w:rsidRPr="00852B1B">
        <w:rPr>
          <w:rFonts w:cs="Arial"/>
        </w:rPr>
        <w:t xml:space="preserve"> hem dividit aquest treball refereixen les línies orientadores de les polítiques i els plans d</w:t>
      </w:r>
      <w:r>
        <w:rPr>
          <w:rFonts w:cs="Arial"/>
        </w:rPr>
        <w:t>’</w:t>
      </w:r>
      <w:r w:rsidRPr="00852B1B">
        <w:rPr>
          <w:rFonts w:cs="Arial"/>
        </w:rPr>
        <w:t>actuació que s</w:t>
      </w:r>
      <w:r>
        <w:rPr>
          <w:rFonts w:cs="Arial"/>
        </w:rPr>
        <w:t>’</w:t>
      </w:r>
      <w:r w:rsidRPr="00852B1B">
        <w:rPr>
          <w:rFonts w:cs="Arial"/>
        </w:rPr>
        <w:t>han portat a terme al llarg d</w:t>
      </w:r>
      <w:r>
        <w:rPr>
          <w:rFonts w:cs="Arial"/>
        </w:rPr>
        <w:t>’</w:t>
      </w:r>
      <w:r w:rsidRPr="00852B1B">
        <w:rPr>
          <w:rFonts w:cs="Arial"/>
        </w:rPr>
        <w:t>aquests 32 anys. Podem concretar els grans objectius que sempre han estat presents en els plans d</w:t>
      </w:r>
      <w:r>
        <w:rPr>
          <w:rFonts w:cs="Arial"/>
        </w:rPr>
        <w:t>’</w:t>
      </w:r>
      <w:r w:rsidRPr="00852B1B">
        <w:rPr>
          <w:rFonts w:cs="Arial"/>
        </w:rPr>
        <w:t xml:space="preserve">actuacions dels diferents </w:t>
      </w:r>
      <w:r>
        <w:rPr>
          <w:rFonts w:cs="Arial"/>
        </w:rPr>
        <w:t>g</w:t>
      </w:r>
      <w:r w:rsidRPr="00852B1B">
        <w:rPr>
          <w:rFonts w:cs="Arial"/>
        </w:rPr>
        <w:t>overns, i que orienten una línia integradora i consensuada de la política en aquesta matèria.</w:t>
      </w:r>
    </w:p>
    <w:p w:rsidR="00584272" w:rsidRPr="00852B1B" w:rsidRDefault="00584272" w:rsidP="0070401F">
      <w:pPr>
        <w:pStyle w:val="Ttol3"/>
      </w:pPr>
      <w:bookmarkStart w:id="102" w:name="_Toc463851774"/>
      <w:bookmarkStart w:id="103" w:name="_Toc463851833"/>
      <w:bookmarkStart w:id="104" w:name="_Toc463851849"/>
      <w:bookmarkStart w:id="105" w:name="_Toc463851887"/>
      <w:bookmarkStart w:id="106" w:name="_Toc464685620"/>
      <w:bookmarkStart w:id="107" w:name="_Toc465293351"/>
      <w:r w:rsidRPr="00B43787">
        <w:t>Objectius</w:t>
      </w:r>
      <w:bookmarkEnd w:id="102"/>
      <w:bookmarkEnd w:id="103"/>
      <w:bookmarkEnd w:id="104"/>
      <w:bookmarkEnd w:id="105"/>
      <w:bookmarkEnd w:id="106"/>
      <w:bookmarkEnd w:id="107"/>
      <w:r w:rsidRPr="00852B1B">
        <w:t xml:space="preserve"> </w:t>
      </w:r>
    </w:p>
    <w:p w:rsidR="00584272" w:rsidRPr="00B43787" w:rsidRDefault="00584272" w:rsidP="00904443">
      <w:pPr>
        <w:pStyle w:val="Pargrafdellista"/>
        <w:numPr>
          <w:ilvl w:val="0"/>
          <w:numId w:val="71"/>
        </w:numPr>
        <w:spacing w:before="0" w:after="0"/>
        <w:rPr>
          <w:rFonts w:eastAsia="Times New Roman" w:cs="Arial"/>
          <w:lang w:eastAsia="ca-ES"/>
        </w:rPr>
      </w:pPr>
      <w:r w:rsidRPr="00B43787">
        <w:rPr>
          <w:rFonts w:eastAsia="Times New Roman" w:cs="Arial"/>
          <w:lang w:eastAsia="ca-ES"/>
        </w:rPr>
        <w:t>Crear les condicions –en recursos humans, organització i equipaments– que facilitin el tractament personalitzat dels individus d’acord amb les seves característiques penals, socials, d’edat, d’origen, etc.</w:t>
      </w:r>
    </w:p>
    <w:p w:rsidR="00584272" w:rsidRPr="00B43787" w:rsidRDefault="00584272" w:rsidP="00904443">
      <w:pPr>
        <w:pStyle w:val="Pargrafdellista"/>
        <w:numPr>
          <w:ilvl w:val="0"/>
          <w:numId w:val="71"/>
        </w:numPr>
        <w:spacing w:before="0" w:after="0"/>
        <w:rPr>
          <w:rFonts w:eastAsia="Times New Roman" w:cs="Arial"/>
          <w:lang w:eastAsia="ca-ES"/>
        </w:rPr>
      </w:pPr>
      <w:r w:rsidRPr="00B43787">
        <w:rPr>
          <w:rFonts w:eastAsia="Times New Roman" w:cs="Arial"/>
          <w:lang w:eastAsia="ca-ES"/>
        </w:rPr>
        <w:t>Adequar la intervenció i el tractament individualitzat a les diferents tipologies delictives i als factors de risc, tenint en compte els col·lectius d’especial atenció.</w:t>
      </w:r>
    </w:p>
    <w:p w:rsidR="00584272" w:rsidRPr="00B43787" w:rsidRDefault="00584272" w:rsidP="00904443">
      <w:pPr>
        <w:pStyle w:val="Pargrafdellista"/>
        <w:numPr>
          <w:ilvl w:val="0"/>
          <w:numId w:val="71"/>
        </w:numPr>
        <w:spacing w:before="0" w:after="0"/>
        <w:rPr>
          <w:rFonts w:eastAsia="Times New Roman" w:cs="Arial"/>
          <w:lang w:eastAsia="ca-ES"/>
        </w:rPr>
      </w:pPr>
      <w:r w:rsidRPr="00B43787">
        <w:rPr>
          <w:rFonts w:eastAsia="Times New Roman" w:cs="Arial"/>
          <w:lang w:eastAsia="ca-ES"/>
        </w:rPr>
        <w:t>Desenvolupar el model d’execució penal català mantenint un clima de convivència ordenada i potenciant el medi obert penitenciari, la reintegració dels estrangers residents i el retorn al seu país dels no-residents.</w:t>
      </w:r>
    </w:p>
    <w:p w:rsidR="00584272" w:rsidRPr="00B43787" w:rsidRDefault="00584272" w:rsidP="00904443">
      <w:pPr>
        <w:pStyle w:val="Pargrafdellista"/>
        <w:numPr>
          <w:ilvl w:val="0"/>
          <w:numId w:val="71"/>
        </w:numPr>
        <w:spacing w:before="0" w:after="0"/>
        <w:rPr>
          <w:rFonts w:eastAsia="Times New Roman" w:cs="Arial"/>
          <w:lang w:eastAsia="ca-ES"/>
        </w:rPr>
      </w:pPr>
      <w:r w:rsidRPr="00B43787">
        <w:rPr>
          <w:rFonts w:eastAsia="Times New Roman" w:cs="Arial"/>
          <w:lang w:eastAsia="ca-ES"/>
        </w:rPr>
        <w:t>Potenciar el model FOI, de formació, ocupació i inserció per garantir una major capacitació del col·lectiu intern.</w:t>
      </w:r>
    </w:p>
    <w:p w:rsidR="00584272" w:rsidRPr="00B43787" w:rsidRDefault="00584272" w:rsidP="00904443">
      <w:pPr>
        <w:pStyle w:val="Pargrafdellista"/>
        <w:numPr>
          <w:ilvl w:val="0"/>
          <w:numId w:val="71"/>
        </w:numPr>
        <w:spacing w:before="0" w:after="0"/>
        <w:rPr>
          <w:rFonts w:eastAsia="Times New Roman" w:cs="Arial"/>
          <w:lang w:eastAsia="ca-ES"/>
        </w:rPr>
      </w:pPr>
      <w:r w:rsidRPr="00B43787">
        <w:rPr>
          <w:rFonts w:eastAsia="Times New Roman" w:cs="Arial"/>
          <w:lang w:eastAsia="ca-ES"/>
        </w:rPr>
        <w:t>Facilitar la inserció sociolaboral de les persones sotmeses a mesures d’execució penal, i generar el mecanismes d’acompanyament postsortida per donar suport al pas presó-comunitat, i facilitar el retorn a la vida en llibertat.</w:t>
      </w:r>
    </w:p>
    <w:p w:rsidR="00584272" w:rsidRPr="00B43787" w:rsidRDefault="00584272" w:rsidP="00904443">
      <w:pPr>
        <w:pStyle w:val="Pargrafdellista"/>
        <w:numPr>
          <w:ilvl w:val="0"/>
          <w:numId w:val="71"/>
        </w:numPr>
        <w:spacing w:before="0" w:after="0"/>
        <w:rPr>
          <w:rFonts w:eastAsia="Times New Roman" w:cs="Arial"/>
          <w:lang w:eastAsia="ca-ES"/>
        </w:rPr>
      </w:pPr>
      <w:r w:rsidRPr="00B43787">
        <w:rPr>
          <w:rFonts w:eastAsia="Times New Roman" w:cs="Arial"/>
          <w:lang w:eastAsia="ca-ES"/>
        </w:rPr>
        <w:t>Potenciar el compliment de les mesures penals en la comunitat, com a eina econòmica i socialment sostenible i eficaç per a l’execució penal.</w:t>
      </w:r>
    </w:p>
    <w:p w:rsidR="00584272" w:rsidRPr="00B43787" w:rsidRDefault="00584272" w:rsidP="00904443">
      <w:pPr>
        <w:pStyle w:val="Pargrafdellista"/>
        <w:numPr>
          <w:ilvl w:val="0"/>
          <w:numId w:val="71"/>
        </w:numPr>
        <w:spacing w:before="0" w:after="0"/>
        <w:rPr>
          <w:rFonts w:eastAsia="Times New Roman" w:cs="Arial"/>
          <w:lang w:eastAsia="ca-ES"/>
        </w:rPr>
      </w:pPr>
      <w:r w:rsidRPr="00B43787">
        <w:rPr>
          <w:rFonts w:eastAsia="Times New Roman" w:cs="Arial"/>
          <w:lang w:eastAsia="ca-ES"/>
        </w:rPr>
        <w:lastRenderedPageBreak/>
        <w:t>Potenciar els òrgans de participació institucional i social a través de les entitats col·laboradores i el voluntariat.</w:t>
      </w:r>
    </w:p>
    <w:p w:rsidR="00584272" w:rsidRPr="00B43787" w:rsidRDefault="00584272" w:rsidP="00904443">
      <w:pPr>
        <w:pStyle w:val="Pargrafdellista"/>
        <w:numPr>
          <w:ilvl w:val="0"/>
          <w:numId w:val="71"/>
        </w:numPr>
        <w:spacing w:before="0" w:after="0"/>
        <w:rPr>
          <w:rFonts w:eastAsia="Times New Roman" w:cs="Arial"/>
          <w:lang w:eastAsia="ca-ES"/>
        </w:rPr>
      </w:pPr>
      <w:r w:rsidRPr="00B43787">
        <w:rPr>
          <w:rFonts w:eastAsia="Times New Roman" w:cs="Arial"/>
          <w:lang w:eastAsia="ca-ES"/>
        </w:rPr>
        <w:t>Optimitzar els recursos dels serveis penitenciaris mitjançant el desenvolupament del sistema d’informació, la millora de la qualificació tècnica i competències professionals del personal, i la gestió eficient dels recursos humans i materials.</w:t>
      </w:r>
    </w:p>
    <w:p w:rsidR="00584272" w:rsidRPr="00B43787" w:rsidRDefault="00584272" w:rsidP="00904443">
      <w:pPr>
        <w:pStyle w:val="Pargrafdellista"/>
        <w:numPr>
          <w:ilvl w:val="0"/>
          <w:numId w:val="71"/>
        </w:numPr>
        <w:spacing w:before="0" w:after="0"/>
        <w:rPr>
          <w:rFonts w:eastAsia="Times New Roman" w:cs="Arial"/>
          <w:lang w:eastAsia="ca-ES"/>
        </w:rPr>
      </w:pPr>
      <w:r w:rsidRPr="00B43787">
        <w:rPr>
          <w:rFonts w:eastAsia="Times New Roman" w:cs="Arial"/>
          <w:lang w:eastAsia="ca-ES"/>
        </w:rPr>
        <w:t>Promoure la sensibilització de l’opinió sobre la doble funció social del sistema penitenciari, els seus beneficis i els seus requeriments.</w:t>
      </w:r>
    </w:p>
    <w:p w:rsidR="00584272" w:rsidRPr="00852B1B" w:rsidRDefault="00584272" w:rsidP="00584272">
      <w:pPr>
        <w:rPr>
          <w:rFonts w:cs="Arial"/>
        </w:rPr>
      </w:pPr>
    </w:p>
    <w:p w:rsidR="00584272" w:rsidRPr="00852B1B" w:rsidRDefault="00584272" w:rsidP="00584272">
      <w:pPr>
        <w:rPr>
          <w:rFonts w:cs="Arial"/>
        </w:rPr>
      </w:pPr>
      <w:r w:rsidRPr="00852B1B">
        <w:rPr>
          <w:rFonts w:cs="Arial"/>
        </w:rPr>
        <w:t>Al llarg dels diferents blocs temàtics s</w:t>
      </w:r>
      <w:r>
        <w:rPr>
          <w:rFonts w:cs="Arial"/>
        </w:rPr>
        <w:t>’</w:t>
      </w:r>
      <w:r w:rsidRPr="00852B1B">
        <w:rPr>
          <w:rFonts w:cs="Arial"/>
        </w:rPr>
        <w:t>abordarà l</w:t>
      </w:r>
      <w:r>
        <w:rPr>
          <w:rFonts w:cs="Arial"/>
        </w:rPr>
        <w:t>’</w:t>
      </w:r>
      <w:r w:rsidRPr="00852B1B">
        <w:rPr>
          <w:rFonts w:cs="Arial"/>
        </w:rPr>
        <w:t xml:space="preserve">evolució i el sistema de gestió, </w:t>
      </w:r>
      <w:r>
        <w:rPr>
          <w:rFonts w:cs="Arial"/>
        </w:rPr>
        <w:t>i es mostraran</w:t>
      </w:r>
      <w:r w:rsidRPr="00852B1B">
        <w:rPr>
          <w:rFonts w:cs="Arial"/>
        </w:rPr>
        <w:t xml:space="preserve"> les grans xifres i la transformació que al llarg d</w:t>
      </w:r>
      <w:r>
        <w:rPr>
          <w:rFonts w:cs="Arial"/>
        </w:rPr>
        <w:t>’</w:t>
      </w:r>
      <w:r w:rsidRPr="00852B1B">
        <w:rPr>
          <w:rFonts w:cs="Arial"/>
        </w:rPr>
        <w:t>aquests anys ha assolit l</w:t>
      </w:r>
      <w:r>
        <w:rPr>
          <w:rFonts w:cs="Arial"/>
        </w:rPr>
        <w:t>’e</w:t>
      </w:r>
      <w:r w:rsidRPr="00852B1B">
        <w:rPr>
          <w:rFonts w:cs="Arial"/>
        </w:rPr>
        <w:t xml:space="preserve">xecució </w:t>
      </w:r>
      <w:r>
        <w:rPr>
          <w:rFonts w:cs="Arial"/>
        </w:rPr>
        <w:t>p</w:t>
      </w:r>
      <w:r w:rsidRPr="00852B1B">
        <w:rPr>
          <w:rFonts w:cs="Arial"/>
        </w:rPr>
        <w:t>enal a Catalunya.</w:t>
      </w:r>
    </w:p>
    <w:p w:rsidR="00584272" w:rsidRPr="00852B1B" w:rsidRDefault="00584272" w:rsidP="00584272">
      <w:pPr>
        <w:rPr>
          <w:rFonts w:cs="Arial"/>
        </w:rPr>
      </w:pPr>
      <w:r w:rsidRPr="00852B1B">
        <w:rPr>
          <w:rFonts w:cs="Arial"/>
        </w:rPr>
        <w:t>Des de l</w:t>
      </w:r>
      <w:r>
        <w:rPr>
          <w:rFonts w:cs="Arial"/>
        </w:rPr>
        <w:t>’</w:t>
      </w:r>
      <w:r w:rsidRPr="00852B1B">
        <w:rPr>
          <w:rFonts w:cs="Arial"/>
        </w:rPr>
        <w:t>inici de les transferències s</w:t>
      </w:r>
      <w:r>
        <w:rPr>
          <w:rFonts w:cs="Arial"/>
        </w:rPr>
        <w:t>’</w:t>
      </w:r>
      <w:r w:rsidRPr="00852B1B">
        <w:rPr>
          <w:rFonts w:cs="Arial"/>
        </w:rPr>
        <w:t>ha volgut disposar de metodologies fonamentades en els models de qualitat que donessin les eines per mesurar i avaluar els programes d</w:t>
      </w:r>
      <w:r>
        <w:rPr>
          <w:rFonts w:cs="Arial"/>
        </w:rPr>
        <w:t>’</w:t>
      </w:r>
      <w:r w:rsidRPr="00852B1B">
        <w:rPr>
          <w:rFonts w:cs="Arial"/>
        </w:rPr>
        <w:t>intervenció que es posaven en marxa, així com avaluar la gestió d</w:t>
      </w:r>
      <w:r>
        <w:rPr>
          <w:rFonts w:cs="Arial"/>
        </w:rPr>
        <w:t>’</w:t>
      </w:r>
      <w:r w:rsidRPr="00852B1B">
        <w:rPr>
          <w:rFonts w:cs="Arial"/>
        </w:rPr>
        <w:t>una aplicació efectiva del model de treball. L</w:t>
      </w:r>
      <w:r>
        <w:rPr>
          <w:rFonts w:cs="Arial"/>
        </w:rPr>
        <w:t>’</w:t>
      </w:r>
      <w:r w:rsidRPr="00852B1B">
        <w:rPr>
          <w:rFonts w:cs="Arial"/>
        </w:rPr>
        <w:t>avaluació dels programes d</w:t>
      </w:r>
      <w:r>
        <w:rPr>
          <w:rFonts w:cs="Arial"/>
        </w:rPr>
        <w:t>’</w:t>
      </w:r>
      <w:r w:rsidRPr="00852B1B">
        <w:rPr>
          <w:rFonts w:cs="Arial"/>
        </w:rPr>
        <w:t xml:space="preserve">intervenció, les publicacions sobre els resultats, les recerques i </w:t>
      </w:r>
      <w:r>
        <w:rPr>
          <w:rFonts w:cs="Arial"/>
        </w:rPr>
        <w:t xml:space="preserve">la </w:t>
      </w:r>
      <w:r w:rsidRPr="00852B1B">
        <w:rPr>
          <w:rFonts w:cs="Arial"/>
        </w:rPr>
        <w:t>investigació que s</w:t>
      </w:r>
      <w:r>
        <w:rPr>
          <w:rFonts w:cs="Arial"/>
        </w:rPr>
        <w:t>’</w:t>
      </w:r>
      <w:r w:rsidRPr="00852B1B">
        <w:rPr>
          <w:rFonts w:cs="Arial"/>
        </w:rPr>
        <w:t>han portat a terme al llarg d</w:t>
      </w:r>
      <w:r>
        <w:rPr>
          <w:rFonts w:cs="Arial"/>
        </w:rPr>
        <w:t>’</w:t>
      </w:r>
      <w:r w:rsidRPr="00852B1B">
        <w:rPr>
          <w:rFonts w:cs="Arial"/>
        </w:rPr>
        <w:t>aquests anys són una font de coneixements sobre el nivell d</w:t>
      </w:r>
      <w:r>
        <w:rPr>
          <w:rFonts w:cs="Arial"/>
        </w:rPr>
        <w:t>’</w:t>
      </w:r>
      <w:r w:rsidRPr="00852B1B">
        <w:rPr>
          <w:rFonts w:cs="Arial"/>
        </w:rPr>
        <w:t xml:space="preserve">efectivitat de la seva aplicació. </w:t>
      </w:r>
    </w:p>
    <w:p w:rsidR="00584272" w:rsidRPr="00852B1B" w:rsidRDefault="00584272" w:rsidP="00584272">
      <w:pPr>
        <w:rPr>
          <w:rFonts w:cs="Arial"/>
        </w:rPr>
      </w:pPr>
      <w:r w:rsidRPr="00852B1B">
        <w:rPr>
          <w:rFonts w:cs="Arial"/>
        </w:rPr>
        <w:t>No és en aquest capítol que dedicarem espai a aquest tipus d</w:t>
      </w:r>
      <w:r>
        <w:rPr>
          <w:rFonts w:cs="Arial"/>
        </w:rPr>
        <w:t>’</w:t>
      </w:r>
      <w:r w:rsidRPr="00852B1B">
        <w:rPr>
          <w:rFonts w:cs="Arial"/>
        </w:rPr>
        <w:t>avaluació, sinó que volem presentar un model de gestió global, basat en els models de qualitat i que s</w:t>
      </w:r>
      <w:r>
        <w:rPr>
          <w:rFonts w:cs="Arial"/>
        </w:rPr>
        <w:t>’</w:t>
      </w:r>
      <w:r w:rsidRPr="00852B1B">
        <w:rPr>
          <w:rFonts w:cs="Arial"/>
        </w:rPr>
        <w:t>ha implantat parcialment en el sistema d</w:t>
      </w:r>
      <w:r>
        <w:rPr>
          <w:rFonts w:cs="Arial"/>
        </w:rPr>
        <w:t>’e</w:t>
      </w:r>
      <w:r w:rsidRPr="00852B1B">
        <w:rPr>
          <w:rFonts w:cs="Arial"/>
        </w:rPr>
        <w:t xml:space="preserve">xecució penal, repte que ha de continuar els propers anys. Estem parlant del projecte </w:t>
      </w:r>
      <w:r w:rsidRPr="005E1FBA">
        <w:rPr>
          <w:rFonts w:cs="Arial"/>
          <w:b/>
        </w:rPr>
        <w:t>Justícia innova</w:t>
      </w:r>
      <w:r w:rsidRPr="00852B1B">
        <w:rPr>
          <w:rFonts w:cs="Arial"/>
        </w:rPr>
        <w:t xml:space="preserve">, que té la </w:t>
      </w:r>
      <w:r>
        <w:rPr>
          <w:rFonts w:cs="Arial"/>
        </w:rPr>
        <w:t>ves</w:t>
      </w:r>
      <w:r w:rsidRPr="00852B1B">
        <w:rPr>
          <w:rFonts w:cs="Arial"/>
        </w:rPr>
        <w:t>sant més coneguda en el sistema d</w:t>
      </w:r>
      <w:r>
        <w:rPr>
          <w:rFonts w:cs="Arial"/>
        </w:rPr>
        <w:t>’</w:t>
      </w:r>
      <w:r w:rsidRPr="00852B1B">
        <w:rPr>
          <w:rFonts w:cs="Arial"/>
        </w:rPr>
        <w:t xml:space="preserve">indicadors que es publica a través del web del Departament de Justícia amb el nom de </w:t>
      </w:r>
      <w:r>
        <w:rPr>
          <w:rFonts w:cs="Arial"/>
        </w:rPr>
        <w:t>D</w:t>
      </w:r>
      <w:r w:rsidRPr="00852B1B">
        <w:rPr>
          <w:rFonts w:cs="Arial"/>
        </w:rPr>
        <w:t>escriptor</w:t>
      </w:r>
      <w:r>
        <w:rPr>
          <w:rFonts w:cs="Arial"/>
        </w:rPr>
        <w:t>s</w:t>
      </w:r>
      <w:r w:rsidRPr="00852B1B">
        <w:rPr>
          <w:rFonts w:cs="Arial"/>
        </w:rPr>
        <w:t xml:space="preserve"> estadístic</w:t>
      </w:r>
      <w:r>
        <w:rPr>
          <w:rFonts w:cs="Arial"/>
        </w:rPr>
        <w:t>s</w:t>
      </w:r>
      <w:r w:rsidRPr="00852B1B">
        <w:rPr>
          <w:rFonts w:cs="Arial"/>
        </w:rPr>
        <w:t>, i que presenta una bateria de dades, actualitza</w:t>
      </w:r>
      <w:r>
        <w:rPr>
          <w:rFonts w:cs="Arial"/>
        </w:rPr>
        <w:t>des</w:t>
      </w:r>
      <w:r w:rsidRPr="00852B1B">
        <w:rPr>
          <w:rFonts w:cs="Arial"/>
        </w:rPr>
        <w:t xml:space="preserve"> mensual</w:t>
      </w:r>
      <w:r>
        <w:rPr>
          <w:rFonts w:cs="Arial"/>
        </w:rPr>
        <w:t>ment,</w:t>
      </w:r>
      <w:r w:rsidRPr="00852B1B">
        <w:rPr>
          <w:rFonts w:cs="Arial"/>
        </w:rPr>
        <w:t xml:space="preserve"> que permet obtenir una visió molt completa de la situació de l</w:t>
      </w:r>
      <w:r>
        <w:rPr>
          <w:rFonts w:cs="Arial"/>
        </w:rPr>
        <w:t>’</w:t>
      </w:r>
      <w:r w:rsidRPr="00852B1B">
        <w:rPr>
          <w:rFonts w:cs="Arial"/>
        </w:rPr>
        <w:t>execució penal a Catalunya.</w:t>
      </w:r>
    </w:p>
    <w:p w:rsidR="00584272" w:rsidRPr="00852B1B" w:rsidRDefault="00584272" w:rsidP="00584272">
      <w:pPr>
        <w:rPr>
          <w:rFonts w:cs="Arial"/>
        </w:rPr>
      </w:pPr>
    </w:p>
    <w:p w:rsidR="00584272" w:rsidRPr="00852B1B" w:rsidRDefault="00584272" w:rsidP="0070401F">
      <w:pPr>
        <w:pStyle w:val="Ttol3"/>
      </w:pPr>
      <w:bookmarkStart w:id="108" w:name="_Toc463851775"/>
      <w:bookmarkStart w:id="109" w:name="_Toc463851834"/>
      <w:bookmarkStart w:id="110" w:name="_Toc463851850"/>
      <w:bookmarkStart w:id="111" w:name="_Toc463851888"/>
      <w:bookmarkStart w:id="112" w:name="_Toc464685621"/>
      <w:bookmarkStart w:id="113" w:name="_Toc465293352"/>
      <w:r w:rsidRPr="00852B1B">
        <w:t xml:space="preserve">El </w:t>
      </w:r>
      <w:r w:rsidRPr="00B43787">
        <w:t>projecte</w:t>
      </w:r>
      <w:r w:rsidRPr="00852B1B">
        <w:t xml:space="preserve"> Justícia innova</w:t>
      </w:r>
      <w:bookmarkEnd w:id="108"/>
      <w:bookmarkEnd w:id="109"/>
      <w:bookmarkEnd w:id="110"/>
      <w:bookmarkEnd w:id="111"/>
      <w:bookmarkEnd w:id="112"/>
      <w:bookmarkEnd w:id="113"/>
    </w:p>
    <w:p w:rsidR="00584272" w:rsidRPr="00852B1B" w:rsidRDefault="00584272" w:rsidP="00584272">
      <w:pPr>
        <w:rPr>
          <w:rFonts w:cs="Arial"/>
        </w:rPr>
      </w:pPr>
      <w:r w:rsidRPr="00852B1B">
        <w:rPr>
          <w:rFonts w:cs="Arial"/>
        </w:rPr>
        <w:t>El sistema penitenciari català ha experimentat grans canvis al llarg dels últims 30 anys, i aquesta evolució, producte del procés de modernització</w:t>
      </w:r>
      <w:r>
        <w:rPr>
          <w:rFonts w:cs="Arial"/>
        </w:rPr>
        <w:t>,</w:t>
      </w:r>
      <w:r w:rsidRPr="00852B1B">
        <w:rPr>
          <w:rFonts w:cs="Arial"/>
        </w:rPr>
        <w:t xml:space="preserve"> s</w:t>
      </w:r>
      <w:r>
        <w:rPr>
          <w:rFonts w:cs="Arial"/>
        </w:rPr>
        <w:t>’</w:t>
      </w:r>
      <w:r w:rsidRPr="00852B1B">
        <w:rPr>
          <w:rFonts w:cs="Arial"/>
        </w:rPr>
        <w:t>ha volgut concretar en aquest projecte a mi</w:t>
      </w:r>
      <w:r>
        <w:rPr>
          <w:rFonts w:cs="Arial"/>
        </w:rPr>
        <w:t>tjà</w:t>
      </w:r>
      <w:r w:rsidRPr="00852B1B">
        <w:rPr>
          <w:rFonts w:cs="Arial"/>
        </w:rPr>
        <w:t xml:space="preserve"> i llarg termini, i que es resumeix en 6 objectius:</w:t>
      </w:r>
    </w:p>
    <w:p w:rsidR="00584272" w:rsidRPr="00852B1B" w:rsidRDefault="00584272" w:rsidP="00904443">
      <w:pPr>
        <w:pStyle w:val="Pargrafdellista"/>
        <w:numPr>
          <w:ilvl w:val="0"/>
          <w:numId w:val="62"/>
        </w:numPr>
        <w:rPr>
          <w:rFonts w:cs="Arial"/>
        </w:rPr>
      </w:pPr>
      <w:r w:rsidRPr="00852B1B">
        <w:rPr>
          <w:rFonts w:cs="Arial"/>
        </w:rPr>
        <w:t>Incorporar la prevenció</w:t>
      </w:r>
    </w:p>
    <w:p w:rsidR="00584272" w:rsidRPr="00852B1B" w:rsidRDefault="00584272" w:rsidP="00904443">
      <w:pPr>
        <w:pStyle w:val="Pargrafdellista"/>
        <w:numPr>
          <w:ilvl w:val="0"/>
          <w:numId w:val="62"/>
        </w:numPr>
        <w:rPr>
          <w:rFonts w:cs="Arial"/>
        </w:rPr>
      </w:pPr>
      <w:r w:rsidRPr="00852B1B">
        <w:rPr>
          <w:rFonts w:cs="Arial"/>
        </w:rPr>
        <w:t>Objectivar la supervisió</w:t>
      </w:r>
    </w:p>
    <w:p w:rsidR="00584272" w:rsidRPr="00852B1B" w:rsidRDefault="00584272" w:rsidP="00904443">
      <w:pPr>
        <w:pStyle w:val="Pargrafdellista"/>
        <w:numPr>
          <w:ilvl w:val="0"/>
          <w:numId w:val="62"/>
        </w:numPr>
        <w:rPr>
          <w:rFonts w:cs="Arial"/>
        </w:rPr>
      </w:pPr>
      <w:r w:rsidRPr="00852B1B">
        <w:rPr>
          <w:rFonts w:cs="Arial"/>
        </w:rPr>
        <w:t>Concentrar esforços</w:t>
      </w:r>
    </w:p>
    <w:p w:rsidR="00584272" w:rsidRPr="00852B1B" w:rsidRDefault="00584272" w:rsidP="00904443">
      <w:pPr>
        <w:pStyle w:val="Pargrafdellista"/>
        <w:numPr>
          <w:ilvl w:val="0"/>
          <w:numId w:val="62"/>
        </w:numPr>
        <w:rPr>
          <w:rFonts w:cs="Arial"/>
        </w:rPr>
      </w:pPr>
      <w:r w:rsidRPr="00852B1B">
        <w:rPr>
          <w:rFonts w:cs="Arial"/>
        </w:rPr>
        <w:t>Millorar la satisfacció</w:t>
      </w:r>
    </w:p>
    <w:p w:rsidR="00584272" w:rsidRPr="00852B1B" w:rsidRDefault="00584272" w:rsidP="00904443">
      <w:pPr>
        <w:pStyle w:val="Pargrafdellista"/>
        <w:numPr>
          <w:ilvl w:val="0"/>
          <w:numId w:val="62"/>
        </w:numPr>
        <w:rPr>
          <w:rFonts w:cs="Arial"/>
        </w:rPr>
      </w:pPr>
      <w:r w:rsidRPr="00852B1B">
        <w:rPr>
          <w:rFonts w:cs="Arial"/>
        </w:rPr>
        <w:t>Millorar els resultats</w:t>
      </w:r>
    </w:p>
    <w:p w:rsidR="00584272" w:rsidRPr="00852B1B" w:rsidRDefault="00584272" w:rsidP="00904443">
      <w:pPr>
        <w:pStyle w:val="Pargrafdellista"/>
        <w:numPr>
          <w:ilvl w:val="0"/>
          <w:numId w:val="62"/>
        </w:numPr>
        <w:rPr>
          <w:rFonts w:cs="Arial"/>
        </w:rPr>
      </w:pPr>
      <w:r w:rsidRPr="00852B1B">
        <w:rPr>
          <w:rFonts w:cs="Arial"/>
        </w:rPr>
        <w:t>Millorar la imatge pública</w:t>
      </w:r>
    </w:p>
    <w:p w:rsidR="00584272" w:rsidRPr="00852B1B" w:rsidRDefault="00584272" w:rsidP="00584272">
      <w:pPr>
        <w:rPr>
          <w:rFonts w:cs="Arial"/>
        </w:rPr>
      </w:pPr>
      <w:r w:rsidRPr="00852B1B">
        <w:rPr>
          <w:rFonts w:cs="Arial"/>
        </w:rPr>
        <w:t>Aquest projecte s</w:t>
      </w:r>
      <w:r>
        <w:rPr>
          <w:rFonts w:cs="Arial"/>
        </w:rPr>
        <w:t>’</w:t>
      </w:r>
      <w:r w:rsidRPr="00852B1B">
        <w:rPr>
          <w:rFonts w:cs="Arial"/>
        </w:rPr>
        <w:t>emmarca en els models de qualitat i pretén desenvolupar noves formes de dirigir i de prestar el servei. S</w:t>
      </w:r>
      <w:r>
        <w:rPr>
          <w:rFonts w:cs="Arial"/>
        </w:rPr>
        <w:t>’</w:t>
      </w:r>
      <w:r w:rsidRPr="00852B1B">
        <w:rPr>
          <w:rFonts w:cs="Arial"/>
        </w:rPr>
        <w:t>explica a través de 3 productes que ajuden l</w:t>
      </w:r>
      <w:r>
        <w:rPr>
          <w:rFonts w:cs="Arial"/>
        </w:rPr>
        <w:t>’</w:t>
      </w:r>
      <w:r w:rsidRPr="00852B1B">
        <w:rPr>
          <w:rFonts w:cs="Arial"/>
        </w:rPr>
        <w:t>organització a fer les coses millor.</w:t>
      </w:r>
    </w:p>
    <w:p w:rsidR="00584272" w:rsidRPr="00852B1B" w:rsidRDefault="00584272" w:rsidP="00904443">
      <w:pPr>
        <w:pStyle w:val="Pargrafdellista"/>
        <w:numPr>
          <w:ilvl w:val="0"/>
          <w:numId w:val="63"/>
        </w:numPr>
        <w:rPr>
          <w:rFonts w:cs="Arial"/>
        </w:rPr>
      </w:pPr>
      <w:r w:rsidRPr="00852B1B">
        <w:rPr>
          <w:rFonts w:cs="Arial"/>
        </w:rPr>
        <w:t xml:space="preserve">La </w:t>
      </w:r>
      <w:r>
        <w:rPr>
          <w:rFonts w:cs="Arial"/>
        </w:rPr>
        <w:t>g</w:t>
      </w:r>
      <w:r w:rsidRPr="00852B1B">
        <w:rPr>
          <w:rFonts w:cs="Arial"/>
        </w:rPr>
        <w:t xml:space="preserve">estió per indicadors (GI), </w:t>
      </w:r>
      <w:r>
        <w:rPr>
          <w:rFonts w:cs="Arial"/>
        </w:rPr>
        <w:t>que</w:t>
      </w:r>
      <w:r w:rsidRPr="00852B1B">
        <w:rPr>
          <w:rFonts w:cs="Arial"/>
        </w:rPr>
        <w:t xml:space="preserve"> permet disposar d</w:t>
      </w:r>
      <w:r>
        <w:rPr>
          <w:rFonts w:cs="Arial"/>
        </w:rPr>
        <w:t>’</w:t>
      </w:r>
      <w:r w:rsidRPr="00852B1B">
        <w:rPr>
          <w:rFonts w:cs="Arial"/>
        </w:rPr>
        <w:t>informació contínua i sistemàtica sobre l</w:t>
      </w:r>
      <w:r>
        <w:rPr>
          <w:rFonts w:cs="Arial"/>
        </w:rPr>
        <w:t>’</w:t>
      </w:r>
      <w:r w:rsidRPr="00852B1B">
        <w:rPr>
          <w:rFonts w:cs="Arial"/>
        </w:rPr>
        <w:t>eficiència de la gestió, anticipar-se a les necessitats emergents en un entorn canviant, mesurar l</w:t>
      </w:r>
      <w:r>
        <w:rPr>
          <w:rFonts w:cs="Arial"/>
        </w:rPr>
        <w:t>’</w:t>
      </w:r>
      <w:r w:rsidRPr="00852B1B">
        <w:rPr>
          <w:rFonts w:cs="Arial"/>
        </w:rPr>
        <w:t>assoliment dels objectius estratègics i operatius i, finalment, prendre decisions orientades a la millora continuada.</w:t>
      </w:r>
    </w:p>
    <w:p w:rsidR="00584272" w:rsidRPr="00852B1B" w:rsidRDefault="00584272" w:rsidP="00904443">
      <w:pPr>
        <w:pStyle w:val="Pargrafdellista"/>
        <w:numPr>
          <w:ilvl w:val="0"/>
          <w:numId w:val="63"/>
        </w:numPr>
        <w:rPr>
          <w:rFonts w:cs="Arial"/>
        </w:rPr>
      </w:pPr>
      <w:r w:rsidRPr="00852B1B">
        <w:rPr>
          <w:rFonts w:cs="Arial"/>
        </w:rPr>
        <w:t xml:space="preserve">El </w:t>
      </w:r>
      <w:r>
        <w:rPr>
          <w:rFonts w:cs="Arial"/>
        </w:rPr>
        <w:t>m</w:t>
      </w:r>
      <w:r w:rsidRPr="00852B1B">
        <w:rPr>
          <w:rFonts w:cs="Arial"/>
        </w:rPr>
        <w:t>apa de processos d</w:t>
      </w:r>
      <w:r>
        <w:rPr>
          <w:rFonts w:cs="Arial"/>
        </w:rPr>
        <w:t>’</w:t>
      </w:r>
      <w:r w:rsidRPr="00852B1B">
        <w:rPr>
          <w:rFonts w:cs="Arial"/>
        </w:rPr>
        <w:t>un centre penitenciari, i l</w:t>
      </w:r>
      <w:r>
        <w:rPr>
          <w:rFonts w:cs="Arial"/>
        </w:rPr>
        <w:t>’</w:t>
      </w:r>
      <w:r w:rsidRPr="00852B1B">
        <w:rPr>
          <w:rFonts w:cs="Arial"/>
        </w:rPr>
        <w:t>estandar</w:t>
      </w:r>
      <w:r>
        <w:rPr>
          <w:rFonts w:cs="Arial"/>
        </w:rPr>
        <w:t>d</w:t>
      </w:r>
      <w:r w:rsidRPr="00852B1B">
        <w:rPr>
          <w:rFonts w:cs="Arial"/>
        </w:rPr>
        <w:t>ització d</w:t>
      </w:r>
      <w:r>
        <w:rPr>
          <w:rFonts w:cs="Arial"/>
        </w:rPr>
        <w:t>’</w:t>
      </w:r>
      <w:r w:rsidRPr="00852B1B">
        <w:rPr>
          <w:rFonts w:cs="Arial"/>
        </w:rPr>
        <w:t>una metodologia de treball per elaborar la gestió per processos.</w:t>
      </w:r>
    </w:p>
    <w:p w:rsidR="00584272" w:rsidRPr="00852B1B" w:rsidRDefault="00584272" w:rsidP="00584272">
      <w:pPr>
        <w:rPr>
          <w:rFonts w:cs="Arial"/>
          <w:b/>
          <w:i/>
          <w:color w:val="4F81BD" w:themeColor="accent1"/>
          <w:sz w:val="24"/>
          <w:szCs w:val="24"/>
        </w:rPr>
      </w:pPr>
    </w:p>
    <w:p w:rsidR="00584272" w:rsidRPr="00852B1B" w:rsidRDefault="00584272" w:rsidP="0070401F">
      <w:pPr>
        <w:pStyle w:val="Ttol4"/>
      </w:pPr>
      <w:bookmarkStart w:id="114" w:name="_Toc463851889"/>
      <w:r w:rsidRPr="00852B1B">
        <w:lastRenderedPageBreak/>
        <w:t xml:space="preserve">La </w:t>
      </w:r>
      <w:r w:rsidRPr="00B43787">
        <w:t>gestió</w:t>
      </w:r>
      <w:r w:rsidRPr="00852B1B">
        <w:t xml:space="preserve"> per indicadors</w:t>
      </w:r>
      <w:bookmarkEnd w:id="114"/>
    </w:p>
    <w:p w:rsidR="00584272" w:rsidRPr="00852B1B" w:rsidRDefault="00584272" w:rsidP="00584272">
      <w:pPr>
        <w:rPr>
          <w:rFonts w:cs="Arial"/>
        </w:rPr>
      </w:pPr>
      <w:r w:rsidRPr="00852B1B">
        <w:rPr>
          <w:rFonts w:cs="Arial"/>
        </w:rPr>
        <w:t>El procés de creació, implantació i desenvolupament del model de GI</w:t>
      </w:r>
      <w:r>
        <w:rPr>
          <w:rFonts w:cs="Arial"/>
        </w:rPr>
        <w:t xml:space="preserve"> </w:t>
      </w:r>
      <w:r w:rsidRPr="00852B1B">
        <w:rPr>
          <w:rFonts w:cs="Arial"/>
        </w:rPr>
        <w:t>té el punt de partida en determinar qu</w:t>
      </w:r>
      <w:r>
        <w:rPr>
          <w:rFonts w:cs="Arial"/>
        </w:rPr>
        <w:t>ins</w:t>
      </w:r>
      <w:r w:rsidRPr="00852B1B">
        <w:rPr>
          <w:rFonts w:cs="Arial"/>
        </w:rPr>
        <w:t xml:space="preserve"> </w:t>
      </w:r>
      <w:r>
        <w:rPr>
          <w:rFonts w:cs="Arial"/>
        </w:rPr>
        <w:t xml:space="preserve">són </w:t>
      </w:r>
      <w:r w:rsidRPr="00852B1B">
        <w:rPr>
          <w:rFonts w:cs="Arial"/>
        </w:rPr>
        <w:t>la missió, els valors, els principis i els objectius estratègics i operatius. A partir d</w:t>
      </w:r>
      <w:r>
        <w:rPr>
          <w:rFonts w:cs="Arial"/>
        </w:rPr>
        <w:t>’</w:t>
      </w:r>
      <w:r w:rsidRPr="00852B1B">
        <w:rPr>
          <w:rFonts w:cs="Arial"/>
        </w:rPr>
        <w:t>aquestes premisses, s</w:t>
      </w:r>
      <w:r>
        <w:rPr>
          <w:rFonts w:cs="Arial"/>
        </w:rPr>
        <w:t>’</w:t>
      </w:r>
      <w:r w:rsidRPr="00852B1B">
        <w:rPr>
          <w:rFonts w:cs="Arial"/>
        </w:rPr>
        <w:t>identifiquen els indicadors per mesurar la missió en general.</w:t>
      </w:r>
    </w:p>
    <w:p w:rsidR="00584272" w:rsidRPr="00852B1B" w:rsidRDefault="00584272" w:rsidP="00584272">
      <w:pPr>
        <w:rPr>
          <w:rFonts w:cs="Arial"/>
        </w:rPr>
      </w:pPr>
      <w:r w:rsidRPr="00852B1B">
        <w:rPr>
          <w:rFonts w:cs="Arial"/>
        </w:rPr>
        <w:t>Els indicadors com un conjunt de dades quantitatives i qualitatives permeten conèixer la situació de l</w:t>
      </w:r>
      <w:r>
        <w:rPr>
          <w:rFonts w:cs="Arial"/>
        </w:rPr>
        <w:t>’</w:t>
      </w:r>
      <w:r w:rsidRPr="00852B1B">
        <w:rPr>
          <w:rFonts w:cs="Arial"/>
        </w:rPr>
        <w:t>organització en relació a</w:t>
      </w:r>
      <w:r>
        <w:rPr>
          <w:rFonts w:cs="Arial"/>
        </w:rPr>
        <w:t>mb</w:t>
      </w:r>
      <w:r w:rsidRPr="00852B1B">
        <w:rPr>
          <w:rFonts w:cs="Arial"/>
        </w:rPr>
        <w:t xml:space="preserve"> una sèrie d</w:t>
      </w:r>
      <w:r>
        <w:rPr>
          <w:rFonts w:cs="Arial"/>
        </w:rPr>
        <w:t>’</w:t>
      </w:r>
      <w:r w:rsidRPr="00852B1B">
        <w:rPr>
          <w:rFonts w:cs="Arial"/>
        </w:rPr>
        <w:t>objectius estratègics i operatius prèviament definits i en relació a</w:t>
      </w:r>
      <w:r>
        <w:rPr>
          <w:rFonts w:cs="Arial"/>
        </w:rPr>
        <w:t>mb</w:t>
      </w:r>
      <w:r w:rsidRPr="00852B1B">
        <w:rPr>
          <w:rFonts w:cs="Arial"/>
        </w:rPr>
        <w:t xml:space="preserve"> un entorn determinat. Els indicadors que necessita l</w:t>
      </w:r>
      <w:r>
        <w:rPr>
          <w:rFonts w:cs="Arial"/>
        </w:rPr>
        <w:t>’</w:t>
      </w:r>
      <w:r w:rsidRPr="00852B1B">
        <w:rPr>
          <w:rFonts w:cs="Arial"/>
        </w:rPr>
        <w:t>administració penitenciària catalana han de complir determinats requisits:</w:t>
      </w:r>
    </w:p>
    <w:p w:rsidR="00584272" w:rsidRPr="00852B1B" w:rsidRDefault="00584272" w:rsidP="00904443">
      <w:pPr>
        <w:pStyle w:val="Pargrafdellista"/>
        <w:numPr>
          <w:ilvl w:val="0"/>
          <w:numId w:val="61"/>
        </w:numPr>
        <w:rPr>
          <w:rFonts w:cs="Arial"/>
        </w:rPr>
      </w:pPr>
      <w:r w:rsidRPr="00852B1B">
        <w:rPr>
          <w:rFonts w:cs="Arial"/>
        </w:rPr>
        <w:t>Rellevància; han d</w:t>
      </w:r>
      <w:r>
        <w:rPr>
          <w:rFonts w:cs="Arial"/>
        </w:rPr>
        <w:t>’</w:t>
      </w:r>
      <w:r w:rsidRPr="00852B1B">
        <w:rPr>
          <w:rFonts w:cs="Arial"/>
        </w:rPr>
        <w:t>estar específicament vinculats a l</w:t>
      </w:r>
      <w:r>
        <w:rPr>
          <w:rFonts w:cs="Arial"/>
        </w:rPr>
        <w:t>’</w:t>
      </w:r>
      <w:r w:rsidRPr="00852B1B">
        <w:rPr>
          <w:rFonts w:cs="Arial"/>
        </w:rPr>
        <w:t>exercici de la competència</w:t>
      </w:r>
    </w:p>
    <w:p w:rsidR="00584272" w:rsidRPr="00852B1B" w:rsidRDefault="00584272" w:rsidP="00904443">
      <w:pPr>
        <w:pStyle w:val="Pargrafdellista"/>
        <w:numPr>
          <w:ilvl w:val="0"/>
          <w:numId w:val="61"/>
        </w:numPr>
        <w:rPr>
          <w:rFonts w:cs="Arial"/>
        </w:rPr>
      </w:pPr>
      <w:r w:rsidRPr="00852B1B">
        <w:rPr>
          <w:rFonts w:cs="Arial"/>
        </w:rPr>
        <w:t>Claredat i concisió</w:t>
      </w:r>
    </w:p>
    <w:p w:rsidR="00584272" w:rsidRPr="00852B1B" w:rsidRDefault="00584272" w:rsidP="00904443">
      <w:pPr>
        <w:pStyle w:val="Pargrafdellista"/>
        <w:numPr>
          <w:ilvl w:val="0"/>
          <w:numId w:val="61"/>
        </w:numPr>
        <w:rPr>
          <w:rFonts w:cs="Arial"/>
        </w:rPr>
      </w:pPr>
      <w:r w:rsidRPr="00852B1B">
        <w:rPr>
          <w:rFonts w:cs="Arial"/>
        </w:rPr>
        <w:t>Facilitat en la seva obtenció i disponibilitat</w:t>
      </w:r>
    </w:p>
    <w:p w:rsidR="00584272" w:rsidRPr="00852B1B" w:rsidRDefault="00584272" w:rsidP="00904443">
      <w:pPr>
        <w:pStyle w:val="Pargrafdellista"/>
        <w:numPr>
          <w:ilvl w:val="0"/>
          <w:numId w:val="61"/>
        </w:numPr>
        <w:rPr>
          <w:rFonts w:cs="Arial"/>
        </w:rPr>
      </w:pPr>
      <w:r w:rsidRPr="00852B1B">
        <w:rPr>
          <w:rFonts w:cs="Arial"/>
        </w:rPr>
        <w:t>Comparabilitat</w:t>
      </w:r>
    </w:p>
    <w:p w:rsidR="00584272" w:rsidRPr="00852B1B" w:rsidRDefault="00584272" w:rsidP="00904443">
      <w:pPr>
        <w:pStyle w:val="Pargrafdellista"/>
        <w:numPr>
          <w:ilvl w:val="0"/>
          <w:numId w:val="61"/>
        </w:numPr>
        <w:rPr>
          <w:rFonts w:cs="Arial"/>
        </w:rPr>
      </w:pPr>
      <w:r w:rsidRPr="00852B1B">
        <w:rPr>
          <w:rFonts w:cs="Arial"/>
        </w:rPr>
        <w:t>Verificabilitat</w:t>
      </w:r>
    </w:p>
    <w:p w:rsidR="00584272" w:rsidRPr="00852B1B" w:rsidRDefault="00584272" w:rsidP="00904443">
      <w:pPr>
        <w:pStyle w:val="Pargrafdellista"/>
        <w:numPr>
          <w:ilvl w:val="0"/>
          <w:numId w:val="61"/>
        </w:numPr>
        <w:rPr>
          <w:rFonts w:cs="Arial"/>
        </w:rPr>
      </w:pPr>
      <w:r w:rsidRPr="00852B1B">
        <w:rPr>
          <w:rFonts w:cs="Arial"/>
        </w:rPr>
        <w:t>Sensibilitat als canvis</w:t>
      </w:r>
    </w:p>
    <w:p w:rsidR="00584272" w:rsidRPr="00852B1B" w:rsidRDefault="00584272" w:rsidP="00904443">
      <w:pPr>
        <w:pStyle w:val="Pargrafdellista"/>
        <w:numPr>
          <w:ilvl w:val="0"/>
          <w:numId w:val="61"/>
        </w:numPr>
        <w:rPr>
          <w:rFonts w:cs="Arial"/>
        </w:rPr>
      </w:pPr>
      <w:r w:rsidRPr="00852B1B">
        <w:rPr>
          <w:rFonts w:cs="Arial"/>
        </w:rPr>
        <w:t>Sin</w:t>
      </w:r>
      <w:r>
        <w:rPr>
          <w:rFonts w:cs="Arial"/>
        </w:rPr>
        <w:t>e</w:t>
      </w:r>
      <w:r w:rsidRPr="00852B1B">
        <w:rPr>
          <w:rFonts w:cs="Arial"/>
        </w:rPr>
        <w:t>rgies amb indicadors externs</w:t>
      </w:r>
    </w:p>
    <w:p w:rsidR="00584272" w:rsidRPr="00852B1B" w:rsidRDefault="00584272" w:rsidP="00584272">
      <w:pPr>
        <w:rPr>
          <w:rFonts w:cs="Arial"/>
        </w:rPr>
      </w:pPr>
      <w:r w:rsidRPr="00852B1B">
        <w:rPr>
          <w:rFonts w:cs="Arial"/>
        </w:rPr>
        <w:t>Els indicadors s</w:t>
      </w:r>
      <w:r>
        <w:rPr>
          <w:rFonts w:cs="Arial"/>
        </w:rPr>
        <w:t>’</w:t>
      </w:r>
      <w:r w:rsidRPr="00852B1B">
        <w:rPr>
          <w:rFonts w:cs="Arial"/>
        </w:rPr>
        <w:t xml:space="preserve">agrupen </w:t>
      </w:r>
      <w:r>
        <w:rPr>
          <w:rFonts w:cs="Arial"/>
        </w:rPr>
        <w:t>en</w:t>
      </w:r>
      <w:r w:rsidRPr="00852B1B">
        <w:rPr>
          <w:rFonts w:cs="Arial"/>
        </w:rPr>
        <w:t xml:space="preserve"> dos nivells diferenciats: al quadre de control i al quadre de comandament.</w:t>
      </w:r>
    </w:p>
    <w:p w:rsidR="00584272" w:rsidRPr="00852B1B" w:rsidRDefault="00584272" w:rsidP="00584272">
      <w:pPr>
        <w:rPr>
          <w:rFonts w:cs="Arial"/>
        </w:rPr>
      </w:pPr>
      <w:r w:rsidRPr="00852B1B">
        <w:rPr>
          <w:rFonts w:cs="Arial"/>
        </w:rPr>
        <w:t>Inicialment es va establir un quadre de control amb 4 tipologies bàsiques d</w:t>
      </w:r>
      <w:r>
        <w:rPr>
          <w:rFonts w:cs="Arial"/>
        </w:rPr>
        <w:t>’</w:t>
      </w:r>
      <w:r w:rsidRPr="00852B1B">
        <w:rPr>
          <w:rFonts w:cs="Arial"/>
        </w:rPr>
        <w:t xml:space="preserve">indicadors: </w:t>
      </w:r>
    </w:p>
    <w:p w:rsidR="00584272" w:rsidRPr="00852B1B" w:rsidRDefault="00584272" w:rsidP="00904443">
      <w:pPr>
        <w:pStyle w:val="Pargrafdellista"/>
        <w:numPr>
          <w:ilvl w:val="0"/>
          <w:numId w:val="64"/>
        </w:numPr>
        <w:rPr>
          <w:rFonts w:cs="Arial"/>
        </w:rPr>
      </w:pPr>
      <w:r w:rsidRPr="00852B1B">
        <w:rPr>
          <w:rFonts w:cs="Arial"/>
        </w:rPr>
        <w:t>Entorn: no són controlats directament per l</w:t>
      </w:r>
      <w:r>
        <w:rPr>
          <w:rFonts w:cs="Arial"/>
        </w:rPr>
        <w:t>’</w:t>
      </w:r>
      <w:r w:rsidRPr="00852B1B">
        <w:rPr>
          <w:rFonts w:cs="Arial"/>
        </w:rPr>
        <w:t>organització però condicionen l</w:t>
      </w:r>
      <w:r>
        <w:rPr>
          <w:rFonts w:cs="Arial"/>
        </w:rPr>
        <w:t>’</w:t>
      </w:r>
      <w:r w:rsidRPr="00852B1B">
        <w:rPr>
          <w:rFonts w:cs="Arial"/>
        </w:rPr>
        <w:t>estratègia.</w:t>
      </w:r>
    </w:p>
    <w:p w:rsidR="00584272" w:rsidRPr="00852B1B" w:rsidRDefault="00584272" w:rsidP="00904443">
      <w:pPr>
        <w:pStyle w:val="Pargrafdellista"/>
        <w:numPr>
          <w:ilvl w:val="0"/>
          <w:numId w:val="64"/>
        </w:numPr>
        <w:rPr>
          <w:rFonts w:cs="Arial"/>
        </w:rPr>
      </w:pPr>
      <w:r w:rsidRPr="00852B1B">
        <w:rPr>
          <w:rFonts w:cs="Arial"/>
        </w:rPr>
        <w:t xml:space="preserve">Resultats: </w:t>
      </w:r>
      <w:r>
        <w:rPr>
          <w:rFonts w:cs="Arial"/>
        </w:rPr>
        <w:t>i</w:t>
      </w:r>
      <w:r w:rsidRPr="00852B1B">
        <w:rPr>
          <w:rFonts w:cs="Arial"/>
        </w:rPr>
        <w:t>ndiquen el grau d</w:t>
      </w:r>
      <w:r>
        <w:rPr>
          <w:rFonts w:cs="Arial"/>
        </w:rPr>
        <w:t>’</w:t>
      </w:r>
      <w:r w:rsidRPr="00852B1B">
        <w:rPr>
          <w:rFonts w:cs="Arial"/>
        </w:rPr>
        <w:t>assoliment d</w:t>
      </w:r>
      <w:r>
        <w:rPr>
          <w:rFonts w:cs="Arial"/>
        </w:rPr>
        <w:t>’</w:t>
      </w:r>
      <w:r w:rsidRPr="00852B1B">
        <w:rPr>
          <w:rFonts w:cs="Arial"/>
        </w:rPr>
        <w:t>un servei.</w:t>
      </w:r>
    </w:p>
    <w:p w:rsidR="00584272" w:rsidRPr="00852B1B" w:rsidRDefault="00584272" w:rsidP="00904443">
      <w:pPr>
        <w:pStyle w:val="Pargrafdellista"/>
        <w:numPr>
          <w:ilvl w:val="0"/>
          <w:numId w:val="64"/>
        </w:numPr>
        <w:rPr>
          <w:rFonts w:cs="Arial"/>
        </w:rPr>
      </w:pPr>
      <w:r w:rsidRPr="00852B1B">
        <w:rPr>
          <w:rFonts w:cs="Arial"/>
        </w:rPr>
        <w:t>Eficiència: relació entre recursos i resultats.</w:t>
      </w:r>
    </w:p>
    <w:p w:rsidR="00584272" w:rsidRPr="00852B1B" w:rsidRDefault="00584272" w:rsidP="00904443">
      <w:pPr>
        <w:pStyle w:val="Pargrafdellista"/>
        <w:numPr>
          <w:ilvl w:val="0"/>
          <w:numId w:val="64"/>
        </w:numPr>
        <w:rPr>
          <w:rFonts w:cs="Arial"/>
        </w:rPr>
      </w:pPr>
      <w:r w:rsidRPr="00852B1B">
        <w:rPr>
          <w:rFonts w:cs="Arial"/>
        </w:rPr>
        <w:t xml:space="preserve">Impacte: </w:t>
      </w:r>
      <w:r>
        <w:rPr>
          <w:rFonts w:cs="Arial"/>
        </w:rPr>
        <w:t>a</w:t>
      </w:r>
      <w:r w:rsidRPr="00852B1B">
        <w:rPr>
          <w:rFonts w:cs="Arial"/>
        </w:rPr>
        <w:t>ssoliment de la missió global de la Institució.</w:t>
      </w:r>
    </w:p>
    <w:p w:rsidR="00584272" w:rsidRPr="00852B1B" w:rsidRDefault="00584272" w:rsidP="00584272">
      <w:pPr>
        <w:tabs>
          <w:tab w:val="left" w:pos="5470"/>
        </w:tabs>
        <w:rPr>
          <w:rFonts w:cs="Arial"/>
          <w:color w:val="BFBFBF" w:themeColor="background1" w:themeShade="BF"/>
          <w:sz w:val="32"/>
          <w:szCs w:val="32"/>
        </w:rPr>
      </w:pPr>
      <w:r w:rsidRPr="00852B1B">
        <w:rPr>
          <w:rFonts w:cs="Arial"/>
          <w:color w:val="BFBFBF" w:themeColor="background1" w:themeShade="BF"/>
          <w:sz w:val="32"/>
          <w:szCs w:val="32"/>
        </w:rPr>
        <w:t>entorn</w:t>
      </w:r>
      <w:r w:rsidRPr="00852B1B">
        <w:rPr>
          <w:rFonts w:cs="Arial"/>
          <w:color w:val="BFBFBF" w:themeColor="background1" w:themeShade="BF"/>
          <w:sz w:val="32"/>
          <w:szCs w:val="32"/>
        </w:rPr>
        <w:tab/>
        <w:t>resultats</w:t>
      </w:r>
    </w:p>
    <w:p w:rsidR="00584272" w:rsidRPr="00852B1B" w:rsidRDefault="007B2744" w:rsidP="00584272">
      <w:pPr>
        <w:rPr>
          <w:rFonts w:cs="Arial"/>
        </w:rPr>
      </w:pPr>
      <w:r>
        <w:rPr>
          <w:rFonts w:cs="Arial"/>
          <w:noProof/>
          <w:lang w:eastAsia="ca-ES"/>
        </w:rPr>
        <mc:AlternateContent>
          <mc:Choice Requires="wps">
            <w:drawing>
              <wp:anchor distT="0" distB="0" distL="114300" distR="114300" simplePos="0" relativeHeight="251672576" behindDoc="0" locked="0" layoutInCell="1" allowOverlap="1" wp14:anchorId="40D6D2F2" wp14:editId="0C677684">
                <wp:simplePos x="0" y="0"/>
                <wp:positionH relativeFrom="column">
                  <wp:posOffset>3310890</wp:posOffset>
                </wp:positionH>
                <wp:positionV relativeFrom="paragraph">
                  <wp:posOffset>14605</wp:posOffset>
                </wp:positionV>
                <wp:extent cx="2397760" cy="733425"/>
                <wp:effectExtent l="0" t="0" r="21590" b="28575"/>
                <wp:wrapNone/>
                <wp:docPr id="68" name="Quadre de text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7760" cy="733425"/>
                        </a:xfrm>
                        <a:prstGeom prst="rect">
                          <a:avLst/>
                        </a:prstGeom>
                        <a:solidFill>
                          <a:schemeClr val="lt1">
                            <a:lumMod val="100000"/>
                            <a:lumOff val="0"/>
                          </a:schemeClr>
                        </a:solidFill>
                        <a:ln w="3175">
                          <a:solidFill>
                            <a:schemeClr val="accent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3C42C9" w:rsidRPr="007B2744" w:rsidRDefault="003C42C9" w:rsidP="00904443">
                            <w:pPr>
                              <w:pStyle w:val="Pargrafdellista"/>
                              <w:numPr>
                                <w:ilvl w:val="0"/>
                                <w:numId w:val="65"/>
                              </w:numPr>
                              <w:ind w:left="426" w:hanging="426"/>
                              <w:rPr>
                                <w:sz w:val="18"/>
                              </w:rPr>
                            </w:pPr>
                            <w:r w:rsidRPr="007B2744">
                              <w:rPr>
                                <w:sz w:val="18"/>
                              </w:rPr>
                              <w:t>Interns escolaritzats, interns en els diferents programes, graus de tractament, conflictivitat, programes sanitaris…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Quadre de text 68" o:spid="_x0000_s1026" type="#_x0000_t202" style="position:absolute;left:0;text-align:left;margin-left:260.7pt;margin-top:1.15pt;width:188.8pt;height:57.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" fillcolor="white [3201]" strokecolor="#4f81bd [3204]" strokeweight=".25pt">
                <v:shadow color="#868686"/>
                <v:textbox>
                  <w:txbxContent>
                    <w:p w:rsidR="003C42C9" w:rsidRPr="007B2744" w:rsidRDefault="003C42C9" w:rsidP="00904443">
                      <w:pPr>
                        <w:pStyle w:val="Pargrafdellista"/>
                        <w:numPr>
                          <w:ilvl w:val="0"/>
                          <w:numId w:val="65"/>
                        </w:numPr>
                        <w:ind w:left="426" w:hanging="426"/>
                        <w:rPr>
                          <w:sz w:val="18"/>
                        </w:rPr>
                      </w:pPr>
                      <w:r w:rsidRPr="007B2744">
                        <w:rPr>
                          <w:sz w:val="18"/>
                        </w:rPr>
                        <w:t>Interns escolaritzats, interns en els diferents programes, graus de tractament, conflictivitat, programes sanitaris…</w:t>
                      </w:r>
                    </w:p>
                  </w:txbxContent>
                </v:textbox>
              </v:shape>
            </w:pict>
          </mc:Fallback>
        </mc:AlternateContent>
      </w:r>
      <w:r>
        <w:rPr>
          <w:rFonts w:cs="Arial"/>
          <w:noProof/>
          <w:lang w:eastAsia="ca-ES"/>
        </w:rPr>
        <mc:AlternateContent>
          <mc:Choice Requires="wps">
            <w:drawing>
              <wp:anchor distT="0" distB="0" distL="114300" distR="114300" simplePos="0" relativeHeight="251671552" behindDoc="0" locked="0" layoutInCell="1" allowOverlap="1" wp14:anchorId="51623915" wp14:editId="4034B37F">
                <wp:simplePos x="0" y="0"/>
                <wp:positionH relativeFrom="column">
                  <wp:posOffset>5715</wp:posOffset>
                </wp:positionH>
                <wp:positionV relativeFrom="paragraph">
                  <wp:posOffset>14605</wp:posOffset>
                </wp:positionV>
                <wp:extent cx="2397760" cy="733425"/>
                <wp:effectExtent l="0" t="0" r="21590" b="28575"/>
                <wp:wrapNone/>
                <wp:docPr id="67" name="Quadre de text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7760" cy="733425"/>
                        </a:xfrm>
                        <a:prstGeom prst="rect">
                          <a:avLst/>
                        </a:prstGeom>
                        <a:solidFill>
                          <a:schemeClr val="lt1">
                            <a:lumMod val="100000"/>
                            <a:lumOff val="0"/>
                          </a:schemeClr>
                        </a:solidFill>
                        <a:ln w="3175">
                          <a:solidFill>
                            <a:schemeClr val="accent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3C42C9" w:rsidRPr="007B2744" w:rsidRDefault="003C42C9" w:rsidP="00904443">
                            <w:pPr>
                              <w:pStyle w:val="Pargrafdellista"/>
                              <w:numPr>
                                <w:ilvl w:val="0"/>
                                <w:numId w:val="65"/>
                              </w:numPr>
                              <w:rPr>
                                <w:sz w:val="18"/>
                              </w:rPr>
                            </w:pPr>
                            <w:r w:rsidRPr="007B2744">
                              <w:rPr>
                                <w:sz w:val="18"/>
                              </w:rPr>
                              <w:t>Nombre d’interns, penes, tipus de delictes, nacionalitat, estat de salut inicial, variables sociodemogràfiques...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Quadre de text 67" o:spid="_x0000_s1027" type="#_x0000_t202" style="position:absolute;left:0;text-align:left;margin-left:.45pt;margin-top:1.15pt;width:188.8pt;height:57.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" fillcolor="white [3201]" strokecolor="#4f81bd [3204]" strokeweight=".25pt">
                <v:shadow color="#868686"/>
                <v:textbox>
                  <w:txbxContent>
                    <w:p w:rsidR="003C42C9" w:rsidRPr="007B2744" w:rsidRDefault="003C42C9" w:rsidP="00904443">
                      <w:pPr>
                        <w:pStyle w:val="Pargrafdellista"/>
                        <w:numPr>
                          <w:ilvl w:val="0"/>
                          <w:numId w:val="65"/>
                        </w:numPr>
                        <w:rPr>
                          <w:sz w:val="18"/>
                        </w:rPr>
                      </w:pPr>
                      <w:r w:rsidRPr="007B2744">
                        <w:rPr>
                          <w:sz w:val="18"/>
                        </w:rPr>
                        <w:t>Nombre d’interns, penes, tipus de delictes, nacionalitat, estat de salut inicial, variables sociodemogràfiques...</w:t>
                      </w:r>
                    </w:p>
                  </w:txbxContent>
                </v:textbox>
              </v:shape>
            </w:pict>
          </mc:Fallback>
        </mc:AlternateContent>
      </w:r>
    </w:p>
    <w:p w:rsidR="00584272" w:rsidRPr="00852B1B" w:rsidRDefault="00584272" w:rsidP="00584272">
      <w:pPr>
        <w:rPr>
          <w:rFonts w:cs="Arial"/>
        </w:rPr>
      </w:pPr>
    </w:p>
    <w:p w:rsidR="00584272" w:rsidRPr="00852B1B" w:rsidRDefault="00584272" w:rsidP="00584272">
      <w:pPr>
        <w:rPr>
          <w:rFonts w:cs="Arial"/>
        </w:rPr>
      </w:pPr>
    </w:p>
    <w:p w:rsidR="007B2744" w:rsidRDefault="007B2744" w:rsidP="00584272">
      <w:pPr>
        <w:tabs>
          <w:tab w:val="left" w:pos="5511"/>
        </w:tabs>
        <w:rPr>
          <w:rFonts w:cs="Arial"/>
          <w:color w:val="BFBFBF" w:themeColor="background1" w:themeShade="BF"/>
          <w:sz w:val="32"/>
          <w:szCs w:val="32"/>
        </w:rPr>
      </w:pPr>
    </w:p>
    <w:p w:rsidR="00584272" w:rsidRPr="00852B1B" w:rsidRDefault="00584272" w:rsidP="00584272">
      <w:pPr>
        <w:tabs>
          <w:tab w:val="left" w:pos="5511"/>
        </w:tabs>
        <w:rPr>
          <w:rFonts w:cs="Arial"/>
          <w:color w:val="BFBFBF" w:themeColor="background1" w:themeShade="BF"/>
          <w:sz w:val="32"/>
          <w:szCs w:val="32"/>
        </w:rPr>
      </w:pPr>
      <w:r w:rsidRPr="00852B1B">
        <w:rPr>
          <w:rFonts w:cs="Arial"/>
          <w:color w:val="BFBFBF" w:themeColor="background1" w:themeShade="BF"/>
          <w:sz w:val="32"/>
          <w:szCs w:val="32"/>
        </w:rPr>
        <w:t>eficiència</w:t>
      </w:r>
      <w:r w:rsidRPr="00852B1B">
        <w:rPr>
          <w:rFonts w:cs="Arial"/>
          <w:color w:val="BFBFBF" w:themeColor="background1" w:themeShade="BF"/>
          <w:sz w:val="32"/>
          <w:szCs w:val="32"/>
        </w:rPr>
        <w:tab/>
        <w:t>impacte</w:t>
      </w:r>
    </w:p>
    <w:p w:rsidR="00584272" w:rsidRPr="00852B1B" w:rsidRDefault="007B2744" w:rsidP="00584272">
      <w:pPr>
        <w:rPr>
          <w:rFonts w:cs="Arial"/>
        </w:rPr>
      </w:pPr>
      <w:r>
        <w:rPr>
          <w:rFonts w:cs="Arial"/>
          <w:noProof/>
          <w:color w:val="BFBFBF" w:themeColor="background1" w:themeShade="BF"/>
          <w:sz w:val="32"/>
          <w:szCs w:val="32"/>
          <w:lang w:eastAsia="ca-ES"/>
        </w:rPr>
        <mc:AlternateContent>
          <mc:Choice Requires="wps">
            <w:drawing>
              <wp:anchor distT="0" distB="0" distL="114300" distR="114300" simplePos="0" relativeHeight="251674624" behindDoc="0" locked="0" layoutInCell="1" allowOverlap="1" wp14:anchorId="436A8365" wp14:editId="683F9B3F">
                <wp:simplePos x="0" y="0"/>
                <wp:positionH relativeFrom="column">
                  <wp:posOffset>3348990</wp:posOffset>
                </wp:positionH>
                <wp:positionV relativeFrom="paragraph">
                  <wp:posOffset>22860</wp:posOffset>
                </wp:positionV>
                <wp:extent cx="2397760" cy="695325"/>
                <wp:effectExtent l="0" t="0" r="21590" b="28575"/>
                <wp:wrapNone/>
                <wp:docPr id="66" name="Quadre de text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7760" cy="695325"/>
                        </a:xfrm>
                        <a:prstGeom prst="rect">
                          <a:avLst/>
                        </a:prstGeom>
                        <a:solidFill>
                          <a:schemeClr val="lt1">
                            <a:lumMod val="100000"/>
                            <a:lumOff val="0"/>
                          </a:schemeClr>
                        </a:solidFill>
                        <a:ln w="3175">
                          <a:solidFill>
                            <a:schemeClr val="accent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3C42C9" w:rsidRPr="007B2744" w:rsidRDefault="003C42C9" w:rsidP="00904443">
                            <w:pPr>
                              <w:pStyle w:val="Pargrafdellista"/>
                              <w:numPr>
                                <w:ilvl w:val="0"/>
                                <w:numId w:val="65"/>
                              </w:numPr>
                              <w:rPr>
                                <w:sz w:val="18"/>
                              </w:rPr>
                            </w:pPr>
                            <w:r w:rsidRPr="007B2744">
                              <w:rPr>
                                <w:sz w:val="18"/>
                              </w:rPr>
                              <w:t>Reincidència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Quadre de text 66" o:spid="_x0000_s1028" type="#_x0000_t202" style="position:absolute;left:0;text-align:left;margin-left:263.7pt;margin-top:1.8pt;width:188.8pt;height:54.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" fillcolor="white [3201]" strokecolor="#4f81bd [3204]" strokeweight=".25pt">
                <v:shadow color="#868686"/>
                <v:textbox>
                  <w:txbxContent>
                    <w:p w:rsidR="003C42C9" w:rsidRPr="007B2744" w:rsidRDefault="003C42C9" w:rsidP="00904443">
                      <w:pPr>
                        <w:pStyle w:val="Pargrafdellista"/>
                        <w:numPr>
                          <w:ilvl w:val="0"/>
                          <w:numId w:val="65"/>
                        </w:numPr>
                        <w:rPr>
                          <w:sz w:val="18"/>
                        </w:rPr>
                      </w:pPr>
                      <w:r w:rsidRPr="007B2744">
                        <w:rPr>
                          <w:sz w:val="18"/>
                        </w:rPr>
                        <w:t>Reincidència</w:t>
                      </w:r>
                    </w:p>
                  </w:txbxContent>
                </v:textbox>
              </v:shape>
            </w:pict>
          </mc:Fallback>
        </mc:AlternateContent>
      </w:r>
      <w:r>
        <w:rPr>
          <w:rFonts w:cs="Arial"/>
          <w:noProof/>
          <w:color w:val="BFBFBF" w:themeColor="background1" w:themeShade="BF"/>
          <w:sz w:val="32"/>
          <w:szCs w:val="32"/>
          <w:lang w:eastAsia="ca-ES"/>
        </w:rPr>
        <mc:AlternateContent>
          <mc:Choice Requires="wps">
            <w:drawing>
              <wp:anchor distT="0" distB="0" distL="114300" distR="114300" simplePos="0" relativeHeight="251673600" behindDoc="0" locked="0" layoutInCell="1" allowOverlap="1" wp14:anchorId="0BFAB207" wp14:editId="2B8C60CE">
                <wp:simplePos x="0" y="0"/>
                <wp:positionH relativeFrom="column">
                  <wp:posOffset>34290</wp:posOffset>
                </wp:positionH>
                <wp:positionV relativeFrom="paragraph">
                  <wp:posOffset>22860</wp:posOffset>
                </wp:positionV>
                <wp:extent cx="2397760" cy="695325"/>
                <wp:effectExtent l="0" t="0" r="21590" b="28575"/>
                <wp:wrapNone/>
                <wp:docPr id="65" name="Quadre de text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7760" cy="695325"/>
                        </a:xfrm>
                        <a:prstGeom prst="rect">
                          <a:avLst/>
                        </a:prstGeom>
                        <a:solidFill>
                          <a:schemeClr val="lt1">
                            <a:lumMod val="100000"/>
                            <a:lumOff val="0"/>
                          </a:schemeClr>
                        </a:solidFill>
                        <a:ln w="3175">
                          <a:solidFill>
                            <a:schemeClr val="accent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3C42C9" w:rsidRPr="007B2744" w:rsidRDefault="003C42C9" w:rsidP="00904443">
                            <w:pPr>
                              <w:pStyle w:val="Pargrafdellista"/>
                              <w:numPr>
                                <w:ilvl w:val="0"/>
                                <w:numId w:val="65"/>
                              </w:numPr>
                              <w:rPr>
                                <w:sz w:val="18"/>
                              </w:rPr>
                            </w:pPr>
                            <w:r w:rsidRPr="007B2744">
                              <w:rPr>
                                <w:sz w:val="18"/>
                              </w:rPr>
                              <w:t>Ràtio interna/personal, cost intern/dia, places ofertades,</w:t>
                            </w:r>
                            <w:r w:rsidRPr="007B2744">
                              <w:rPr>
                                <w:sz w:val="18"/>
                                <w:highlight w:val="yellow"/>
                              </w:rPr>
                              <w:t xml:space="preserve"> </w:t>
                            </w:r>
                            <w:r w:rsidRPr="007B2744">
                              <w:rPr>
                                <w:sz w:val="18"/>
                              </w:rPr>
                              <w:t>trencaments de condemna, defuncions...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Quadre de text 65" o:spid="_x0000_s1029" type="#_x0000_t202" style="position:absolute;left:0;text-align:left;margin-left:2.7pt;margin-top:1.8pt;width:188.8pt;height:54.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" fillcolor="white [3201]" strokecolor="#4f81bd [3204]" strokeweight=".25pt">
                <v:shadow color="#868686"/>
                <v:textbox>
                  <w:txbxContent>
                    <w:p w:rsidR="003C42C9" w:rsidRPr="007B2744" w:rsidRDefault="003C42C9" w:rsidP="00904443">
                      <w:pPr>
                        <w:pStyle w:val="Pargrafdellista"/>
                        <w:numPr>
                          <w:ilvl w:val="0"/>
                          <w:numId w:val="65"/>
                        </w:numPr>
                        <w:rPr>
                          <w:sz w:val="18"/>
                        </w:rPr>
                      </w:pPr>
                      <w:r w:rsidRPr="007B2744">
                        <w:rPr>
                          <w:sz w:val="18"/>
                        </w:rPr>
                        <w:t>Ràtio interna/personal, cost intern/dia, places ofertades,</w:t>
                      </w:r>
                      <w:r w:rsidRPr="007B2744">
                        <w:rPr>
                          <w:sz w:val="18"/>
                          <w:highlight w:val="yellow"/>
                        </w:rPr>
                        <w:t xml:space="preserve"> </w:t>
                      </w:r>
                      <w:r w:rsidRPr="007B2744">
                        <w:rPr>
                          <w:sz w:val="18"/>
                        </w:rPr>
                        <w:t>trencaments de condemna, defuncions...</w:t>
                      </w:r>
                    </w:p>
                  </w:txbxContent>
                </v:textbox>
              </v:shape>
            </w:pict>
          </mc:Fallback>
        </mc:AlternateContent>
      </w:r>
    </w:p>
    <w:p w:rsidR="00584272" w:rsidRPr="00852B1B" w:rsidRDefault="00584272" w:rsidP="00584272">
      <w:pPr>
        <w:rPr>
          <w:rFonts w:cs="Arial"/>
        </w:rPr>
      </w:pPr>
    </w:p>
    <w:p w:rsidR="00584272" w:rsidRPr="00852B1B" w:rsidRDefault="00584272" w:rsidP="00584272">
      <w:pPr>
        <w:rPr>
          <w:rFonts w:cs="Arial"/>
        </w:rPr>
      </w:pPr>
    </w:p>
    <w:p w:rsidR="00584272" w:rsidRPr="00852B1B" w:rsidRDefault="00584272" w:rsidP="00584272">
      <w:pPr>
        <w:rPr>
          <w:rFonts w:cs="Arial"/>
        </w:rPr>
      </w:pPr>
    </w:p>
    <w:p w:rsidR="00584272" w:rsidRPr="00852B1B" w:rsidRDefault="00584272" w:rsidP="00584272">
      <w:pPr>
        <w:spacing w:before="0" w:after="0" w:line="360" w:lineRule="auto"/>
        <w:rPr>
          <w:rFonts w:cs="Arial"/>
          <w:b/>
          <w:color w:val="548DD4" w:themeColor="text2" w:themeTint="99"/>
        </w:rPr>
      </w:pPr>
    </w:p>
    <w:p w:rsidR="00584272" w:rsidRPr="00852B1B" w:rsidRDefault="00584272" w:rsidP="00584272">
      <w:pPr>
        <w:rPr>
          <w:rFonts w:cs="Arial"/>
        </w:rPr>
      </w:pPr>
      <w:r w:rsidRPr="00852B1B">
        <w:rPr>
          <w:rFonts w:cs="Arial"/>
        </w:rPr>
        <w:t>I també un quadre de comandament, que ha evolucionat amb els anys, per adaptar-se millor als objectius actuals.</w:t>
      </w:r>
    </w:p>
    <w:p w:rsidR="00584272" w:rsidRPr="00852B1B" w:rsidRDefault="00584272" w:rsidP="00584272">
      <w:pPr>
        <w:spacing w:before="0" w:after="0" w:line="360" w:lineRule="auto"/>
        <w:rPr>
          <w:rFonts w:cs="Arial"/>
        </w:rPr>
      </w:pPr>
    </w:p>
    <w:p w:rsidR="00584272" w:rsidRPr="00852B1B" w:rsidRDefault="00584272" w:rsidP="0070401F">
      <w:pPr>
        <w:pStyle w:val="Ttol4"/>
      </w:pPr>
      <w:bookmarkStart w:id="115" w:name="_Toc463851890"/>
      <w:r w:rsidRPr="00852B1B">
        <w:t xml:space="preserve">El </w:t>
      </w:r>
      <w:r>
        <w:t>m</w:t>
      </w:r>
      <w:r w:rsidRPr="00852B1B">
        <w:t xml:space="preserve">apa de </w:t>
      </w:r>
      <w:r w:rsidRPr="00B43787">
        <w:t>processos</w:t>
      </w:r>
      <w:bookmarkEnd w:id="115"/>
    </w:p>
    <w:p w:rsidR="00584272" w:rsidRPr="00852B1B" w:rsidRDefault="00584272" w:rsidP="00584272">
      <w:pPr>
        <w:rPr>
          <w:rFonts w:cs="Arial"/>
        </w:rPr>
      </w:pPr>
      <w:r w:rsidRPr="00852B1B">
        <w:rPr>
          <w:rFonts w:cs="Arial"/>
        </w:rPr>
        <w:t>És l</w:t>
      </w:r>
      <w:r>
        <w:rPr>
          <w:rFonts w:cs="Arial"/>
        </w:rPr>
        <w:t>’</w:t>
      </w:r>
      <w:r w:rsidRPr="00852B1B">
        <w:rPr>
          <w:rFonts w:cs="Arial"/>
        </w:rPr>
        <w:t xml:space="preserve">instrument que recull i ordena les activitats principals que </w:t>
      </w:r>
      <w:r>
        <w:rPr>
          <w:rFonts w:cs="Arial"/>
        </w:rPr>
        <w:t>es</w:t>
      </w:r>
      <w:r w:rsidRPr="00852B1B">
        <w:rPr>
          <w:rFonts w:cs="Arial"/>
        </w:rPr>
        <w:t xml:space="preserve"> porten a terme en un centre penitenciari, i que fa possible el funcionament i el compliment de la missió que té encomanada. </w:t>
      </w:r>
    </w:p>
    <w:p w:rsidR="00584272" w:rsidRPr="00852B1B" w:rsidRDefault="00584272" w:rsidP="00584272">
      <w:pPr>
        <w:rPr>
          <w:rFonts w:cs="Arial"/>
        </w:rPr>
      </w:pPr>
      <w:r w:rsidRPr="00852B1B">
        <w:rPr>
          <w:rFonts w:cs="Arial"/>
        </w:rPr>
        <w:lastRenderedPageBreak/>
        <w:t xml:space="preserve">En la responsabilitat de la gestió tant per a direcció dels centres penitenciaris com per la supervisió i direcció del centre directiu, el mapa de processos ajuda a facilitar la gestió perquè: </w:t>
      </w:r>
    </w:p>
    <w:p w:rsidR="00584272" w:rsidRPr="00852B1B" w:rsidRDefault="00584272" w:rsidP="00904443">
      <w:pPr>
        <w:pStyle w:val="Pargrafdellista"/>
        <w:numPr>
          <w:ilvl w:val="0"/>
          <w:numId w:val="67"/>
        </w:numPr>
        <w:rPr>
          <w:rFonts w:cs="Arial"/>
        </w:rPr>
      </w:pPr>
      <w:r w:rsidRPr="00852B1B">
        <w:rPr>
          <w:rFonts w:cs="Arial"/>
        </w:rPr>
        <w:t>Visualitza el treball que es fa en una unitat i els recursos utilitzats</w:t>
      </w:r>
    </w:p>
    <w:p w:rsidR="00584272" w:rsidRPr="00852B1B" w:rsidRDefault="00584272" w:rsidP="00904443">
      <w:pPr>
        <w:pStyle w:val="Pargrafdellista"/>
        <w:numPr>
          <w:ilvl w:val="0"/>
          <w:numId w:val="67"/>
        </w:numPr>
        <w:rPr>
          <w:rFonts w:cs="Arial"/>
        </w:rPr>
      </w:pPr>
      <w:r w:rsidRPr="00852B1B">
        <w:rPr>
          <w:rFonts w:cs="Arial"/>
        </w:rPr>
        <w:t xml:space="preserve">Detecta tasques desapercebudes però que afecten </w:t>
      </w:r>
      <w:r>
        <w:rPr>
          <w:rFonts w:cs="Arial"/>
        </w:rPr>
        <w:t>e</w:t>
      </w:r>
      <w:r w:rsidRPr="00852B1B">
        <w:rPr>
          <w:rFonts w:cs="Arial"/>
        </w:rPr>
        <w:t>l resultat final</w:t>
      </w:r>
    </w:p>
    <w:p w:rsidR="00584272" w:rsidRPr="00852B1B" w:rsidRDefault="00584272" w:rsidP="00904443">
      <w:pPr>
        <w:pStyle w:val="Pargrafdellista"/>
        <w:numPr>
          <w:ilvl w:val="0"/>
          <w:numId w:val="67"/>
        </w:numPr>
        <w:rPr>
          <w:rFonts w:cs="Arial"/>
        </w:rPr>
      </w:pPr>
      <w:r w:rsidRPr="00852B1B">
        <w:rPr>
          <w:rFonts w:cs="Arial"/>
        </w:rPr>
        <w:t xml:space="preserve">Informa </w:t>
      </w:r>
      <w:r>
        <w:rPr>
          <w:rFonts w:cs="Arial"/>
        </w:rPr>
        <w:t xml:space="preserve">del personal que es veu </w:t>
      </w:r>
      <w:r w:rsidRPr="00852B1B">
        <w:rPr>
          <w:rFonts w:cs="Arial"/>
        </w:rPr>
        <w:t>afecta</w:t>
      </w:r>
      <w:r>
        <w:rPr>
          <w:rFonts w:cs="Arial"/>
        </w:rPr>
        <w:t xml:space="preserve">t </w:t>
      </w:r>
      <w:r w:rsidRPr="00852B1B">
        <w:rPr>
          <w:rFonts w:cs="Arial"/>
        </w:rPr>
        <w:t>quan el treball no es fa correctament i el valor de cada tasca o la seva contribució al procés</w:t>
      </w:r>
    </w:p>
    <w:p w:rsidR="00584272" w:rsidRPr="00852B1B" w:rsidRDefault="00584272" w:rsidP="00904443">
      <w:pPr>
        <w:pStyle w:val="Pargrafdellista"/>
        <w:numPr>
          <w:ilvl w:val="0"/>
          <w:numId w:val="67"/>
        </w:numPr>
        <w:rPr>
          <w:rFonts w:cs="Arial"/>
        </w:rPr>
      </w:pPr>
      <w:r w:rsidRPr="00852B1B">
        <w:rPr>
          <w:rFonts w:cs="Arial"/>
        </w:rPr>
        <w:t>Avalua com interrelacionen les diferents tasques d</w:t>
      </w:r>
      <w:r>
        <w:rPr>
          <w:rFonts w:cs="Arial"/>
        </w:rPr>
        <w:t>’</w:t>
      </w:r>
      <w:r w:rsidRPr="00852B1B">
        <w:rPr>
          <w:rFonts w:cs="Arial"/>
        </w:rPr>
        <w:t>un treball, i si s</w:t>
      </w:r>
      <w:r>
        <w:rPr>
          <w:rFonts w:cs="Arial"/>
        </w:rPr>
        <w:t>’</w:t>
      </w:r>
      <w:r w:rsidRPr="00852B1B">
        <w:rPr>
          <w:rFonts w:cs="Arial"/>
        </w:rPr>
        <w:t>efectuen de forma paral·lela o seqüencial.</w:t>
      </w:r>
    </w:p>
    <w:p w:rsidR="00584272" w:rsidRPr="00852B1B" w:rsidRDefault="00584272" w:rsidP="00584272">
      <w:pPr>
        <w:rPr>
          <w:rFonts w:cs="Arial"/>
        </w:rPr>
      </w:pPr>
      <w:r w:rsidRPr="00852B1B">
        <w:rPr>
          <w:rFonts w:cs="Arial"/>
        </w:rPr>
        <w:t>Un</w:t>
      </w:r>
      <w:r>
        <w:rPr>
          <w:rFonts w:cs="Arial"/>
        </w:rPr>
        <w:t>a</w:t>
      </w:r>
      <w:r w:rsidRPr="00852B1B">
        <w:rPr>
          <w:rFonts w:cs="Arial"/>
        </w:rPr>
        <w:t xml:space="preserve"> anàlisi dels centres penitenciaris des del mapa de processos permetrà:</w:t>
      </w:r>
    </w:p>
    <w:p w:rsidR="00584272" w:rsidRPr="00852B1B" w:rsidRDefault="00584272" w:rsidP="00904443">
      <w:pPr>
        <w:pStyle w:val="Pargrafdellista"/>
        <w:numPr>
          <w:ilvl w:val="0"/>
          <w:numId w:val="68"/>
        </w:numPr>
        <w:rPr>
          <w:rFonts w:cs="Arial"/>
        </w:rPr>
      </w:pPr>
      <w:r w:rsidRPr="00852B1B">
        <w:rPr>
          <w:rFonts w:cs="Arial"/>
        </w:rPr>
        <w:t>Homologar les actuacions dels diferents centres</w:t>
      </w:r>
    </w:p>
    <w:p w:rsidR="00584272" w:rsidRPr="00852B1B" w:rsidRDefault="00584272" w:rsidP="00904443">
      <w:pPr>
        <w:pStyle w:val="Pargrafdellista"/>
        <w:numPr>
          <w:ilvl w:val="0"/>
          <w:numId w:val="68"/>
        </w:numPr>
        <w:rPr>
          <w:rFonts w:cs="Arial"/>
        </w:rPr>
      </w:pPr>
      <w:r w:rsidRPr="00852B1B">
        <w:rPr>
          <w:rFonts w:cs="Arial"/>
        </w:rPr>
        <w:t>Elaborar guies de bones pràctiques</w:t>
      </w:r>
    </w:p>
    <w:p w:rsidR="00584272" w:rsidRPr="00852B1B" w:rsidRDefault="00584272" w:rsidP="00904443">
      <w:pPr>
        <w:pStyle w:val="Pargrafdellista"/>
        <w:numPr>
          <w:ilvl w:val="0"/>
          <w:numId w:val="68"/>
        </w:numPr>
        <w:rPr>
          <w:rFonts w:cs="Arial"/>
        </w:rPr>
      </w:pPr>
      <w:r w:rsidRPr="00852B1B">
        <w:rPr>
          <w:rFonts w:cs="Arial"/>
        </w:rPr>
        <w:t>Formar al nou personal</w:t>
      </w:r>
    </w:p>
    <w:p w:rsidR="00584272" w:rsidRPr="00852B1B" w:rsidRDefault="00584272" w:rsidP="00904443">
      <w:pPr>
        <w:pStyle w:val="Pargrafdellista"/>
        <w:numPr>
          <w:ilvl w:val="0"/>
          <w:numId w:val="68"/>
        </w:numPr>
        <w:rPr>
          <w:rFonts w:cs="Arial"/>
        </w:rPr>
      </w:pPr>
      <w:r w:rsidRPr="00852B1B">
        <w:rPr>
          <w:rFonts w:cs="Arial"/>
        </w:rPr>
        <w:t>Incrementar la qualitat del servei i prevenir errades</w:t>
      </w:r>
    </w:p>
    <w:p w:rsidR="00584272" w:rsidRPr="00852B1B" w:rsidRDefault="00584272" w:rsidP="00904443">
      <w:pPr>
        <w:pStyle w:val="Pargrafdellista"/>
        <w:numPr>
          <w:ilvl w:val="0"/>
          <w:numId w:val="68"/>
        </w:numPr>
        <w:rPr>
          <w:rFonts w:cs="Arial"/>
        </w:rPr>
      </w:pPr>
      <w:r w:rsidRPr="00852B1B">
        <w:rPr>
          <w:rFonts w:cs="Arial"/>
        </w:rPr>
        <w:t>Preveure alternatives d</w:t>
      </w:r>
      <w:r>
        <w:rPr>
          <w:rFonts w:cs="Arial"/>
        </w:rPr>
        <w:t>’</w:t>
      </w:r>
      <w:r w:rsidRPr="00852B1B">
        <w:rPr>
          <w:rFonts w:cs="Arial"/>
        </w:rPr>
        <w:t>actuació en moments crítics</w:t>
      </w:r>
    </w:p>
    <w:p w:rsidR="00584272" w:rsidRPr="00852B1B" w:rsidRDefault="00584272" w:rsidP="00904443">
      <w:pPr>
        <w:pStyle w:val="Pargrafdellista"/>
        <w:numPr>
          <w:ilvl w:val="0"/>
          <w:numId w:val="68"/>
        </w:numPr>
        <w:rPr>
          <w:rFonts w:cs="Arial"/>
        </w:rPr>
      </w:pPr>
      <w:r w:rsidRPr="00852B1B">
        <w:rPr>
          <w:rFonts w:cs="Arial"/>
        </w:rPr>
        <w:t>Gestionar amb criteris d</w:t>
      </w:r>
      <w:r>
        <w:rPr>
          <w:rFonts w:cs="Arial"/>
        </w:rPr>
        <w:t>’</w:t>
      </w:r>
      <w:r w:rsidRPr="00852B1B">
        <w:rPr>
          <w:rFonts w:cs="Arial"/>
        </w:rPr>
        <w:t>eficiència</w:t>
      </w:r>
    </w:p>
    <w:p w:rsidR="00584272" w:rsidRPr="00852B1B" w:rsidRDefault="00584272" w:rsidP="00584272">
      <w:pPr>
        <w:rPr>
          <w:rFonts w:cs="Arial"/>
        </w:rPr>
      </w:pPr>
    </w:p>
    <w:p w:rsidR="00584272" w:rsidRPr="00852B1B" w:rsidRDefault="00584272" w:rsidP="00584272">
      <w:pPr>
        <w:rPr>
          <w:rFonts w:cs="Arial"/>
        </w:rPr>
      </w:pPr>
      <w:r w:rsidRPr="00852B1B">
        <w:rPr>
          <w:rFonts w:cs="Arial"/>
        </w:rPr>
        <w:t>L</w:t>
      </w:r>
      <w:r>
        <w:rPr>
          <w:rFonts w:cs="Arial"/>
        </w:rPr>
        <w:t>’</w:t>
      </w:r>
      <w:r w:rsidRPr="00852B1B">
        <w:rPr>
          <w:rFonts w:cs="Arial"/>
        </w:rPr>
        <w:t>estructura del mapa de processos d</w:t>
      </w:r>
      <w:r>
        <w:rPr>
          <w:rFonts w:cs="Arial"/>
        </w:rPr>
        <w:t>’</w:t>
      </w:r>
      <w:r w:rsidRPr="00852B1B">
        <w:rPr>
          <w:rFonts w:cs="Arial"/>
        </w:rPr>
        <w:t>un centre penitenciari no és diferent a la classificació que es fa en altres organitzacions:</w:t>
      </w:r>
    </w:p>
    <w:p w:rsidR="00584272" w:rsidRPr="00B43787" w:rsidRDefault="00584272" w:rsidP="00904443">
      <w:pPr>
        <w:pStyle w:val="Pargrafdellista"/>
        <w:numPr>
          <w:ilvl w:val="0"/>
          <w:numId w:val="72"/>
        </w:numPr>
        <w:rPr>
          <w:rFonts w:cs="Arial"/>
        </w:rPr>
      </w:pPr>
      <w:r w:rsidRPr="00B43787">
        <w:rPr>
          <w:rFonts w:cs="Arial"/>
        </w:rPr>
        <w:t>Estratègics: Permeten l’assoliment de la visió del Departament en matèria d’execució penal. Són liderats pel director del centre penitenciari.</w:t>
      </w:r>
    </w:p>
    <w:p w:rsidR="00584272" w:rsidRPr="00852B1B" w:rsidRDefault="00584272" w:rsidP="00B43787">
      <w:pPr>
        <w:pStyle w:val="Pargrafdellista"/>
        <w:ind w:left="720"/>
        <w:rPr>
          <w:rFonts w:cs="Arial"/>
        </w:rPr>
      </w:pPr>
    </w:p>
    <w:p w:rsidR="00584272" w:rsidRPr="00B43787" w:rsidRDefault="00584272" w:rsidP="00904443">
      <w:pPr>
        <w:pStyle w:val="Pargrafdellista"/>
        <w:numPr>
          <w:ilvl w:val="0"/>
          <w:numId w:val="72"/>
        </w:numPr>
        <w:rPr>
          <w:rFonts w:cs="Arial"/>
        </w:rPr>
      </w:pPr>
      <w:r w:rsidRPr="00B43787">
        <w:rPr>
          <w:rFonts w:cs="Arial"/>
        </w:rPr>
        <w:t>Operatius: Permeten l’assoliment de la missió de la institució penitenciària establerta a l’ordenament jurídic vigent.</w:t>
      </w:r>
    </w:p>
    <w:p w:rsidR="00584272" w:rsidRPr="00852B1B" w:rsidRDefault="00584272" w:rsidP="00B43787">
      <w:pPr>
        <w:pStyle w:val="Pargrafdellista"/>
        <w:rPr>
          <w:rFonts w:cs="Arial"/>
        </w:rPr>
      </w:pPr>
    </w:p>
    <w:p w:rsidR="00584272" w:rsidRPr="00B43787" w:rsidRDefault="00584272" w:rsidP="00904443">
      <w:pPr>
        <w:pStyle w:val="Pargrafdellista"/>
        <w:numPr>
          <w:ilvl w:val="0"/>
          <w:numId w:val="72"/>
        </w:numPr>
        <w:rPr>
          <w:rFonts w:cs="Arial"/>
        </w:rPr>
      </w:pPr>
      <w:r w:rsidRPr="00B43787">
        <w:rPr>
          <w:rFonts w:cs="Arial"/>
        </w:rPr>
        <w:t>De suport: Permeten i recolzen el desenvolupament dels processos clau i operatius.</w:t>
      </w:r>
    </w:p>
    <w:p w:rsidR="00584272" w:rsidRPr="00852B1B" w:rsidRDefault="00584272" w:rsidP="00B43787">
      <w:pPr>
        <w:pStyle w:val="Pargrafdellista"/>
        <w:rPr>
          <w:rFonts w:cs="Arial"/>
        </w:rPr>
      </w:pPr>
    </w:p>
    <w:p w:rsidR="00584272" w:rsidRPr="00852B1B" w:rsidRDefault="00584272" w:rsidP="00584272">
      <w:pPr>
        <w:pStyle w:val="Pargrafdellista"/>
        <w:rPr>
          <w:rFonts w:cs="Arial"/>
        </w:rPr>
      </w:pPr>
      <w:r w:rsidRPr="00852B1B">
        <w:rPr>
          <w:rFonts w:cs="Arial"/>
        </w:rPr>
        <w:t>Aquest projecte no s</w:t>
      </w:r>
      <w:r>
        <w:rPr>
          <w:rFonts w:cs="Arial"/>
        </w:rPr>
        <w:t>’</w:t>
      </w:r>
      <w:r w:rsidRPr="00852B1B">
        <w:rPr>
          <w:rFonts w:cs="Arial"/>
        </w:rPr>
        <w:t>ha desenvolupat en tota la seva estructura, i s</w:t>
      </w:r>
      <w:r>
        <w:rPr>
          <w:rFonts w:cs="Arial"/>
        </w:rPr>
        <w:t>’</w:t>
      </w:r>
      <w:r w:rsidRPr="00852B1B">
        <w:rPr>
          <w:rFonts w:cs="Arial"/>
        </w:rPr>
        <w:t xml:space="preserve">ha executat parcialment en alguns processos. Podem dir que </w:t>
      </w:r>
      <w:r>
        <w:rPr>
          <w:rFonts w:cs="Arial"/>
        </w:rPr>
        <w:t>és</w:t>
      </w:r>
      <w:r w:rsidRPr="00852B1B">
        <w:rPr>
          <w:rFonts w:cs="Arial"/>
        </w:rPr>
        <w:t xml:space="preserve"> la gran assignatura pendent de l</w:t>
      </w:r>
      <w:r>
        <w:rPr>
          <w:rFonts w:cs="Arial"/>
        </w:rPr>
        <w:t>’</w:t>
      </w:r>
      <w:r w:rsidRPr="00852B1B">
        <w:rPr>
          <w:rFonts w:cs="Arial"/>
        </w:rPr>
        <w:t>organització penitenci</w:t>
      </w:r>
      <w:r>
        <w:rPr>
          <w:rFonts w:cs="Arial"/>
        </w:rPr>
        <w:t>à</w:t>
      </w:r>
      <w:r w:rsidRPr="00852B1B">
        <w:rPr>
          <w:rFonts w:cs="Arial"/>
        </w:rPr>
        <w:t>ria, que compta amb un model de treball molt estructurat i desenvolupat en la part t</w:t>
      </w:r>
      <w:r>
        <w:rPr>
          <w:rFonts w:cs="Arial"/>
        </w:rPr>
        <w:t>eò</w:t>
      </w:r>
      <w:r w:rsidRPr="00852B1B">
        <w:rPr>
          <w:rFonts w:cs="Arial"/>
        </w:rPr>
        <w:t>rica i metodològica, però que ha tingut dificultat en el procés d</w:t>
      </w:r>
      <w:r>
        <w:rPr>
          <w:rFonts w:cs="Arial"/>
        </w:rPr>
        <w:t>’</w:t>
      </w:r>
      <w:r w:rsidRPr="00852B1B">
        <w:rPr>
          <w:rFonts w:cs="Arial"/>
        </w:rPr>
        <w:t xml:space="preserve">implementació. </w:t>
      </w:r>
    </w:p>
    <w:p w:rsidR="00584272" w:rsidRPr="00852B1B" w:rsidRDefault="00584272" w:rsidP="00584272">
      <w:pPr>
        <w:pStyle w:val="Pargrafdellista"/>
        <w:rPr>
          <w:rFonts w:cs="Arial"/>
        </w:rPr>
      </w:pPr>
    </w:p>
    <w:p w:rsidR="00584272" w:rsidRPr="00852B1B" w:rsidRDefault="00584272" w:rsidP="00584272">
      <w:pPr>
        <w:pStyle w:val="Pargrafdellista"/>
        <w:rPr>
          <w:rFonts w:cs="Arial"/>
        </w:rPr>
      </w:pPr>
      <w:r w:rsidRPr="00852B1B">
        <w:rPr>
          <w:rFonts w:cs="Arial"/>
        </w:rPr>
        <w:t>Un dels problemes que ha condicionat aquesta implantació és</w:t>
      </w:r>
      <w:r>
        <w:rPr>
          <w:rFonts w:cs="Arial"/>
        </w:rPr>
        <w:t>,</w:t>
      </w:r>
      <w:r w:rsidRPr="00852B1B">
        <w:rPr>
          <w:rFonts w:cs="Arial"/>
        </w:rPr>
        <w:t xml:space="preserve"> sens dubte</w:t>
      </w:r>
      <w:r>
        <w:rPr>
          <w:rFonts w:cs="Arial"/>
        </w:rPr>
        <w:t>,</w:t>
      </w:r>
      <w:r w:rsidRPr="00852B1B">
        <w:rPr>
          <w:rFonts w:cs="Arial"/>
        </w:rPr>
        <w:t xml:space="preserve"> la manca de tecnologia per donar suport a aquest tipus d</w:t>
      </w:r>
      <w:r>
        <w:rPr>
          <w:rFonts w:cs="Arial"/>
        </w:rPr>
        <w:t>’</w:t>
      </w:r>
      <w:r w:rsidRPr="00852B1B">
        <w:rPr>
          <w:rFonts w:cs="Arial"/>
        </w:rPr>
        <w:t>eines de treball, i la falta d</w:t>
      </w:r>
      <w:r>
        <w:rPr>
          <w:rFonts w:cs="Arial"/>
        </w:rPr>
        <w:t>’</w:t>
      </w:r>
      <w:r w:rsidRPr="00852B1B">
        <w:rPr>
          <w:rFonts w:cs="Arial"/>
        </w:rPr>
        <w:t>experiència en processos de qualitat.</w:t>
      </w:r>
    </w:p>
    <w:p w:rsidR="00584272" w:rsidRPr="00852B1B" w:rsidRDefault="00584272" w:rsidP="00584272">
      <w:pPr>
        <w:pStyle w:val="Pargrafdellista"/>
        <w:rPr>
          <w:rFonts w:cs="Arial"/>
        </w:rPr>
      </w:pPr>
    </w:p>
    <w:p w:rsidR="00584272" w:rsidRPr="00852B1B" w:rsidRDefault="00584272" w:rsidP="00584272">
      <w:pPr>
        <w:pStyle w:val="Pargrafdellista"/>
        <w:rPr>
          <w:rFonts w:cs="Arial"/>
        </w:rPr>
      </w:pPr>
      <w:r w:rsidRPr="00852B1B">
        <w:rPr>
          <w:rFonts w:cs="Arial"/>
        </w:rPr>
        <w:t>És un repte per als propers anys desenvolupar sistemes de treball que ens ajudin a ser més eficaços i superar la gestió aïllada de les diferents àrees a una visió unificada en processos transversals.</w:t>
      </w:r>
    </w:p>
    <w:p w:rsidR="00584272" w:rsidRPr="00852B1B" w:rsidRDefault="00584272" w:rsidP="00584272">
      <w:pPr>
        <w:pStyle w:val="Pargrafdellista"/>
        <w:rPr>
          <w:rFonts w:cs="Arial"/>
        </w:rPr>
      </w:pPr>
    </w:p>
    <w:p w:rsidR="00584272" w:rsidRPr="00852B1B" w:rsidRDefault="00584272" w:rsidP="00584272">
      <w:pPr>
        <w:pStyle w:val="Pargrafdellista"/>
        <w:rPr>
          <w:rFonts w:cs="Arial"/>
        </w:rPr>
      </w:pPr>
      <w:r w:rsidRPr="00852B1B">
        <w:rPr>
          <w:rFonts w:cs="Arial"/>
        </w:rPr>
        <w:t xml:space="preserve">I sobretot, cal una organització orientada als resultats amb capacitat per avaluar els objectius que es planteja, i preparada </w:t>
      </w:r>
      <w:r>
        <w:rPr>
          <w:rFonts w:cs="Arial"/>
        </w:rPr>
        <w:t>per al retiment de</w:t>
      </w:r>
      <w:r w:rsidRPr="00852B1B">
        <w:rPr>
          <w:rFonts w:cs="Arial"/>
        </w:rPr>
        <w:t xml:space="preserve"> comptes que exigeix la cultura de la transpar</w:t>
      </w:r>
      <w:r>
        <w:rPr>
          <w:rFonts w:cs="Arial"/>
        </w:rPr>
        <w:t>è</w:t>
      </w:r>
      <w:r w:rsidRPr="00852B1B">
        <w:rPr>
          <w:rFonts w:cs="Arial"/>
        </w:rPr>
        <w:t xml:space="preserve">ncia. </w:t>
      </w:r>
    </w:p>
    <w:p w:rsidR="00584272" w:rsidRPr="00852B1B" w:rsidRDefault="00584272" w:rsidP="00584272">
      <w:pPr>
        <w:pStyle w:val="Pargrafdellista"/>
        <w:rPr>
          <w:rFonts w:cs="Arial"/>
        </w:rPr>
      </w:pPr>
    </w:p>
    <w:p w:rsidR="00584272" w:rsidRPr="00852B1B" w:rsidRDefault="00584272" w:rsidP="00584272">
      <w:pPr>
        <w:rPr>
          <w:rFonts w:cs="Arial"/>
        </w:rPr>
      </w:pPr>
      <w:r w:rsidRPr="00852B1B">
        <w:rPr>
          <w:rFonts w:cs="Arial"/>
        </w:rPr>
        <w:t xml:space="preserve">A continuació es presenta el </w:t>
      </w:r>
      <w:r>
        <w:rPr>
          <w:rFonts w:cs="Arial"/>
        </w:rPr>
        <w:t>m</w:t>
      </w:r>
      <w:r w:rsidRPr="00852B1B">
        <w:rPr>
          <w:rFonts w:cs="Arial"/>
        </w:rPr>
        <w:t>apa de processos d</w:t>
      </w:r>
      <w:r>
        <w:rPr>
          <w:rFonts w:cs="Arial"/>
        </w:rPr>
        <w:t>’</w:t>
      </w:r>
      <w:r w:rsidRPr="00852B1B">
        <w:rPr>
          <w:rFonts w:cs="Arial"/>
        </w:rPr>
        <w:t>un centre penitenciari.</w:t>
      </w:r>
    </w:p>
    <w:p w:rsidR="00584272" w:rsidRPr="00852B1B" w:rsidRDefault="00584272" w:rsidP="00584272">
      <w:r w:rsidRPr="00852B1B">
        <w:rPr>
          <w:noProof/>
          <w:lang w:eastAsia="ca-ES"/>
        </w:rPr>
        <w:lastRenderedPageBreak/>
        <w:drawing>
          <wp:inline distT="0" distB="0" distL="0" distR="0" wp14:anchorId="0C6C26BF" wp14:editId="2C171387">
            <wp:extent cx="5686096" cy="6020204"/>
            <wp:effectExtent l="0" t="0" r="0" b="0"/>
            <wp:docPr id="64" name="Imat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a processos CP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688465" cy="6022712"/>
                    </a:xfrm>
                    <a:prstGeom prst="rect">
                      <a:avLst/>
                    </a:prstGeom>
                  </pic:spPr>
                </pic:pic>
              </a:graphicData>
            </a:graphic>
          </wp:inline>
        </w:drawing>
      </w:r>
    </w:p>
    <w:p w:rsidR="00584272" w:rsidRDefault="00584272" w:rsidP="00584272"/>
    <w:p w:rsidR="0089797C" w:rsidRPr="00584272" w:rsidRDefault="0089797C" w:rsidP="00584272"/>
    <w:p w:rsidR="00840643" w:rsidRPr="00B43787" w:rsidRDefault="00840643" w:rsidP="0070401F">
      <w:pPr>
        <w:pStyle w:val="Ttol1"/>
      </w:pPr>
      <w:bookmarkStart w:id="116" w:name="_Toc464685622"/>
      <w:bookmarkStart w:id="117" w:name="_Toc465293353"/>
      <w:r w:rsidRPr="00B43787">
        <w:lastRenderedPageBreak/>
        <w:t>La població penitenciària</w:t>
      </w:r>
      <w:bookmarkEnd w:id="116"/>
      <w:bookmarkEnd w:id="117"/>
    </w:p>
    <w:p w:rsidR="006F492E" w:rsidRPr="006F492E" w:rsidRDefault="006F492E" w:rsidP="006F492E"/>
    <w:p w:rsidR="00363C3D" w:rsidRPr="00CE36AA" w:rsidRDefault="00363C3D" w:rsidP="0070401F">
      <w:pPr>
        <w:pStyle w:val="Ttol2"/>
      </w:pPr>
      <w:bookmarkStart w:id="118" w:name="_Toc464685623"/>
      <w:bookmarkStart w:id="119" w:name="_Toc465293354"/>
      <w:r w:rsidRPr="00CE36AA">
        <w:t xml:space="preserve">La població penitenciària quan </w:t>
      </w:r>
      <w:r w:rsidR="001F63CD">
        <w:t>es van traspassar</w:t>
      </w:r>
      <w:r w:rsidRPr="00CE36AA">
        <w:t xml:space="preserve"> les competències</w:t>
      </w:r>
      <w:bookmarkEnd w:id="118"/>
      <w:bookmarkEnd w:id="119"/>
    </w:p>
    <w:p w:rsidR="00363C3D" w:rsidRPr="00CE36AA" w:rsidRDefault="00363C3D" w:rsidP="00363C3D">
      <w:r w:rsidRPr="00CE36AA">
        <w:t xml:space="preserve">L’any 1984, Catalunya va adquirir plena competència en matèria d’execució penal d’adults, procés </w:t>
      </w:r>
      <w:r w:rsidR="00B13498" w:rsidRPr="00CE36AA">
        <w:t xml:space="preserve">que va finalitzar </w:t>
      </w:r>
      <w:r w:rsidRPr="00CE36AA">
        <w:t xml:space="preserve">plenament l’any 1986. Com a resultat, van ser transferits 7 centres penitenciaris d’internament per a adults (CP </w:t>
      </w:r>
      <w:r w:rsidR="009A58A5">
        <w:t>d’</w:t>
      </w:r>
      <w:r w:rsidRPr="00CE36AA">
        <w:t xml:space="preserve">Homes de Barcelona, CP </w:t>
      </w:r>
      <w:r w:rsidR="009A58A5">
        <w:t xml:space="preserve">de </w:t>
      </w:r>
      <w:r w:rsidRPr="00CE36AA">
        <w:t xml:space="preserve">Dones, CP </w:t>
      </w:r>
      <w:r w:rsidR="001F63CD">
        <w:t xml:space="preserve">de </w:t>
      </w:r>
      <w:r w:rsidRPr="00CE36AA">
        <w:t>Joves, CP Tarragona, CP Ponent, CP Girona, CP Figueres), que sumaven una capacitat de 2.495 places, però que acollien 2.650 persones.</w:t>
      </w:r>
    </w:p>
    <w:p w:rsidR="00363C3D" w:rsidRPr="00CE36AA" w:rsidRDefault="00363C3D" w:rsidP="00363C3D">
      <w:r w:rsidRPr="00CE36AA">
        <w:t>En aquells moments, ara fa 30 anys, entre la població penitenciària hi havia un 7</w:t>
      </w:r>
      <w:r w:rsidR="001F63CD">
        <w:t xml:space="preserve"> %</w:t>
      </w:r>
      <w:r w:rsidRPr="00CE36AA">
        <w:t xml:space="preserve"> de dones; un 56</w:t>
      </w:r>
      <w:r w:rsidR="001F63CD">
        <w:t xml:space="preserve"> %</w:t>
      </w:r>
      <w:r w:rsidRPr="00CE36AA">
        <w:t xml:space="preserve"> de preventius; un 13,7</w:t>
      </w:r>
      <w:r w:rsidR="001F63CD">
        <w:t xml:space="preserve"> %</w:t>
      </w:r>
      <w:r w:rsidRPr="00CE36AA">
        <w:t xml:space="preserve"> d’estrangers; un 68</w:t>
      </w:r>
      <w:r w:rsidR="001F63CD">
        <w:t xml:space="preserve"> %</w:t>
      </w:r>
      <w:r w:rsidRPr="00CE36AA">
        <w:t xml:space="preserve"> de persones internes per delictes contra la propietat; un 5</w:t>
      </w:r>
      <w:r w:rsidR="001F63CD">
        <w:t xml:space="preserve"> %</w:t>
      </w:r>
      <w:r w:rsidRPr="00CE36AA">
        <w:t>, per delictes contra la salut pública (drogues); un 6</w:t>
      </w:r>
      <w:r w:rsidR="001F63CD">
        <w:t xml:space="preserve"> %</w:t>
      </w:r>
      <w:r w:rsidRPr="00CE36AA">
        <w:t>, per delictes contra les persones</w:t>
      </w:r>
      <w:r w:rsidR="001F63CD">
        <w:t>,</w:t>
      </w:r>
      <w:r w:rsidRPr="00CE36AA">
        <w:t xml:space="preserve"> i un 4,2</w:t>
      </w:r>
      <w:r w:rsidR="001F63CD">
        <w:t xml:space="preserve"> %</w:t>
      </w:r>
      <w:r w:rsidRPr="00CE36AA">
        <w:t>, per delictes contra la llibertat sexual. Actualment, com es veurà</w:t>
      </w:r>
      <w:r w:rsidR="000225D9" w:rsidRPr="00CE36AA">
        <w:t xml:space="preserve"> en l’apartat </w:t>
      </w:r>
      <w:r w:rsidR="000225D9" w:rsidRPr="00CE36AA">
        <w:fldChar w:fldCharType="begin"/>
      </w:r>
      <w:r w:rsidR="000225D9" w:rsidRPr="00CE36AA">
        <w:instrText xml:space="preserve"> REF _Ref463341124 \n \h  \* MERGEFORMAT </w:instrText>
      </w:r>
      <w:r w:rsidR="000225D9" w:rsidRPr="00CE36AA">
        <w:fldChar w:fldCharType="separate"/>
      </w:r>
      <w:r w:rsidR="00CC16AE">
        <w:t>5.4.1</w:t>
      </w:r>
      <w:r w:rsidR="000225D9" w:rsidRPr="00CE36AA">
        <w:fldChar w:fldCharType="end"/>
      </w:r>
      <w:r w:rsidRPr="00CE36AA">
        <w:t>, la població penitenciària ha canviat substancialment.</w:t>
      </w:r>
    </w:p>
    <w:p w:rsidR="00FF2CB0" w:rsidRPr="00CE36AA" w:rsidRDefault="00FF2CB0" w:rsidP="0070401F">
      <w:pPr>
        <w:pStyle w:val="Ttol2"/>
      </w:pPr>
      <w:bookmarkStart w:id="120" w:name="_Toc464685624"/>
      <w:bookmarkStart w:id="121" w:name="_Toc465293355"/>
      <w:r w:rsidRPr="00CE36AA">
        <w:t>L’evolució de la població penitenciària</w:t>
      </w:r>
      <w:bookmarkEnd w:id="120"/>
      <w:bookmarkEnd w:id="121"/>
    </w:p>
    <w:p w:rsidR="00B51AC1" w:rsidRPr="00CE36AA" w:rsidRDefault="00B51AC1" w:rsidP="000C1656">
      <w:r w:rsidRPr="00CE36AA">
        <w:t xml:space="preserve">Des de l’any 1984 fins a l’actualitat, la població penitenciària ha </w:t>
      </w:r>
      <w:r w:rsidR="000C1656" w:rsidRPr="00CE36AA">
        <w:t xml:space="preserve">evolucionat de manera diferenciada en el temps, influenciada, segons els moments, per una major criminalitat, o per una major disponibilitat de recursos per al seu control, per un major creixement econòmic o per la modificació de la legalitat existent en matèria de delictes i les seves penes. Aquests factors no només han </w:t>
      </w:r>
      <w:r w:rsidRPr="00CE36AA">
        <w:t xml:space="preserve">incidit </w:t>
      </w:r>
      <w:r w:rsidR="000C1656" w:rsidRPr="00CE36AA">
        <w:t xml:space="preserve">en el creixement o decreixement de les taxes d’encarcerament, sinó que també han determinat la tipologia </w:t>
      </w:r>
      <w:r w:rsidRPr="00CE36AA">
        <w:t>de la població penitenciària</w:t>
      </w:r>
      <w:r w:rsidR="000C1656" w:rsidRPr="00CE36AA">
        <w:t>.</w:t>
      </w:r>
    </w:p>
    <w:p w:rsidR="00FF2CB0" w:rsidRPr="00CE36AA" w:rsidRDefault="00FF2CB0" w:rsidP="00FF2CB0">
      <w:r w:rsidRPr="00CE36AA">
        <w:t xml:space="preserve">A grans trets, entre 1984 i desembre de 2015, la població penitenciària </w:t>
      </w:r>
      <w:r w:rsidR="001F63CD">
        <w:t>a</w:t>
      </w:r>
      <w:r w:rsidRPr="00CE36AA">
        <w:t xml:space="preserve"> Catalunya ha augmentat un 232</w:t>
      </w:r>
      <w:r w:rsidR="001F63CD">
        <w:t xml:space="preserve"> %</w:t>
      </w:r>
      <w:r w:rsidRPr="00CE36AA">
        <w:t xml:space="preserve">. </w:t>
      </w:r>
      <w:r w:rsidR="005C78EB" w:rsidRPr="00CE36AA">
        <w:t>Aquest augment, però, no ha estat constant; afortunadament l’ascens vertiginós es va aturar l’any 2009, quan el creixement va arribar a ser del 297</w:t>
      </w:r>
      <w:r w:rsidR="001F63CD">
        <w:t xml:space="preserve"> %</w:t>
      </w:r>
      <w:r w:rsidR="005C78EB" w:rsidRPr="00CE36AA">
        <w:t>. Des d’aquesta data, i fins al moment, les xifres han anant disminuint</w:t>
      </w:r>
      <w:r w:rsidR="003F6CAD" w:rsidRPr="00CE36AA">
        <w:t xml:space="preserve"> (vegeu </w:t>
      </w:r>
      <w:r w:rsidR="00CE36AA" w:rsidRPr="00CE36AA">
        <w:fldChar w:fldCharType="begin"/>
      </w:r>
      <w:r w:rsidR="00CE36AA" w:rsidRPr="00CE36AA">
        <w:instrText xml:space="preserve"> REF _Ref462404303 </w:instrText>
      </w:r>
      <w:r w:rsidR="00CE36AA">
        <w:instrText xml:space="preserve"> \* MERGEFORMAT </w:instrText>
      </w:r>
      <w:r w:rsidR="00CE36AA" w:rsidRPr="00CE36AA">
        <w:fldChar w:fldCharType="separate"/>
      </w:r>
      <w:r w:rsidR="009A1F67">
        <w:t>Gràfic</w:t>
      </w:r>
      <w:r w:rsidR="00CC16AE" w:rsidRPr="00CE36AA">
        <w:t xml:space="preserve"> </w:t>
      </w:r>
      <w:r w:rsidR="00CC16AE">
        <w:rPr>
          <w:noProof/>
        </w:rPr>
        <w:t>1</w:t>
      </w:r>
      <w:r w:rsidR="00CE36AA" w:rsidRPr="00CE36AA">
        <w:rPr>
          <w:noProof/>
        </w:rPr>
        <w:fldChar w:fldCharType="end"/>
      </w:r>
      <w:r w:rsidR="00A94426" w:rsidRPr="00CE36AA">
        <w:t>)</w:t>
      </w:r>
      <w:r w:rsidR="005C78EB" w:rsidRPr="00CE36AA">
        <w:t>.</w:t>
      </w:r>
    </w:p>
    <w:p w:rsidR="00065640" w:rsidRPr="00CE36AA" w:rsidRDefault="00065640" w:rsidP="00065640">
      <w:r w:rsidRPr="00CE36AA">
        <w:t xml:space="preserve">Diverses poden ser les hipòtesis sobre quins han estat els motius que han provocat aquesta evolució creixent en la població encarcerada i, també, els que han ocasionat el decreixement </w:t>
      </w:r>
      <w:r w:rsidR="000225D9" w:rsidRPr="00CE36AA">
        <w:t>actual</w:t>
      </w:r>
      <w:r w:rsidRPr="00CE36AA">
        <w:t xml:space="preserve">. Entre </w:t>
      </w:r>
      <w:r w:rsidR="009E32E2">
        <w:t>aquestes:</w:t>
      </w:r>
      <w:r w:rsidRPr="00CE36AA">
        <w:t xml:space="preserve"> </w:t>
      </w:r>
      <w:r w:rsidR="009E32E2">
        <w:t>(</w:t>
      </w:r>
      <w:r w:rsidRPr="00CE36AA">
        <w:t>1) que ha augmentat la població</w:t>
      </w:r>
      <w:r w:rsidR="00A009C2" w:rsidRPr="00CE36AA">
        <w:t xml:space="preserve"> en general</w:t>
      </w:r>
      <w:r w:rsidRPr="00CE36AA">
        <w:t xml:space="preserve">; (2) que ha augmentat la criminalitat; (3) que hi ha més control policial; (4) </w:t>
      </w:r>
      <w:r w:rsidR="009E32E2">
        <w:t xml:space="preserve">que hi ha </w:t>
      </w:r>
      <w:r w:rsidRPr="00CE36AA">
        <w:t>més activitat judicial; (5) que els temps d’estada en presó han estat superiors, ja sigui per una major duresa en les condemnes o per la desaparició de la redempció ordinària o extraordinària; (6) la major aplicació (o menor) de la presó preventiva, amb el conse</w:t>
      </w:r>
      <w:r w:rsidR="001F63CD">
        <w:t>g</w:t>
      </w:r>
      <w:r w:rsidRPr="00CE36AA">
        <w:t xml:space="preserve">üent augment (o disminució) dels ingressos de persones que encara no han estat condemnades; (7) el fet que ingressin més persones de les que surten en llibertat; </w:t>
      </w:r>
      <w:r w:rsidR="000225D9" w:rsidRPr="00CE36AA">
        <w:t xml:space="preserve">o </w:t>
      </w:r>
      <w:r w:rsidRPr="00CE36AA">
        <w:t xml:space="preserve">(8) </w:t>
      </w:r>
      <w:r w:rsidR="000225D9" w:rsidRPr="00CE36AA">
        <w:t xml:space="preserve">el creixement (o </w:t>
      </w:r>
      <w:r w:rsidRPr="00CE36AA">
        <w:t>la crisi</w:t>
      </w:r>
      <w:r w:rsidR="000225D9" w:rsidRPr="00CE36AA">
        <w:t>) de l’</w:t>
      </w:r>
      <w:r w:rsidRPr="00CE36AA">
        <w:t>econ</w:t>
      </w:r>
      <w:r w:rsidR="000225D9" w:rsidRPr="00CE36AA">
        <w:t>omia</w:t>
      </w:r>
      <w:r w:rsidRPr="00CE36AA">
        <w:t>.</w:t>
      </w:r>
    </w:p>
    <w:p w:rsidR="00065640" w:rsidRPr="00CE36AA" w:rsidRDefault="00065640" w:rsidP="00065640">
      <w:r w:rsidRPr="00CE36AA">
        <w:t xml:space="preserve">Respecte de la primera hipòtesi, la població encarcerada ha augmentat perquè ha augmentat la població, però </w:t>
      </w:r>
      <w:r w:rsidR="000225D9" w:rsidRPr="00CE36AA">
        <w:t xml:space="preserve">això </w:t>
      </w:r>
      <w:r w:rsidR="005B0138" w:rsidRPr="00CE36AA">
        <w:t xml:space="preserve">és </w:t>
      </w:r>
      <w:r w:rsidR="000225D9" w:rsidRPr="00CE36AA">
        <w:t xml:space="preserve">una obvietat. </w:t>
      </w:r>
      <w:r w:rsidR="005B0138" w:rsidRPr="00CE36AA">
        <w:t>El fet és que la població encarcerada ha augmentat, en proporció, molt més del que ho ha fet la població general.</w:t>
      </w:r>
      <w:r w:rsidRPr="00CE36AA">
        <w:t xml:space="preserve"> La taxa d’encarcerats per cada 100.000 habitants ha crescut, i molt, passant de 44 presos per cada 100.000 habitants, l’any 1984, a 141, l’any 2009, fins als 117 actuals (vegeu </w:t>
      </w:r>
      <w:r w:rsidRPr="00CE36AA">
        <w:fldChar w:fldCharType="begin"/>
      </w:r>
      <w:r w:rsidRPr="00CE36AA">
        <w:instrText xml:space="preserve"> REF _Ref462404303 \h </w:instrText>
      </w:r>
      <w:r w:rsidR="00CE36AA">
        <w:instrText xml:space="preserve"> \* MERGEFORMAT </w:instrText>
      </w:r>
      <w:r w:rsidRPr="00CE36AA">
        <w:fldChar w:fldCharType="separate"/>
      </w:r>
      <w:r w:rsidR="009A1F67">
        <w:t>Gràfic</w:t>
      </w:r>
      <w:r w:rsidR="00CC16AE" w:rsidRPr="00CE36AA">
        <w:t xml:space="preserve"> </w:t>
      </w:r>
      <w:r w:rsidR="00CC16AE">
        <w:rPr>
          <w:noProof/>
        </w:rPr>
        <w:t>1</w:t>
      </w:r>
      <w:r w:rsidRPr="00CE36AA">
        <w:fldChar w:fldCharType="end"/>
      </w:r>
      <w:r w:rsidRPr="00CE36AA">
        <w:t xml:space="preserve">, en què les corbes de població encarcerada i de taxa de població encarcerada són pràcticament paral·leles). Aquest nombre relatiu, el de la taxa, posa de manifest el creixement </w:t>
      </w:r>
      <w:r w:rsidR="005B0138" w:rsidRPr="00CE36AA">
        <w:t xml:space="preserve">desproporcionat </w:t>
      </w:r>
      <w:r w:rsidRPr="00CE36AA">
        <w:t>de la xifra d’encarcerats.</w:t>
      </w:r>
    </w:p>
    <w:p w:rsidR="00065640" w:rsidRPr="00CE36AA" w:rsidRDefault="00065640" w:rsidP="00065640">
      <w:r w:rsidRPr="00CE36AA">
        <w:t>En segon lloc, seria lògic pensar que una major delinqüència comportaria una major taxa d’encarcerament. Algunes anàlisis parcials</w:t>
      </w:r>
      <w:r w:rsidR="00A009C2" w:rsidRPr="00CE36AA">
        <w:t>,</w:t>
      </w:r>
      <w:r w:rsidRPr="00CE36AA">
        <w:t xml:space="preserve"> quant a</w:t>
      </w:r>
      <w:r w:rsidR="005B0138" w:rsidRPr="00CE36AA">
        <w:t xml:space="preserve"> períodes de</w:t>
      </w:r>
      <w:r w:rsidRPr="00CE36AA">
        <w:t xml:space="preserve"> temps</w:t>
      </w:r>
      <w:r w:rsidR="00A009C2" w:rsidRPr="00CE36AA">
        <w:t>,</w:t>
      </w:r>
      <w:r w:rsidRPr="00CE36AA">
        <w:t xml:space="preserve"> han indicat que no existeix aquesta relació, o que sí, com veurem més endavant. La visió general</w:t>
      </w:r>
      <w:r w:rsidR="005B0138" w:rsidRPr="00CE36AA">
        <w:t xml:space="preserve"> i àmplia</w:t>
      </w:r>
      <w:r w:rsidRPr="00CE36AA">
        <w:t xml:space="preserve"> del període aquí plantejat, d’ençà </w:t>
      </w:r>
      <w:r w:rsidR="009E32E2">
        <w:t xml:space="preserve">de </w:t>
      </w:r>
      <w:r w:rsidRPr="00CE36AA">
        <w:t xml:space="preserve">l’assumpció de competències en matèria penitenciària fins a la data </w:t>
      </w:r>
      <w:r w:rsidR="005B0138" w:rsidRPr="00CE36AA">
        <w:t>(</w:t>
      </w:r>
      <w:r w:rsidRPr="00CE36AA">
        <w:t xml:space="preserve">vegeu </w:t>
      </w:r>
      <w:r w:rsidRPr="00CE36AA">
        <w:fldChar w:fldCharType="begin"/>
      </w:r>
      <w:r w:rsidRPr="00CE36AA">
        <w:instrText xml:space="preserve"> REF _Ref462847934 \h </w:instrText>
      </w:r>
      <w:r w:rsidR="00CE36AA">
        <w:instrText xml:space="preserve"> \* MERGEFORMAT </w:instrText>
      </w:r>
      <w:r w:rsidRPr="00CE36AA">
        <w:fldChar w:fldCharType="separate"/>
      </w:r>
      <w:r w:rsidR="009A1F67">
        <w:t>Gràfic</w:t>
      </w:r>
      <w:r w:rsidR="00CC16AE" w:rsidRPr="00CE36AA">
        <w:t xml:space="preserve"> </w:t>
      </w:r>
      <w:r w:rsidR="00CC16AE">
        <w:rPr>
          <w:noProof/>
        </w:rPr>
        <w:t>2</w:t>
      </w:r>
      <w:r w:rsidRPr="00CE36AA">
        <w:fldChar w:fldCharType="end"/>
      </w:r>
      <w:r w:rsidR="005B0138" w:rsidRPr="00CE36AA">
        <w:t>)</w:t>
      </w:r>
      <w:r w:rsidRPr="00CE36AA">
        <w:t xml:space="preserve"> evidencia la inexistència de relació, atès que les dades són </w:t>
      </w:r>
      <w:r w:rsidRPr="00CE36AA">
        <w:lastRenderedPageBreak/>
        <w:t>inverses durant el primer període de creixement (1984-1994), i més tard són directes (2001-2009).</w:t>
      </w:r>
    </w:p>
    <w:p w:rsidR="003F6CAD" w:rsidRPr="00CE36AA" w:rsidRDefault="003F6CAD" w:rsidP="00FF2CB0"/>
    <w:p w:rsidR="003F6CAD" w:rsidRPr="00CE36AA" w:rsidRDefault="003F6CAD" w:rsidP="00363C3D">
      <w:pPr>
        <w:keepNext/>
        <w:jc w:val="center"/>
      </w:pPr>
      <w:r w:rsidRPr="00CE36AA">
        <w:rPr>
          <w:noProof/>
          <w:lang w:eastAsia="ca-ES"/>
        </w:rPr>
        <w:drawing>
          <wp:inline distT="0" distB="0" distL="0" distR="0" wp14:anchorId="0C54E6FB" wp14:editId="302DE2DB">
            <wp:extent cx="5760000" cy="2880000"/>
            <wp:effectExtent l="0" t="0" r="12700" b="15875"/>
            <wp:docPr id="8" name="Gràfic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3F6CAD" w:rsidRPr="00CE36AA" w:rsidRDefault="009A1F67" w:rsidP="003F6CAD">
      <w:pPr>
        <w:pStyle w:val="Llegenda"/>
      </w:pPr>
      <w:bookmarkStart w:id="122" w:name="_Ref462404303"/>
      <w:bookmarkStart w:id="123" w:name="_Toc465293807"/>
      <w:r>
        <w:t>Gràfic</w:t>
      </w:r>
      <w:r w:rsidR="003F6CAD" w:rsidRPr="00CE36AA">
        <w:t xml:space="preserve"> </w:t>
      </w:r>
      <w:r w:rsidR="00DB496B">
        <w:fldChar w:fldCharType="begin"/>
      </w:r>
      <w:r w:rsidR="00DB496B">
        <w:instrText xml:space="preserve"> SEQ Il·lustració \</w:instrText>
      </w:r>
      <w:r w:rsidR="00DB496B">
        <w:instrText xml:space="preserve">* ARABIC </w:instrText>
      </w:r>
      <w:r w:rsidR="00DB496B">
        <w:fldChar w:fldCharType="separate"/>
      </w:r>
      <w:r w:rsidR="00C952DF">
        <w:rPr>
          <w:noProof/>
        </w:rPr>
        <w:t>1</w:t>
      </w:r>
      <w:r w:rsidR="00DB496B">
        <w:rPr>
          <w:noProof/>
        </w:rPr>
        <w:fldChar w:fldCharType="end"/>
      </w:r>
      <w:bookmarkEnd w:id="122"/>
      <w:r w:rsidR="003F6CAD" w:rsidRPr="00CE36AA">
        <w:t>. Evolució de la població encarcerada l’últim dia de cada any i taxa que representa per cada 100.000 habitants.</w:t>
      </w:r>
      <w:bookmarkEnd w:id="123"/>
    </w:p>
    <w:p w:rsidR="003F6CAD" w:rsidRPr="00CE36AA" w:rsidRDefault="003F6CAD" w:rsidP="00FF2CB0"/>
    <w:p w:rsidR="00ED4F89" w:rsidRPr="00CE36AA" w:rsidRDefault="00ED4F89" w:rsidP="001B6ED8">
      <w:pPr>
        <w:keepNext/>
        <w:jc w:val="center"/>
      </w:pPr>
      <w:r w:rsidRPr="00CE36AA">
        <w:rPr>
          <w:noProof/>
          <w:lang w:eastAsia="ca-ES"/>
        </w:rPr>
        <w:drawing>
          <wp:inline distT="0" distB="0" distL="0" distR="0" wp14:anchorId="6B64C3D2" wp14:editId="13B94E72">
            <wp:extent cx="5760000" cy="2880000"/>
            <wp:effectExtent l="0" t="0" r="12700" b="15875"/>
            <wp:docPr id="25" name="Gràfic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ED4F89" w:rsidRPr="00CE36AA" w:rsidRDefault="009A1F67" w:rsidP="00C0346E">
      <w:pPr>
        <w:pStyle w:val="Llegenda"/>
      </w:pPr>
      <w:bookmarkStart w:id="124" w:name="_Ref462847934"/>
      <w:bookmarkStart w:id="125" w:name="_Toc465293808"/>
      <w:r>
        <w:t>Gràfic</w:t>
      </w:r>
      <w:r w:rsidR="00C0346E" w:rsidRPr="00CE36AA">
        <w:t xml:space="preserve"> </w:t>
      </w:r>
      <w:r w:rsidR="00DB496B">
        <w:fldChar w:fldCharType="begin"/>
      </w:r>
      <w:r w:rsidR="00DB496B">
        <w:instrText xml:space="preserve"> SEQ Il·lustració \* ARABIC </w:instrText>
      </w:r>
      <w:r w:rsidR="00DB496B">
        <w:fldChar w:fldCharType="separate"/>
      </w:r>
      <w:r w:rsidR="00C952DF">
        <w:rPr>
          <w:noProof/>
        </w:rPr>
        <w:t>2</w:t>
      </w:r>
      <w:r w:rsidR="00DB496B">
        <w:rPr>
          <w:noProof/>
        </w:rPr>
        <w:fldChar w:fldCharType="end"/>
      </w:r>
      <w:bookmarkEnd w:id="124"/>
      <w:r w:rsidR="00C0346E" w:rsidRPr="00CE36AA">
        <w:t xml:space="preserve">. Evolució de la xifra d’encarcerats i de la taxa de victimització (font: Enquestes de </w:t>
      </w:r>
      <w:r w:rsidR="001F63CD">
        <w:t>v</w:t>
      </w:r>
      <w:r w:rsidR="00C0346E" w:rsidRPr="00CE36AA">
        <w:t xml:space="preserve">ictimització de Barcelona i </w:t>
      </w:r>
      <w:r w:rsidR="001F63CD">
        <w:t>à</w:t>
      </w:r>
      <w:r w:rsidR="00C0346E" w:rsidRPr="00CE36AA">
        <w:t xml:space="preserve">mbit </w:t>
      </w:r>
      <w:r w:rsidR="001F63CD">
        <w:t>m</w:t>
      </w:r>
      <w:r w:rsidR="00C0346E" w:rsidRPr="00CE36AA">
        <w:t>etropolità).</w:t>
      </w:r>
      <w:r w:rsidR="00D3072A" w:rsidRPr="00CE36AA">
        <w:t xml:space="preserve"> Període 1984-1994: </w:t>
      </w:r>
      <w:r w:rsidR="00D3072A" w:rsidRPr="00CE36AA">
        <w:rPr>
          <w:i/>
        </w:rPr>
        <w:t>Rho de Spearman</w:t>
      </w:r>
      <w:r w:rsidR="00D3072A" w:rsidRPr="00CE36AA">
        <w:t xml:space="preserve"> = -0,811, sig.= 0,000. Període 2001-2009: </w:t>
      </w:r>
      <w:r w:rsidR="00D3072A" w:rsidRPr="00CE36AA">
        <w:rPr>
          <w:i/>
        </w:rPr>
        <w:t>Rho de Spearman</w:t>
      </w:r>
      <w:r w:rsidR="00D3072A" w:rsidRPr="00CE36AA">
        <w:t xml:space="preserve"> = 0,783, sig.= 0,013.</w:t>
      </w:r>
      <w:bookmarkEnd w:id="125"/>
    </w:p>
    <w:p w:rsidR="004B4F05" w:rsidRPr="00CE36AA" w:rsidRDefault="004B4F05" w:rsidP="004B4F05"/>
    <w:p w:rsidR="001B6ED8" w:rsidRPr="00CE36AA" w:rsidRDefault="001B6ED8" w:rsidP="004B4F05">
      <w:r w:rsidRPr="00CE36AA">
        <w:t xml:space="preserve">Un augment del control policial podria comportar una major detecció de la criminalitat, sobretot d’aquella que no evidencia víctimes directes o que les víctimes no denuncien habitualment, com ara els delictes relacionats amb les drogues. Una lectura diferent podria ser que si hi ha més control policial, aquest comportaria un efecte </w:t>
      </w:r>
      <w:r w:rsidR="00C4751A">
        <w:t>dissuas</w:t>
      </w:r>
      <w:r w:rsidR="009E32E2">
        <w:t>iu</w:t>
      </w:r>
      <w:r w:rsidRPr="00CE36AA">
        <w:t xml:space="preserve"> sobre la </w:t>
      </w:r>
      <w:r w:rsidRPr="00CE36AA">
        <w:lastRenderedPageBreak/>
        <w:t xml:space="preserve">criminalitat, </w:t>
      </w:r>
      <w:r w:rsidR="005B0138" w:rsidRPr="00CE36AA">
        <w:t>si</w:t>
      </w:r>
      <w:r w:rsidRPr="00CE36AA">
        <w:t xml:space="preserve"> les xifres </w:t>
      </w:r>
      <w:r w:rsidR="005B0138" w:rsidRPr="00CE36AA">
        <w:t xml:space="preserve">sobre encarcerats </w:t>
      </w:r>
      <w:r w:rsidRPr="00CE36AA">
        <w:t xml:space="preserve">minvessin. </w:t>
      </w:r>
      <w:r w:rsidR="00D02CD9" w:rsidRPr="00CE36AA">
        <w:t xml:space="preserve">En el cas que ens ocupa, </w:t>
      </w:r>
      <w:r w:rsidR="005B0138" w:rsidRPr="00CE36AA">
        <w:t xml:space="preserve">però, </w:t>
      </w:r>
      <w:r w:rsidR="00D02CD9" w:rsidRPr="00CE36AA">
        <w:t xml:space="preserve">sembla clara la relació: </w:t>
      </w:r>
      <w:r w:rsidR="00D02CD9" w:rsidRPr="00B61018">
        <w:t>a més efectius policials, més població encarcerada</w:t>
      </w:r>
      <w:r w:rsidR="00D02CD9" w:rsidRPr="00113505">
        <w:t xml:space="preserve"> </w:t>
      </w:r>
      <w:r w:rsidR="00D02CD9" w:rsidRPr="00CE36AA">
        <w:t xml:space="preserve">(vegeu </w:t>
      </w:r>
      <w:r w:rsidR="00D02CD9" w:rsidRPr="00CE36AA">
        <w:fldChar w:fldCharType="begin"/>
      </w:r>
      <w:r w:rsidR="00D02CD9" w:rsidRPr="00CE36AA">
        <w:instrText xml:space="preserve"> REF _Ref462849508 \h </w:instrText>
      </w:r>
      <w:r w:rsidR="00CE36AA">
        <w:instrText xml:space="preserve"> \* MERGEFORMAT </w:instrText>
      </w:r>
      <w:r w:rsidR="00D02CD9" w:rsidRPr="00CE36AA">
        <w:fldChar w:fldCharType="separate"/>
      </w:r>
      <w:r w:rsidR="009A1F67">
        <w:t>Gràfic</w:t>
      </w:r>
      <w:r w:rsidR="00CC16AE" w:rsidRPr="00CE36AA">
        <w:t xml:space="preserve"> </w:t>
      </w:r>
      <w:r w:rsidR="00CC16AE">
        <w:rPr>
          <w:noProof/>
        </w:rPr>
        <w:t>3</w:t>
      </w:r>
      <w:r w:rsidR="00D02CD9" w:rsidRPr="00CE36AA">
        <w:fldChar w:fldCharType="end"/>
      </w:r>
      <w:r w:rsidR="00D02CD9" w:rsidRPr="00CE36AA">
        <w:t xml:space="preserve">). </w:t>
      </w:r>
    </w:p>
    <w:p w:rsidR="001B6ED8" w:rsidRPr="00CE36AA" w:rsidRDefault="001B6ED8" w:rsidP="004B4F05"/>
    <w:p w:rsidR="004B4F05" w:rsidRPr="00CE36AA" w:rsidRDefault="004B4F05" w:rsidP="001B6ED8">
      <w:pPr>
        <w:keepNext/>
        <w:jc w:val="center"/>
      </w:pPr>
      <w:r w:rsidRPr="00CE36AA">
        <w:rPr>
          <w:noProof/>
          <w:lang w:eastAsia="ca-ES"/>
        </w:rPr>
        <w:drawing>
          <wp:inline distT="0" distB="0" distL="0" distR="0" wp14:anchorId="47032855" wp14:editId="5F2F1234">
            <wp:extent cx="5760000" cy="2880000"/>
            <wp:effectExtent l="0" t="0" r="12700" b="15875"/>
            <wp:docPr id="26" name="Gràfic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1B6ED8" w:rsidRPr="00CE36AA" w:rsidRDefault="009A1F67" w:rsidP="001B6ED8">
      <w:pPr>
        <w:pStyle w:val="Llegenda"/>
      </w:pPr>
      <w:bookmarkStart w:id="126" w:name="_Ref462849508"/>
      <w:bookmarkStart w:id="127" w:name="_Toc465293809"/>
      <w:r>
        <w:t>Gràfic</w:t>
      </w:r>
      <w:r w:rsidR="001B6ED8" w:rsidRPr="00CE36AA">
        <w:t xml:space="preserve"> </w:t>
      </w:r>
      <w:r w:rsidR="00DB496B">
        <w:fldChar w:fldCharType="begin"/>
      </w:r>
      <w:r w:rsidR="00DB496B">
        <w:instrText xml:space="preserve"> SEQ Il·lustració \* ARABIC </w:instrText>
      </w:r>
      <w:r w:rsidR="00DB496B">
        <w:fldChar w:fldCharType="separate"/>
      </w:r>
      <w:r w:rsidR="00C952DF">
        <w:rPr>
          <w:noProof/>
        </w:rPr>
        <w:t>3</w:t>
      </w:r>
      <w:r w:rsidR="00DB496B">
        <w:rPr>
          <w:noProof/>
        </w:rPr>
        <w:fldChar w:fldCharType="end"/>
      </w:r>
      <w:bookmarkEnd w:id="126"/>
      <w:r w:rsidR="001B6ED8" w:rsidRPr="00CE36AA">
        <w:t xml:space="preserve">. Evolució de la població encarcerada i de la taxa d’efectius policials (policies per cada 100.000 habitants). </w:t>
      </w:r>
      <w:r w:rsidR="001B6ED8" w:rsidRPr="00CE36AA">
        <w:rPr>
          <w:i/>
        </w:rPr>
        <w:t>Rho de Spearman</w:t>
      </w:r>
      <w:r w:rsidR="001B6ED8" w:rsidRPr="00CE36AA">
        <w:t xml:space="preserve"> = 0,855, sig. = 0,000.</w:t>
      </w:r>
      <w:r w:rsidR="00D3072A" w:rsidRPr="00CE36AA">
        <w:t xml:space="preserve"> Període 2001-2009: </w:t>
      </w:r>
      <w:r w:rsidR="00D3072A" w:rsidRPr="00CE36AA">
        <w:rPr>
          <w:i/>
        </w:rPr>
        <w:t>Rho de Spearman</w:t>
      </w:r>
      <w:r w:rsidR="00D3072A" w:rsidRPr="00CE36AA">
        <w:t xml:space="preserve"> = 1.</w:t>
      </w:r>
      <w:bookmarkEnd w:id="127"/>
    </w:p>
    <w:p w:rsidR="002879B5" w:rsidRPr="00CE36AA" w:rsidRDefault="002879B5" w:rsidP="00FF2CB0"/>
    <w:p w:rsidR="000C013F" w:rsidRPr="00CE36AA" w:rsidRDefault="000C013F" w:rsidP="00FF2CB0">
      <w:r w:rsidRPr="00CE36AA">
        <w:t xml:space="preserve">Quant a </w:t>
      </w:r>
      <w:r w:rsidR="00C15A83">
        <w:t xml:space="preserve">la </w:t>
      </w:r>
      <w:r w:rsidRPr="00CE36AA">
        <w:t xml:space="preserve">quarta hipòtesi, una major activitat judicial comportaria més ingressos en presó, </w:t>
      </w:r>
      <w:r w:rsidR="003E6BBF" w:rsidRPr="00CE36AA">
        <w:t xml:space="preserve">efectivament, l’anàlisi evidencia que la població encarcerada creix al ritme que també ho fan les causes </w:t>
      </w:r>
      <w:r w:rsidR="00FD7797" w:rsidRPr="00CE36AA">
        <w:t xml:space="preserve">penals </w:t>
      </w:r>
      <w:r w:rsidR="003E6BBF" w:rsidRPr="00CE36AA">
        <w:t>resoltes per sentència</w:t>
      </w:r>
      <w:r w:rsidR="002B77C0" w:rsidRPr="00CE36AA">
        <w:rPr>
          <w:rStyle w:val="Refernciadenotaapeudepgina"/>
        </w:rPr>
        <w:footnoteReference w:id="4"/>
      </w:r>
      <w:r w:rsidR="003E6BBF" w:rsidRPr="00CE36AA">
        <w:t>, les causes penals registrades</w:t>
      </w:r>
      <w:r w:rsidR="002B77C0" w:rsidRPr="00CE36AA">
        <w:rPr>
          <w:rStyle w:val="Refernciadenotaapeudepgina"/>
        </w:rPr>
        <w:footnoteReference w:id="5"/>
      </w:r>
      <w:r w:rsidR="003E6BBF" w:rsidRPr="00CE36AA">
        <w:t xml:space="preserve"> o els fets penals</w:t>
      </w:r>
      <w:r w:rsidR="002B77C0" w:rsidRPr="00CE36AA">
        <w:rPr>
          <w:rStyle w:val="Refernciadenotaapeudepgina"/>
        </w:rPr>
        <w:footnoteReference w:id="6"/>
      </w:r>
      <w:r w:rsidR="00DE729D" w:rsidRPr="00CE36AA">
        <w:t xml:space="preserve"> (vegeu </w:t>
      </w:r>
      <w:r w:rsidR="00DE729D" w:rsidRPr="00CE36AA">
        <w:fldChar w:fldCharType="begin"/>
      </w:r>
      <w:r w:rsidR="00DE729D" w:rsidRPr="00CE36AA">
        <w:instrText xml:space="preserve"> REF _Ref462850777 \h </w:instrText>
      </w:r>
      <w:r w:rsidR="00CE36AA">
        <w:instrText xml:space="preserve"> \* MERGEFORMAT </w:instrText>
      </w:r>
      <w:r w:rsidR="00DE729D" w:rsidRPr="00CE36AA">
        <w:fldChar w:fldCharType="separate"/>
      </w:r>
      <w:r w:rsidR="009A1F67">
        <w:t>Gràfic</w:t>
      </w:r>
      <w:r w:rsidR="00CC16AE" w:rsidRPr="00CE36AA">
        <w:t xml:space="preserve"> </w:t>
      </w:r>
      <w:r w:rsidR="00CC16AE">
        <w:rPr>
          <w:noProof/>
        </w:rPr>
        <w:t>4</w:t>
      </w:r>
      <w:r w:rsidR="00DE729D" w:rsidRPr="00CE36AA">
        <w:fldChar w:fldCharType="end"/>
      </w:r>
      <w:r w:rsidR="00DE729D" w:rsidRPr="00CE36AA">
        <w:t>)</w:t>
      </w:r>
      <w:r w:rsidR="003E6BBF" w:rsidRPr="00CE36AA">
        <w:t>.</w:t>
      </w:r>
    </w:p>
    <w:p w:rsidR="000C013F" w:rsidRPr="00CE36AA" w:rsidRDefault="008F6053" w:rsidP="00FF2CB0">
      <w:r w:rsidRPr="00CE36AA">
        <w:t xml:space="preserve">Una altra variable que ha estat àmpliament utilitzada en parlar del creixement de la xifra d’encarcerats ha estat el major temps d’estada en presó, esdevingut per la derogació de les redempcions ordinàries i extraordinàries </w:t>
      </w:r>
      <w:r w:rsidR="00FD7797" w:rsidRPr="00CE36AA">
        <w:t>l’any</w:t>
      </w:r>
      <w:r w:rsidRPr="00CE36AA">
        <w:t xml:space="preserve"> 1995 i per l’increment de les condemnes fruit de les diverses reformes penals. </w:t>
      </w:r>
      <w:r w:rsidR="00752E4C">
        <w:t>El</w:t>
      </w:r>
      <w:r w:rsidRPr="00CE36AA">
        <w:t xml:space="preserve"> </w:t>
      </w:r>
      <w:r w:rsidRPr="00CE36AA">
        <w:fldChar w:fldCharType="begin"/>
      </w:r>
      <w:r w:rsidRPr="00CE36AA">
        <w:instrText xml:space="preserve"> REF _Ref462851675 \h </w:instrText>
      </w:r>
      <w:r w:rsidR="00CE36AA">
        <w:instrText xml:space="preserve"> \* MERGEFORMAT </w:instrText>
      </w:r>
      <w:r w:rsidRPr="00CE36AA">
        <w:fldChar w:fldCharType="separate"/>
      </w:r>
      <w:r w:rsidR="00752E4C">
        <w:t>g</w:t>
      </w:r>
      <w:r w:rsidR="009A1F67">
        <w:t>ràfic</w:t>
      </w:r>
      <w:r w:rsidR="00CC16AE" w:rsidRPr="00CE36AA">
        <w:t xml:space="preserve"> </w:t>
      </w:r>
      <w:r w:rsidR="00CC16AE">
        <w:rPr>
          <w:noProof/>
        </w:rPr>
        <w:t>5</w:t>
      </w:r>
      <w:r w:rsidRPr="00CE36AA">
        <w:fldChar w:fldCharType="end"/>
      </w:r>
      <w:r w:rsidRPr="00CE36AA">
        <w:t xml:space="preserve"> posa de manifest que així ha estat al llarg dels anys de creixement de la població encarcerada, fins a 2010, però que també, després d’aquest punt d’inflexió, el temps d’estada en la presó </w:t>
      </w:r>
      <w:r w:rsidR="00FD7797" w:rsidRPr="00CE36AA">
        <w:t>continua en ascens</w:t>
      </w:r>
      <w:r w:rsidRPr="00CE36AA">
        <w:t xml:space="preserve"> mentre que la xifra d’encarcerats disminueix. Sembla evident, doncs, que aquesta variable, si bé pot haver estat intervenint en el passat per omplir les nostres presons, en l’actualitat no sembla tenir relació amb el descens dels encarcerats.</w:t>
      </w:r>
    </w:p>
    <w:p w:rsidR="00DC29EE" w:rsidRPr="00CE36AA" w:rsidRDefault="00DC29EE" w:rsidP="00FF2CB0"/>
    <w:p w:rsidR="00083E2E" w:rsidRPr="00CE36AA" w:rsidRDefault="00083E2E" w:rsidP="00083E2E">
      <w:pPr>
        <w:keepNext/>
        <w:jc w:val="center"/>
      </w:pPr>
      <w:r w:rsidRPr="00CE36AA">
        <w:rPr>
          <w:noProof/>
          <w:sz w:val="14"/>
          <w:szCs w:val="14"/>
          <w:lang w:eastAsia="ca-ES"/>
        </w:rPr>
        <w:lastRenderedPageBreak/>
        <w:drawing>
          <wp:inline distT="0" distB="0" distL="0" distR="0" wp14:anchorId="2BDA401D" wp14:editId="6EDA6F99">
            <wp:extent cx="5760000" cy="2880000"/>
            <wp:effectExtent l="0" t="0" r="12700" b="15875"/>
            <wp:docPr id="27" name="Gràfic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083E2E" w:rsidRPr="00CE36AA" w:rsidRDefault="009A1F67" w:rsidP="00083E2E">
      <w:pPr>
        <w:pStyle w:val="Llegenda"/>
      </w:pPr>
      <w:bookmarkStart w:id="128" w:name="_Ref462850777"/>
      <w:bookmarkStart w:id="129" w:name="_Toc465293810"/>
      <w:r>
        <w:t>Gràfic</w:t>
      </w:r>
      <w:r w:rsidR="00083E2E" w:rsidRPr="00CE36AA">
        <w:t xml:space="preserve"> </w:t>
      </w:r>
      <w:r w:rsidR="00DB496B">
        <w:fldChar w:fldCharType="begin"/>
      </w:r>
      <w:r w:rsidR="00DB496B">
        <w:instrText xml:space="preserve"> SEQ Il·lustració \* ARABIC </w:instrText>
      </w:r>
      <w:r w:rsidR="00DB496B">
        <w:fldChar w:fldCharType="separate"/>
      </w:r>
      <w:r w:rsidR="00C952DF">
        <w:rPr>
          <w:noProof/>
        </w:rPr>
        <w:t>4</w:t>
      </w:r>
      <w:r w:rsidR="00DB496B">
        <w:rPr>
          <w:noProof/>
        </w:rPr>
        <w:fldChar w:fldCharType="end"/>
      </w:r>
      <w:bookmarkEnd w:id="128"/>
      <w:r w:rsidR="00083E2E" w:rsidRPr="00CE36AA">
        <w:t xml:space="preserve">. Evolució de la població encarcerada, de les causes resoltes per sentència, de les causes registrades i dels fets penals. Les dades de població encarcerada correlacionen amb les tres derivades de l’activitat judicial amb els valors de </w:t>
      </w:r>
      <w:r w:rsidR="00083E2E" w:rsidRPr="00CE36AA">
        <w:rPr>
          <w:i/>
        </w:rPr>
        <w:t>Rho d</w:t>
      </w:r>
      <w:r w:rsidR="00E82FB8">
        <w:rPr>
          <w:i/>
        </w:rPr>
        <w:t xml:space="preserve">e </w:t>
      </w:r>
      <w:r w:rsidR="00083E2E" w:rsidRPr="00CE36AA">
        <w:rPr>
          <w:i/>
        </w:rPr>
        <w:t>Spearm</w:t>
      </w:r>
      <w:r w:rsidR="00E82FB8">
        <w:rPr>
          <w:i/>
        </w:rPr>
        <w:t>a</w:t>
      </w:r>
      <w:r w:rsidR="00083E2E" w:rsidRPr="00CE36AA">
        <w:rPr>
          <w:i/>
        </w:rPr>
        <w:t>n</w:t>
      </w:r>
      <w:r w:rsidR="00083E2E" w:rsidRPr="00CE36AA">
        <w:t xml:space="preserve"> següents: 0,650, 0,897 i 0,791, respectivament, amb significacions de 0,006, 0,000 i 0,001.</w:t>
      </w:r>
      <w:r w:rsidR="00FD7797" w:rsidRPr="00CE36AA">
        <w:t xml:space="preserve"> Període 2010-2015: </w:t>
      </w:r>
      <w:r w:rsidR="00AE784E" w:rsidRPr="00CE36AA">
        <w:t xml:space="preserve">(1) </w:t>
      </w:r>
      <w:r w:rsidR="00FD7797" w:rsidRPr="00CE36AA">
        <w:rPr>
          <w:i/>
        </w:rPr>
        <w:t>Rho de Spearman</w:t>
      </w:r>
      <w:r w:rsidR="00FD7797" w:rsidRPr="00CE36AA">
        <w:t xml:space="preserve"> = -1, entre població encarcerada i causes resoltes per sentència</w:t>
      </w:r>
      <w:r w:rsidR="00AE784E" w:rsidRPr="00CE36AA">
        <w:t xml:space="preserve">; (2) </w:t>
      </w:r>
      <w:r w:rsidR="00AE784E" w:rsidRPr="00CE36AA">
        <w:rPr>
          <w:i/>
        </w:rPr>
        <w:t>Rho de Spearman</w:t>
      </w:r>
      <w:r w:rsidR="00AE784E" w:rsidRPr="00CE36AA">
        <w:t xml:space="preserve"> = 1, entre població encarcerada i fets penals coneguts per la policia</w:t>
      </w:r>
      <w:r w:rsidR="00B5086D" w:rsidRPr="00CE36AA">
        <w:t>.</w:t>
      </w:r>
      <w:bookmarkEnd w:id="129"/>
    </w:p>
    <w:p w:rsidR="00083E2E" w:rsidRPr="00CE36AA" w:rsidRDefault="00083E2E" w:rsidP="00083E2E"/>
    <w:p w:rsidR="00E945BC" w:rsidRPr="00CE36AA" w:rsidRDefault="00CA71BE" w:rsidP="00931EC3">
      <w:pPr>
        <w:keepNext/>
        <w:jc w:val="center"/>
      </w:pPr>
      <w:r w:rsidRPr="00CE36AA">
        <w:rPr>
          <w:noProof/>
          <w:lang w:eastAsia="ca-ES"/>
        </w:rPr>
        <w:drawing>
          <wp:inline distT="0" distB="0" distL="0" distR="0" wp14:anchorId="4CF84355" wp14:editId="6B3BEC5E">
            <wp:extent cx="5760000" cy="2880000"/>
            <wp:effectExtent l="0" t="0" r="12700" b="15875"/>
            <wp:docPr id="24" name="Gràfic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E945BC" w:rsidRPr="00CE36AA" w:rsidRDefault="009A1F67" w:rsidP="00931EC3">
      <w:pPr>
        <w:pStyle w:val="Llegenda"/>
      </w:pPr>
      <w:bookmarkStart w:id="130" w:name="_Ref462851675"/>
      <w:bookmarkStart w:id="131" w:name="_Toc465293811"/>
      <w:r>
        <w:t>Gràfic</w:t>
      </w:r>
      <w:r w:rsidR="00931EC3" w:rsidRPr="00CE36AA">
        <w:t xml:space="preserve"> </w:t>
      </w:r>
      <w:r w:rsidR="00DB496B">
        <w:fldChar w:fldCharType="begin"/>
      </w:r>
      <w:r w:rsidR="00DB496B">
        <w:instrText xml:space="preserve"> SEQ Il·lustració \* ARABIC </w:instrText>
      </w:r>
      <w:r w:rsidR="00DB496B">
        <w:fldChar w:fldCharType="separate"/>
      </w:r>
      <w:r w:rsidR="00C952DF">
        <w:rPr>
          <w:noProof/>
        </w:rPr>
        <w:t>5</w:t>
      </w:r>
      <w:r w:rsidR="00DB496B">
        <w:rPr>
          <w:noProof/>
        </w:rPr>
        <w:fldChar w:fldCharType="end"/>
      </w:r>
      <w:bookmarkEnd w:id="130"/>
      <w:r w:rsidR="00931EC3" w:rsidRPr="00CE36AA">
        <w:t>. Evolució de la població encarcerada i el temps (en dies) d’estada en presó</w:t>
      </w:r>
      <w:r w:rsidR="005D26DF" w:rsidRPr="00CE36AA">
        <w:t xml:space="preserve"> (</w:t>
      </w:r>
      <w:r w:rsidR="00931EC3" w:rsidRPr="00CE36AA">
        <w:rPr>
          <w:i/>
        </w:rPr>
        <w:t>Rho de Spearman</w:t>
      </w:r>
      <w:r w:rsidR="00931EC3" w:rsidRPr="00CE36AA">
        <w:t xml:space="preserve"> = 0,807, sig. = 0,000).</w:t>
      </w:r>
      <w:bookmarkEnd w:id="131"/>
    </w:p>
    <w:p w:rsidR="006C1B44" w:rsidRPr="00CE36AA" w:rsidRDefault="006C1B44" w:rsidP="00FF2CB0">
      <w:r w:rsidRPr="00CE36AA">
        <w:t xml:space="preserve">L’ús o abús de la presó preventiva, a priori, també podria ser causa d’un major nombre d’encarcerats. Tanmateix, les dades sobre percentatge de persones encarcerades en situació de preventiu és, potser, la que dibuixa una relació inversa més perfecta amb l’evolució de les xifres d’encarcerats (vegeu </w:t>
      </w:r>
      <w:r w:rsidRPr="00CE36AA">
        <w:fldChar w:fldCharType="begin"/>
      </w:r>
      <w:r w:rsidRPr="00CE36AA">
        <w:instrText xml:space="preserve"> REF _Ref462852895 \h </w:instrText>
      </w:r>
      <w:r w:rsidR="00CE36AA">
        <w:instrText xml:space="preserve"> \* MERGEFORMAT </w:instrText>
      </w:r>
      <w:r w:rsidRPr="00CE36AA">
        <w:fldChar w:fldCharType="separate"/>
      </w:r>
      <w:r w:rsidR="009A1F67">
        <w:t>Gràfic</w:t>
      </w:r>
      <w:r w:rsidR="00CC16AE" w:rsidRPr="00CE36AA">
        <w:t xml:space="preserve"> </w:t>
      </w:r>
      <w:r w:rsidR="00CC16AE">
        <w:rPr>
          <w:noProof/>
        </w:rPr>
        <w:t>6</w:t>
      </w:r>
      <w:r w:rsidRPr="00CE36AA">
        <w:fldChar w:fldCharType="end"/>
      </w:r>
      <w:r w:rsidRPr="00CE36AA">
        <w:t xml:space="preserve">). </w:t>
      </w:r>
      <w:r w:rsidR="009C23BE" w:rsidRPr="00CE36AA">
        <w:t>Els ingressos en presó de persones preventives</w:t>
      </w:r>
      <w:r w:rsidR="00D654E3" w:rsidRPr="00CE36AA">
        <w:t xml:space="preserve"> (vegeu </w:t>
      </w:r>
      <w:r w:rsidR="00D654E3" w:rsidRPr="00CE36AA">
        <w:fldChar w:fldCharType="begin"/>
      </w:r>
      <w:r w:rsidR="00D654E3" w:rsidRPr="00CE36AA">
        <w:instrText xml:space="preserve"> REF _Ref462999708 \h </w:instrText>
      </w:r>
      <w:r w:rsidR="00CE36AA">
        <w:instrText xml:space="preserve"> \* MERGEFORMAT </w:instrText>
      </w:r>
      <w:r w:rsidR="00D654E3" w:rsidRPr="00CE36AA">
        <w:fldChar w:fldCharType="separate"/>
      </w:r>
      <w:r w:rsidR="009A1F67">
        <w:t>Gràfic</w:t>
      </w:r>
      <w:r w:rsidR="00CC16AE" w:rsidRPr="00CE36AA">
        <w:t xml:space="preserve"> </w:t>
      </w:r>
      <w:r w:rsidR="00CC16AE">
        <w:rPr>
          <w:noProof/>
        </w:rPr>
        <w:t>7</w:t>
      </w:r>
      <w:r w:rsidR="00D654E3" w:rsidRPr="00CE36AA">
        <w:fldChar w:fldCharType="end"/>
      </w:r>
      <w:r w:rsidR="00D654E3" w:rsidRPr="00CE36AA">
        <w:t>)</w:t>
      </w:r>
      <w:r w:rsidR="009C23BE" w:rsidRPr="00CE36AA">
        <w:t xml:space="preserve"> i la </w:t>
      </w:r>
      <w:r w:rsidRPr="00CE36AA">
        <w:t xml:space="preserve">taxa de població preventiva decreix a mesura que augmenta la població. És a dir, la població penitenciària ha crescut no per un ús excessiu de la presó preventiva, sinó a pesar d’un menor ús. </w:t>
      </w:r>
      <w:r w:rsidR="009C23BE" w:rsidRPr="00CE36AA">
        <w:t xml:space="preserve">Només durant l’últim període analitzat, 2010-2015, hi ha una correlació directa entre descens de la població encarcerada i descens dels </w:t>
      </w:r>
      <w:r w:rsidR="009C23BE" w:rsidRPr="00CE36AA">
        <w:lastRenderedPageBreak/>
        <w:t xml:space="preserve">ingressos de persones preventives. </w:t>
      </w:r>
      <w:r w:rsidRPr="00CE36AA">
        <w:t>La causa no és una altra que el creixement dels penats, segurament a causa de la major activitat judicial, com ja s’ha vist anteriorment</w:t>
      </w:r>
      <w:r w:rsidR="00752E4C">
        <w:t>, i com ho demostra el</w:t>
      </w:r>
      <w:r w:rsidR="00AF3CD7" w:rsidRPr="00CE36AA">
        <w:t xml:space="preserve"> </w:t>
      </w:r>
      <w:r w:rsidR="00C77827" w:rsidRPr="00CE36AA">
        <w:fldChar w:fldCharType="begin"/>
      </w:r>
      <w:r w:rsidR="00C77827" w:rsidRPr="00CE36AA">
        <w:instrText xml:space="preserve"> REF _Ref462853675 \h </w:instrText>
      </w:r>
      <w:r w:rsidR="00CE36AA">
        <w:instrText xml:space="preserve"> \* MERGEFORMAT </w:instrText>
      </w:r>
      <w:r w:rsidR="00C77827" w:rsidRPr="00CE36AA">
        <w:fldChar w:fldCharType="separate"/>
      </w:r>
      <w:r w:rsidR="009A1F67">
        <w:t>Gràfic</w:t>
      </w:r>
      <w:r w:rsidR="00CC16AE" w:rsidRPr="00CE36AA">
        <w:t xml:space="preserve"> </w:t>
      </w:r>
      <w:r w:rsidR="00CC16AE">
        <w:rPr>
          <w:noProof/>
        </w:rPr>
        <w:t>8</w:t>
      </w:r>
      <w:r w:rsidR="00C77827" w:rsidRPr="00CE36AA">
        <w:fldChar w:fldCharType="end"/>
      </w:r>
      <w:r w:rsidR="00AF3CD7" w:rsidRPr="00CE36AA">
        <w:t>, en què hi ha una relació inversa entre taxa de preventius i causes resoltes per sentència</w:t>
      </w:r>
      <w:r w:rsidR="00736FD4" w:rsidRPr="00CE36AA">
        <w:t>.</w:t>
      </w:r>
    </w:p>
    <w:p w:rsidR="006C1B44" w:rsidRPr="00CE36AA" w:rsidRDefault="006C1B44" w:rsidP="00FF2CB0"/>
    <w:p w:rsidR="004A559E" w:rsidRPr="00CE36AA" w:rsidRDefault="004A559E" w:rsidP="009D0F5E">
      <w:pPr>
        <w:keepNext/>
        <w:jc w:val="center"/>
      </w:pPr>
      <w:r w:rsidRPr="00CE36AA">
        <w:rPr>
          <w:noProof/>
          <w:lang w:eastAsia="ca-ES"/>
        </w:rPr>
        <w:drawing>
          <wp:inline distT="0" distB="0" distL="0" distR="0" wp14:anchorId="74E7BFD7" wp14:editId="79B7984F">
            <wp:extent cx="5760000" cy="2880000"/>
            <wp:effectExtent l="0" t="0" r="12700" b="15875"/>
            <wp:docPr id="28" name="Gràfic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4A559E" w:rsidRPr="00CE36AA" w:rsidRDefault="009A1F67" w:rsidP="009D0F5E">
      <w:pPr>
        <w:pStyle w:val="Llegenda"/>
      </w:pPr>
      <w:bookmarkStart w:id="132" w:name="_Ref462852895"/>
      <w:bookmarkStart w:id="133" w:name="_Toc465293812"/>
      <w:r>
        <w:t>Gràfic</w:t>
      </w:r>
      <w:r w:rsidR="009D0F5E" w:rsidRPr="00CE36AA">
        <w:t xml:space="preserve"> </w:t>
      </w:r>
      <w:r w:rsidR="00DB496B">
        <w:fldChar w:fldCharType="begin"/>
      </w:r>
      <w:r w:rsidR="00DB496B">
        <w:instrText xml:space="preserve"> SEQ Il·lustració \* ARABIC </w:instrText>
      </w:r>
      <w:r w:rsidR="00DB496B">
        <w:fldChar w:fldCharType="separate"/>
      </w:r>
      <w:r w:rsidR="00C952DF">
        <w:rPr>
          <w:noProof/>
        </w:rPr>
        <w:t>6</w:t>
      </w:r>
      <w:r w:rsidR="00DB496B">
        <w:rPr>
          <w:noProof/>
        </w:rPr>
        <w:fldChar w:fldCharType="end"/>
      </w:r>
      <w:bookmarkEnd w:id="132"/>
      <w:r w:rsidR="009D0F5E" w:rsidRPr="00CE36AA">
        <w:t>. Evolució de la població encarcerada i del percentatge de preventius encarcerats</w:t>
      </w:r>
      <w:r w:rsidR="005D26DF" w:rsidRPr="00CE36AA">
        <w:t xml:space="preserve"> (</w:t>
      </w:r>
      <w:r w:rsidR="00593AA3" w:rsidRPr="00CE36AA">
        <w:rPr>
          <w:i/>
        </w:rPr>
        <w:t>Rho de Spearman</w:t>
      </w:r>
      <w:r w:rsidR="00593AA3" w:rsidRPr="00CE36AA">
        <w:t xml:space="preserve"> = -0,769, sig. = 0,000).</w:t>
      </w:r>
      <w:bookmarkEnd w:id="133"/>
    </w:p>
    <w:p w:rsidR="004A559E" w:rsidRPr="00CE36AA" w:rsidRDefault="004A559E" w:rsidP="00FF2CB0"/>
    <w:p w:rsidR="009C23BE" w:rsidRPr="00CE36AA" w:rsidRDefault="009C23BE" w:rsidP="009C23BE">
      <w:r w:rsidRPr="00CE36AA">
        <w:t xml:space="preserve">Una de les causes més argumentades del creixement de la població encarcerada és l’acumulació de persones en les presons quan n’entren més de les que en surten. Durant tota l’evolució analitzada, només en dos moments, de l’any 1995 al 1996 i des del 2012 al 2015, el nombre de persones que surten de presó són pràcticament les mateixes que entren i, fins i tot, les superen en el 2015. </w:t>
      </w:r>
      <w:r w:rsidR="00752E4C">
        <w:t>El</w:t>
      </w:r>
      <w:r w:rsidRPr="00CE36AA">
        <w:t xml:space="preserve"> </w:t>
      </w:r>
      <w:r w:rsidR="00967862" w:rsidRPr="00CE36AA">
        <w:fldChar w:fldCharType="begin"/>
      </w:r>
      <w:r w:rsidR="00967862" w:rsidRPr="00CE36AA">
        <w:instrText xml:space="preserve"> REF _Ref463347849 \h </w:instrText>
      </w:r>
      <w:r w:rsidR="00CE36AA">
        <w:instrText xml:space="preserve"> \* MERGEFORMAT </w:instrText>
      </w:r>
      <w:r w:rsidR="00967862" w:rsidRPr="00CE36AA">
        <w:fldChar w:fldCharType="separate"/>
      </w:r>
      <w:r w:rsidR="00752E4C">
        <w:t>g</w:t>
      </w:r>
      <w:r w:rsidR="009A1F67">
        <w:t>ràfic</w:t>
      </w:r>
      <w:r w:rsidR="00CC16AE" w:rsidRPr="00CE36AA">
        <w:t xml:space="preserve"> </w:t>
      </w:r>
      <w:r w:rsidR="00CC16AE">
        <w:rPr>
          <w:noProof/>
        </w:rPr>
        <w:t>10</w:t>
      </w:r>
      <w:r w:rsidR="00967862" w:rsidRPr="00CE36AA">
        <w:fldChar w:fldCharType="end"/>
      </w:r>
      <w:r w:rsidRPr="00CE36AA">
        <w:t xml:space="preserve"> evidencia que quan hi ha més distància entre els que hi entren i els que en surten, és quan es produeix el veritable creixement. Si es para atenció a les àrees que es formen entre la línia d’altes</w:t>
      </w:r>
      <w:r w:rsidR="00DD7486" w:rsidRPr="00CE36AA">
        <w:t xml:space="preserve"> (entrades)</w:t>
      </w:r>
      <w:r w:rsidRPr="00CE36AA">
        <w:t xml:space="preserve"> i la línia de les baixes</w:t>
      </w:r>
      <w:r w:rsidR="00DD7486" w:rsidRPr="00CE36AA">
        <w:t xml:space="preserve"> (sortides)</w:t>
      </w:r>
      <w:r w:rsidRPr="00CE36AA">
        <w:t>, s’evidencia que el major volum d’àrea genera una major pendent en la línia creixent de població encarcerada. A la inversa, la inexistència d’àrees entre aquestes dues línies es tradueix en un decreixement immediat de la població encarcerada.</w:t>
      </w:r>
    </w:p>
    <w:p w:rsidR="009C23BE" w:rsidRPr="00CE36AA" w:rsidRDefault="009C23BE" w:rsidP="009C23BE"/>
    <w:p w:rsidR="00291E3E" w:rsidRPr="00CE36AA" w:rsidRDefault="00291E3E" w:rsidP="00291E3E">
      <w:pPr>
        <w:keepNext/>
      </w:pPr>
      <w:r w:rsidRPr="00CE36AA">
        <w:rPr>
          <w:noProof/>
          <w:lang w:eastAsia="ca-ES"/>
        </w:rPr>
        <w:lastRenderedPageBreak/>
        <w:drawing>
          <wp:inline distT="0" distB="0" distL="0" distR="0" wp14:anchorId="135AFC9F" wp14:editId="249A2539">
            <wp:extent cx="5760000" cy="2880000"/>
            <wp:effectExtent l="0" t="0" r="12700" b="15875"/>
            <wp:docPr id="30" name="Gràfic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291E3E" w:rsidRPr="00CE36AA" w:rsidRDefault="009A1F67" w:rsidP="00291E3E">
      <w:pPr>
        <w:pStyle w:val="Llegenda"/>
      </w:pPr>
      <w:bookmarkStart w:id="134" w:name="_Ref462999708"/>
      <w:bookmarkStart w:id="135" w:name="_Toc465293813"/>
      <w:r>
        <w:t>Gràfic</w:t>
      </w:r>
      <w:r w:rsidR="00291E3E" w:rsidRPr="00CE36AA">
        <w:t xml:space="preserve"> </w:t>
      </w:r>
      <w:r w:rsidR="00DB496B">
        <w:fldChar w:fldCharType="begin"/>
      </w:r>
      <w:r w:rsidR="00DB496B">
        <w:instrText xml:space="preserve"> SEQ Il·lustració \* ARABIC </w:instrText>
      </w:r>
      <w:r w:rsidR="00DB496B">
        <w:fldChar w:fldCharType="separate"/>
      </w:r>
      <w:r w:rsidR="00C952DF">
        <w:rPr>
          <w:noProof/>
        </w:rPr>
        <w:t>7</w:t>
      </w:r>
      <w:r w:rsidR="00DB496B">
        <w:rPr>
          <w:noProof/>
        </w:rPr>
        <w:fldChar w:fldCharType="end"/>
      </w:r>
      <w:bookmarkEnd w:id="134"/>
      <w:r w:rsidR="00291E3E" w:rsidRPr="00CE36AA">
        <w:t>. Evolució de la població encarcerada i dels ingressos en presó de persones preventives</w:t>
      </w:r>
      <w:r w:rsidR="005D26DF" w:rsidRPr="00CE36AA">
        <w:t xml:space="preserve"> (</w:t>
      </w:r>
      <w:r w:rsidR="00291E3E" w:rsidRPr="00CE36AA">
        <w:rPr>
          <w:i/>
        </w:rPr>
        <w:t>Rho de Spearman</w:t>
      </w:r>
      <w:r w:rsidR="00291E3E" w:rsidRPr="00CE36AA">
        <w:t xml:space="preserve"> = -0,501, sig. = 0,021).</w:t>
      </w:r>
      <w:r w:rsidR="0005533F" w:rsidRPr="00CE36AA">
        <w:t xml:space="preserve"> Període 1991-1994: </w:t>
      </w:r>
      <w:r w:rsidR="0005533F" w:rsidRPr="00CE36AA">
        <w:rPr>
          <w:i/>
        </w:rPr>
        <w:t>Rho de Spearman</w:t>
      </w:r>
      <w:r w:rsidR="0005533F" w:rsidRPr="00CE36AA">
        <w:t xml:space="preserve"> = 0,926, sig. = 0,000. Període 2010-2015: </w:t>
      </w:r>
      <w:r w:rsidR="0005533F" w:rsidRPr="00CE36AA">
        <w:rPr>
          <w:i/>
        </w:rPr>
        <w:t>Rho de Spearman</w:t>
      </w:r>
      <w:r w:rsidR="0005533F" w:rsidRPr="00CE36AA">
        <w:t xml:space="preserve"> = 0,886, sig. = 0,019.</w:t>
      </w:r>
      <w:bookmarkEnd w:id="135"/>
      <w:r w:rsidR="0005533F" w:rsidRPr="00CE36AA">
        <w:t xml:space="preserve"> </w:t>
      </w:r>
    </w:p>
    <w:p w:rsidR="00291E3E" w:rsidRPr="00CE36AA" w:rsidRDefault="00291E3E" w:rsidP="00FF2CB0"/>
    <w:p w:rsidR="004A559E" w:rsidRPr="00CE36AA" w:rsidRDefault="00507684" w:rsidP="00507684">
      <w:pPr>
        <w:keepNext/>
        <w:jc w:val="center"/>
      </w:pPr>
      <w:r w:rsidRPr="00CE36AA">
        <w:rPr>
          <w:noProof/>
          <w:lang w:eastAsia="ca-ES"/>
        </w:rPr>
        <w:drawing>
          <wp:inline distT="0" distB="0" distL="0" distR="0" wp14:anchorId="4892BDCB" wp14:editId="4087F687">
            <wp:extent cx="5760000" cy="2880000"/>
            <wp:effectExtent l="0" t="0" r="12700" b="15875"/>
            <wp:docPr id="29" name="Gràfic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507684" w:rsidRPr="00CE36AA" w:rsidRDefault="009A1F67" w:rsidP="00507684">
      <w:pPr>
        <w:pStyle w:val="Llegenda"/>
      </w:pPr>
      <w:bookmarkStart w:id="136" w:name="_Ref462853675"/>
      <w:bookmarkStart w:id="137" w:name="_Toc465293814"/>
      <w:r>
        <w:t>Gràfic</w:t>
      </w:r>
      <w:r w:rsidR="00507684" w:rsidRPr="00CE36AA">
        <w:t xml:space="preserve"> </w:t>
      </w:r>
      <w:r w:rsidR="00DB496B">
        <w:fldChar w:fldCharType="begin"/>
      </w:r>
      <w:r w:rsidR="00DB496B">
        <w:instrText xml:space="preserve"> SEQ Il·lustració \* ARABIC </w:instrText>
      </w:r>
      <w:r w:rsidR="00DB496B">
        <w:fldChar w:fldCharType="separate"/>
      </w:r>
      <w:r w:rsidR="00C952DF">
        <w:rPr>
          <w:noProof/>
        </w:rPr>
        <w:t>8</w:t>
      </w:r>
      <w:r w:rsidR="00DB496B">
        <w:rPr>
          <w:noProof/>
        </w:rPr>
        <w:fldChar w:fldCharType="end"/>
      </w:r>
      <w:bookmarkEnd w:id="136"/>
      <w:r w:rsidR="00507684" w:rsidRPr="00CE36AA">
        <w:t xml:space="preserve">. </w:t>
      </w:r>
      <w:r w:rsidR="00C77827" w:rsidRPr="00CE36AA">
        <w:t xml:space="preserve">Evolució de les causes resoltes per sentència i del percentatge de preventius encarcerats </w:t>
      </w:r>
      <w:r w:rsidR="005D26DF" w:rsidRPr="00CE36AA">
        <w:t>(</w:t>
      </w:r>
      <w:r w:rsidR="00C77827" w:rsidRPr="00CE36AA">
        <w:rPr>
          <w:i/>
        </w:rPr>
        <w:t>Rho de Spearman</w:t>
      </w:r>
      <w:r w:rsidR="00C77827" w:rsidRPr="00CE36AA">
        <w:t xml:space="preserve"> = -0,565, sig. = 0,023).</w:t>
      </w:r>
      <w:bookmarkEnd w:id="137"/>
    </w:p>
    <w:p w:rsidR="00507684" w:rsidRPr="00CE36AA" w:rsidRDefault="00507684" w:rsidP="00507684"/>
    <w:p w:rsidR="001D24A4" w:rsidRPr="00CE36AA" w:rsidRDefault="001D24A4" w:rsidP="004C4B94">
      <w:pPr>
        <w:keepNext/>
      </w:pPr>
      <w:r w:rsidRPr="00CE36AA">
        <w:rPr>
          <w:noProof/>
          <w:lang w:eastAsia="ca-ES"/>
        </w:rPr>
        <w:lastRenderedPageBreak/>
        <w:drawing>
          <wp:inline distT="0" distB="0" distL="0" distR="0" wp14:anchorId="3B097475" wp14:editId="74C5770E">
            <wp:extent cx="5760000" cy="2880000"/>
            <wp:effectExtent l="0" t="0" r="12700" b="15875"/>
            <wp:docPr id="31" name="Gràfic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4C4B94" w:rsidRPr="00CE36AA" w:rsidRDefault="009A1F67" w:rsidP="004C4B94">
      <w:pPr>
        <w:pStyle w:val="Llegenda"/>
      </w:pPr>
      <w:bookmarkStart w:id="138" w:name="_Ref463001969"/>
      <w:bookmarkStart w:id="139" w:name="_Toc465293815"/>
      <w:r>
        <w:t>Gràfic</w:t>
      </w:r>
      <w:r w:rsidR="004C4B94" w:rsidRPr="00CE36AA">
        <w:t xml:space="preserve"> </w:t>
      </w:r>
      <w:r w:rsidR="00DB496B">
        <w:fldChar w:fldCharType="begin"/>
      </w:r>
      <w:r w:rsidR="00DB496B">
        <w:instrText xml:space="preserve"> SEQ Il·lustració \* ARABIC </w:instrText>
      </w:r>
      <w:r w:rsidR="00DB496B">
        <w:fldChar w:fldCharType="separate"/>
      </w:r>
      <w:r w:rsidR="00C952DF">
        <w:rPr>
          <w:noProof/>
        </w:rPr>
        <w:t>9</w:t>
      </w:r>
      <w:r w:rsidR="00DB496B">
        <w:rPr>
          <w:noProof/>
        </w:rPr>
        <w:fldChar w:fldCharType="end"/>
      </w:r>
      <w:bookmarkEnd w:id="138"/>
      <w:r w:rsidR="004C4B94" w:rsidRPr="00CE36AA">
        <w:t>. Evolució de la població encarcerada i de les sortides en llibertat de persones preventives.</w:t>
      </w:r>
      <w:r w:rsidR="00391B08" w:rsidRPr="00CE36AA">
        <w:t xml:space="preserve"> Període 1995-2000: </w:t>
      </w:r>
      <w:r w:rsidR="00391B08" w:rsidRPr="00CE36AA">
        <w:rPr>
          <w:i/>
        </w:rPr>
        <w:t>Rho de Spearman</w:t>
      </w:r>
      <w:r w:rsidR="00391B08" w:rsidRPr="00CE36AA">
        <w:t xml:space="preserve"> = 0,829, sig. = 0,042. Període 2010-2015: </w:t>
      </w:r>
      <w:r w:rsidR="00391B08" w:rsidRPr="00CE36AA">
        <w:rPr>
          <w:i/>
        </w:rPr>
        <w:t>Rho de Spearman</w:t>
      </w:r>
      <w:r w:rsidR="00391B08" w:rsidRPr="00CE36AA">
        <w:t xml:space="preserve"> = 1.</w:t>
      </w:r>
      <w:bookmarkEnd w:id="139"/>
    </w:p>
    <w:p w:rsidR="007D704D" w:rsidRPr="00CE36AA" w:rsidRDefault="007D704D" w:rsidP="004A559E"/>
    <w:p w:rsidR="006F7971" w:rsidRPr="00CE36AA" w:rsidRDefault="006F7971" w:rsidP="006F7971">
      <w:pPr>
        <w:keepNext/>
      </w:pPr>
      <w:r w:rsidRPr="00CE36AA">
        <w:rPr>
          <w:noProof/>
          <w:lang w:eastAsia="ca-ES"/>
        </w:rPr>
        <w:drawing>
          <wp:inline distT="0" distB="0" distL="0" distR="0" wp14:anchorId="56754A06" wp14:editId="6CA59E45">
            <wp:extent cx="5760000" cy="2880000"/>
            <wp:effectExtent l="0" t="0" r="12700" b="15875"/>
            <wp:docPr id="2" name="Gràfic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6F7971" w:rsidRPr="00CE36AA" w:rsidRDefault="009A1F67" w:rsidP="006F7971">
      <w:pPr>
        <w:pStyle w:val="Llegenda"/>
      </w:pPr>
      <w:bookmarkStart w:id="140" w:name="_Ref463347849"/>
      <w:bookmarkStart w:id="141" w:name="_Toc465293816"/>
      <w:r>
        <w:t>Gràfic</w:t>
      </w:r>
      <w:r w:rsidR="006F7971" w:rsidRPr="00CE36AA">
        <w:t xml:space="preserve"> </w:t>
      </w:r>
      <w:r w:rsidR="00DB496B">
        <w:fldChar w:fldCharType="begin"/>
      </w:r>
      <w:r w:rsidR="00DB496B">
        <w:instrText xml:space="preserve"> SEQ Il·lustració \* ARABIC </w:instrText>
      </w:r>
      <w:r w:rsidR="00DB496B">
        <w:fldChar w:fldCharType="separate"/>
      </w:r>
      <w:r w:rsidR="00C952DF">
        <w:rPr>
          <w:noProof/>
        </w:rPr>
        <w:t>10</w:t>
      </w:r>
      <w:r w:rsidR="00DB496B">
        <w:rPr>
          <w:noProof/>
        </w:rPr>
        <w:fldChar w:fldCharType="end"/>
      </w:r>
      <w:bookmarkEnd w:id="140"/>
      <w:r w:rsidR="006F7971" w:rsidRPr="00CE36AA">
        <w:t>. Població penitenciària l’últim dia de cada any i entrades i sortides de la presó (altes i baixes) produïdes cada any des de llibertat o per llibertat.</w:t>
      </w:r>
      <w:bookmarkEnd w:id="141"/>
    </w:p>
    <w:p w:rsidR="006F7971" w:rsidRPr="00CE36AA" w:rsidRDefault="006F7971" w:rsidP="006F7971"/>
    <w:p w:rsidR="004C7289" w:rsidRPr="00CE36AA" w:rsidRDefault="004C7289" w:rsidP="004C7289">
      <w:pPr>
        <w:keepNext/>
      </w:pPr>
      <w:r w:rsidRPr="00CE36AA">
        <w:rPr>
          <w:noProof/>
          <w:lang w:eastAsia="ca-ES"/>
        </w:rPr>
        <w:lastRenderedPageBreak/>
        <w:drawing>
          <wp:inline distT="0" distB="0" distL="0" distR="0" wp14:anchorId="28B5B1F5" wp14:editId="5D78C544">
            <wp:extent cx="5760000" cy="2880000"/>
            <wp:effectExtent l="0" t="0" r="12700" b="15875"/>
            <wp:docPr id="17" name="Gràfic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FF01CB" w:rsidRPr="00CE36AA" w:rsidRDefault="009A1F67" w:rsidP="004C7289">
      <w:pPr>
        <w:pStyle w:val="Llegenda"/>
      </w:pPr>
      <w:bookmarkStart w:id="142" w:name="_Ref462925445"/>
      <w:bookmarkStart w:id="143" w:name="_Toc465293817"/>
      <w:r>
        <w:t>Gràfic</w:t>
      </w:r>
      <w:r w:rsidR="004C7289" w:rsidRPr="00CE36AA">
        <w:t xml:space="preserve"> </w:t>
      </w:r>
      <w:r w:rsidR="00DB496B">
        <w:fldChar w:fldCharType="begin"/>
      </w:r>
      <w:r w:rsidR="00DB496B">
        <w:instrText xml:space="preserve"> SEQ Il·lustració \* ARABIC </w:instrText>
      </w:r>
      <w:r w:rsidR="00DB496B">
        <w:fldChar w:fldCharType="separate"/>
      </w:r>
      <w:r w:rsidR="00C952DF">
        <w:rPr>
          <w:noProof/>
        </w:rPr>
        <w:t>11</w:t>
      </w:r>
      <w:r w:rsidR="00DB496B">
        <w:rPr>
          <w:noProof/>
        </w:rPr>
        <w:fldChar w:fldCharType="end"/>
      </w:r>
      <w:bookmarkEnd w:id="142"/>
      <w:r w:rsidR="004C7289" w:rsidRPr="00CE36AA">
        <w:t xml:space="preserve">. </w:t>
      </w:r>
      <w:r w:rsidR="00FF01CB" w:rsidRPr="00CE36AA">
        <w:t>Evolució de la població encarcerada</w:t>
      </w:r>
      <w:r w:rsidR="004C7289" w:rsidRPr="00CE36AA">
        <w:t xml:space="preserve"> l’últim dia de cada any i </w:t>
      </w:r>
      <w:r w:rsidR="00FF01CB" w:rsidRPr="00CE36AA">
        <w:t>de l’</w:t>
      </w:r>
      <w:r w:rsidR="00286F13">
        <w:t>í</w:t>
      </w:r>
      <w:r w:rsidR="00FF01CB" w:rsidRPr="00CE36AA">
        <w:t xml:space="preserve">ndex PIB. </w:t>
      </w:r>
      <w:r w:rsidR="004C7289" w:rsidRPr="00CE36AA">
        <w:rPr>
          <w:i/>
        </w:rPr>
        <w:t>Rho de Spearman</w:t>
      </w:r>
      <w:r w:rsidR="004C7289" w:rsidRPr="00CE36AA">
        <w:t xml:space="preserve"> = 0,</w:t>
      </w:r>
      <w:r w:rsidR="00FF01CB" w:rsidRPr="00CE36AA">
        <w:t>944</w:t>
      </w:r>
      <w:r w:rsidR="004C7289" w:rsidRPr="00CE36AA">
        <w:t>, sig. = 0,0</w:t>
      </w:r>
      <w:r w:rsidR="00FF01CB" w:rsidRPr="00CE36AA">
        <w:t>00</w:t>
      </w:r>
      <w:r w:rsidR="004C7289" w:rsidRPr="00CE36AA">
        <w:t>).</w:t>
      </w:r>
      <w:bookmarkEnd w:id="143"/>
    </w:p>
    <w:p w:rsidR="00065640" w:rsidRPr="00CE36AA" w:rsidRDefault="00065640" w:rsidP="00FF01CB"/>
    <w:p w:rsidR="005F638C" w:rsidRPr="00CE36AA" w:rsidRDefault="005F638C" w:rsidP="005F638C">
      <w:pPr>
        <w:keepNext/>
      </w:pPr>
      <w:r w:rsidRPr="00CE36AA">
        <w:rPr>
          <w:noProof/>
          <w:lang w:eastAsia="ca-ES"/>
        </w:rPr>
        <w:drawing>
          <wp:inline distT="0" distB="0" distL="0" distR="0" wp14:anchorId="7D34A38E" wp14:editId="67738754">
            <wp:extent cx="5760000" cy="2880000"/>
            <wp:effectExtent l="0" t="0" r="12700" b="15875"/>
            <wp:docPr id="1" name="Gràfic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5F638C" w:rsidRPr="00CE36AA" w:rsidRDefault="009A1F67" w:rsidP="005F638C">
      <w:pPr>
        <w:pStyle w:val="Llegenda"/>
      </w:pPr>
      <w:bookmarkStart w:id="144" w:name="_Ref463006699"/>
      <w:bookmarkStart w:id="145" w:name="_Toc465293818"/>
      <w:r>
        <w:t>Gràfic</w:t>
      </w:r>
      <w:r w:rsidR="005F638C" w:rsidRPr="00CE36AA">
        <w:t xml:space="preserve"> </w:t>
      </w:r>
      <w:r w:rsidR="00DB496B">
        <w:fldChar w:fldCharType="begin"/>
      </w:r>
      <w:r w:rsidR="00DB496B">
        <w:instrText xml:space="preserve"> SEQ Il·lustració \* ARABIC </w:instrText>
      </w:r>
      <w:r w:rsidR="00DB496B">
        <w:fldChar w:fldCharType="separate"/>
      </w:r>
      <w:r w:rsidR="00C952DF">
        <w:rPr>
          <w:noProof/>
        </w:rPr>
        <w:t>12</w:t>
      </w:r>
      <w:r w:rsidR="00DB496B">
        <w:rPr>
          <w:noProof/>
        </w:rPr>
        <w:fldChar w:fldCharType="end"/>
      </w:r>
      <w:bookmarkEnd w:id="144"/>
      <w:r w:rsidR="005F638C" w:rsidRPr="00CE36AA">
        <w:t xml:space="preserve">. Evolució de la població encarcerada l’últim dia de cada any i les persones que anualment han complert alguna MPA. </w:t>
      </w:r>
      <w:r w:rsidR="005F638C" w:rsidRPr="00CE36AA">
        <w:rPr>
          <w:i/>
        </w:rPr>
        <w:t>Rho de Spearman</w:t>
      </w:r>
      <w:r w:rsidR="005F638C" w:rsidRPr="00CE36AA">
        <w:t xml:space="preserve"> = 0,</w:t>
      </w:r>
      <w:r w:rsidR="004F6B03" w:rsidRPr="00CE36AA">
        <w:t>873</w:t>
      </w:r>
      <w:r w:rsidR="005F638C" w:rsidRPr="00CE36AA">
        <w:t>, sig. = 0,000).</w:t>
      </w:r>
      <w:bookmarkEnd w:id="145"/>
    </w:p>
    <w:p w:rsidR="005F638C" w:rsidRPr="00CE36AA" w:rsidRDefault="005F638C" w:rsidP="005F638C"/>
    <w:p w:rsidR="00F7460E" w:rsidRPr="00CE36AA" w:rsidRDefault="00D2703F" w:rsidP="00FF01CB">
      <w:r w:rsidRPr="00CE36AA">
        <w:t>Finalment, una anàlisi dels factors econòmics com ara l’</w:t>
      </w:r>
      <w:r w:rsidR="004B3FDA">
        <w:t>í</w:t>
      </w:r>
      <w:r w:rsidRPr="00CE36AA">
        <w:t>ndex PIB, la taxa d’atur, la taxa d’atur juvenil o indicado</w:t>
      </w:r>
      <w:r w:rsidR="00CE36AA" w:rsidRPr="00CE36AA">
        <w:t>rs de pobresa i exclusió social com ara</w:t>
      </w:r>
      <w:r w:rsidRPr="00CE36AA">
        <w:t xml:space="preserve"> </w:t>
      </w:r>
      <w:r w:rsidR="00FD623C" w:rsidRPr="00CE36AA">
        <w:t>la taxa de risc a la pobresa, la taxa AROPE</w:t>
      </w:r>
      <w:r w:rsidRPr="00CE36AA">
        <w:rPr>
          <w:rStyle w:val="Refernciadenotaapeudepgina"/>
        </w:rPr>
        <w:footnoteReference w:id="7"/>
      </w:r>
      <w:r w:rsidRPr="00CE36AA">
        <w:t xml:space="preserve"> o el </w:t>
      </w:r>
      <w:r w:rsidR="00FD623C" w:rsidRPr="00CE36AA">
        <w:t xml:space="preserve">coeficient </w:t>
      </w:r>
      <w:r w:rsidRPr="00CE36AA">
        <w:t>GINI</w:t>
      </w:r>
      <w:r w:rsidR="006C5C9F" w:rsidRPr="00CE36AA">
        <w:rPr>
          <w:rStyle w:val="Refernciadenotaapeudepgina"/>
        </w:rPr>
        <w:footnoteReference w:id="8"/>
      </w:r>
      <w:r w:rsidR="004C7289" w:rsidRPr="00CE36AA">
        <w:rPr>
          <w:rStyle w:val="Refernciadenotaapeudepgina"/>
        </w:rPr>
        <w:t>,</w:t>
      </w:r>
      <w:r w:rsidR="004C7289" w:rsidRPr="00CE36AA">
        <w:t xml:space="preserve"> </w:t>
      </w:r>
      <w:r w:rsidR="00FF01CB" w:rsidRPr="00CE36AA">
        <w:t>indiquen, d’una banda, que l’economia ha crescut (o disminuït) en</w:t>
      </w:r>
      <w:r w:rsidR="00F7460E" w:rsidRPr="00CE36AA">
        <w:t xml:space="preserve"> paral·lel al creixement </w:t>
      </w:r>
      <w:r w:rsidR="00FF01CB" w:rsidRPr="00CE36AA">
        <w:t xml:space="preserve">(o disminució) de la població encarcerada, llevat dels </w:t>
      </w:r>
      <w:r w:rsidR="00FF01CB" w:rsidRPr="00CE36AA">
        <w:lastRenderedPageBreak/>
        <w:t>anys 2014 i 2015</w:t>
      </w:r>
      <w:r w:rsidR="00EC4877">
        <w:t>,</w:t>
      </w:r>
      <w:r w:rsidR="00FF01CB" w:rsidRPr="00CE36AA">
        <w:t xml:space="preserve"> en què economia i població encarcerada agafen camins diferents.</w:t>
      </w:r>
      <w:r w:rsidR="00F7460E" w:rsidRPr="00CE36AA">
        <w:t xml:space="preserve"> </w:t>
      </w:r>
      <w:r w:rsidR="00FF01CB" w:rsidRPr="00CE36AA">
        <w:t>Tot apunta a que el creixement econòmic ha exercit un efecte crida a la delinqüència.</w:t>
      </w:r>
    </w:p>
    <w:p w:rsidR="00FF01CB" w:rsidRPr="00CE36AA" w:rsidRDefault="00FF01CB" w:rsidP="00FF01CB">
      <w:r w:rsidRPr="00CE36AA">
        <w:t>D’altra banda, els indicadors de pobresa i</w:t>
      </w:r>
      <w:r w:rsidR="0064497F">
        <w:t xml:space="preserve"> </w:t>
      </w:r>
      <w:r w:rsidRPr="00CE36AA">
        <w:t>exclusió social (AROPE) i d’equitat en la distribució de la renda</w:t>
      </w:r>
      <w:r w:rsidR="00302754" w:rsidRPr="00CE36AA">
        <w:t xml:space="preserve"> (GINI)</w:t>
      </w:r>
      <w:r w:rsidRPr="00CE36AA">
        <w:t xml:space="preserve">, no informen de cap relació amb la població encarcerada. </w:t>
      </w:r>
    </w:p>
    <w:p w:rsidR="00F7460E" w:rsidRPr="00CE36AA" w:rsidRDefault="0071048E" w:rsidP="00F7460E">
      <w:r w:rsidRPr="00CE36AA">
        <w:t xml:space="preserve">Ara bé, com es veurà més endavant, </w:t>
      </w:r>
      <w:r w:rsidR="00065640" w:rsidRPr="00CE36AA">
        <w:t>tots aquests indicadors, i les seves relacions a</w:t>
      </w:r>
      <w:r w:rsidR="00302754" w:rsidRPr="00CE36AA">
        <w:t>mb</w:t>
      </w:r>
      <w:r w:rsidR="00065640" w:rsidRPr="00CE36AA">
        <w:t xml:space="preserve"> l’evolució de la població encarcerada,</w:t>
      </w:r>
      <w:r w:rsidRPr="00CE36AA">
        <w:t xml:space="preserve"> no sempre es comporten de la mateixa manera en fer una anàlisi cenyida a períodes temporals acotats segons ha estat diferent el creix</w:t>
      </w:r>
      <w:r w:rsidR="00065640" w:rsidRPr="00CE36AA">
        <w:t>ement dels encarcerats.</w:t>
      </w:r>
    </w:p>
    <w:p w:rsidR="005C78EB" w:rsidRPr="00CE36AA" w:rsidRDefault="0071048E" w:rsidP="00FF2CB0">
      <w:r w:rsidRPr="00CE36AA">
        <w:t>A</w:t>
      </w:r>
      <w:r w:rsidR="005C78EB" w:rsidRPr="00CE36AA">
        <w:t xml:space="preserve">ixí, podem establir </w:t>
      </w:r>
      <w:r w:rsidR="00851406" w:rsidRPr="00CE36AA">
        <w:t>quatre</w:t>
      </w:r>
      <w:r w:rsidR="005C78EB" w:rsidRPr="00CE36AA">
        <w:t xml:space="preserve"> períodes </w:t>
      </w:r>
      <w:r w:rsidR="00A04E96" w:rsidRPr="00CE36AA">
        <w:t>diferenciats</w:t>
      </w:r>
      <w:r w:rsidR="00820871" w:rsidRPr="00CE36AA">
        <w:t xml:space="preserve"> d’evolució de la població encarcerada</w:t>
      </w:r>
      <w:r w:rsidR="00302754" w:rsidRPr="00CE36AA">
        <w:t>, on el com</w:t>
      </w:r>
      <w:r w:rsidR="00FD623C" w:rsidRPr="00CE36AA">
        <w:t>portament dels indicadors prece</w:t>
      </w:r>
      <w:r w:rsidR="00302754" w:rsidRPr="00CE36AA">
        <w:t>dents, respecte del creixement de la població encarcerada, no sempre ha sigut el mateix</w:t>
      </w:r>
      <w:r w:rsidR="00820871" w:rsidRPr="00CE36AA">
        <w:t>.</w:t>
      </w:r>
    </w:p>
    <w:p w:rsidR="005C78EB" w:rsidRPr="00CE36AA" w:rsidRDefault="005C78EB" w:rsidP="00F27439">
      <w:pPr>
        <w:pStyle w:val="Pargrafdellista"/>
        <w:numPr>
          <w:ilvl w:val="0"/>
          <w:numId w:val="3"/>
        </w:numPr>
      </w:pPr>
      <w:r w:rsidRPr="00CE36AA">
        <w:t>1984-199</w:t>
      </w:r>
      <w:r w:rsidR="00CE1651" w:rsidRPr="00CE36AA">
        <w:t>4</w:t>
      </w:r>
      <w:r w:rsidR="00DE632C" w:rsidRPr="00CE36AA">
        <w:t xml:space="preserve">, </w:t>
      </w:r>
      <w:r w:rsidR="00820871" w:rsidRPr="00CE36AA">
        <w:t>que s’</w:t>
      </w:r>
      <w:r w:rsidR="00065640" w:rsidRPr="00CE36AA">
        <w:t>ha anomenat</w:t>
      </w:r>
      <w:r w:rsidR="00820871" w:rsidRPr="00CE36AA">
        <w:t xml:space="preserve"> </w:t>
      </w:r>
      <w:r w:rsidR="00DE632C" w:rsidRPr="00CE36AA">
        <w:t xml:space="preserve">de </w:t>
      </w:r>
      <w:r w:rsidR="00CE1651" w:rsidRPr="00CE36AA">
        <w:t>nous equipaments i estímul olímpic</w:t>
      </w:r>
    </w:p>
    <w:p w:rsidR="00973A65" w:rsidRPr="00CE36AA" w:rsidRDefault="00973A65" w:rsidP="00973A65">
      <w:pPr>
        <w:pStyle w:val="Pargrafdellista"/>
        <w:numPr>
          <w:ilvl w:val="0"/>
          <w:numId w:val="3"/>
        </w:numPr>
      </w:pPr>
      <w:r w:rsidRPr="00CE36AA">
        <w:t xml:space="preserve">1995-2000, </w:t>
      </w:r>
      <w:r w:rsidR="00820871" w:rsidRPr="00CE36AA">
        <w:t xml:space="preserve">de </w:t>
      </w:r>
      <w:r w:rsidRPr="00CE36AA">
        <w:t>revisió de penes i excarceracions</w:t>
      </w:r>
    </w:p>
    <w:p w:rsidR="005C78EB" w:rsidRPr="00CE36AA" w:rsidRDefault="00973A65" w:rsidP="00F27439">
      <w:pPr>
        <w:pStyle w:val="Pargrafdellista"/>
        <w:numPr>
          <w:ilvl w:val="0"/>
          <w:numId w:val="3"/>
        </w:numPr>
      </w:pPr>
      <w:r w:rsidRPr="00CE36AA">
        <w:t>2001</w:t>
      </w:r>
      <w:r w:rsidR="005C78EB" w:rsidRPr="00CE36AA">
        <w:t>-</w:t>
      </w:r>
      <w:r w:rsidR="00CE1651" w:rsidRPr="00CE36AA">
        <w:t>2009</w:t>
      </w:r>
      <w:r w:rsidR="00DE632C" w:rsidRPr="00CE36AA">
        <w:t xml:space="preserve">, </w:t>
      </w:r>
      <w:r w:rsidR="00820871" w:rsidRPr="00CE36AA">
        <w:t xml:space="preserve">de </w:t>
      </w:r>
      <w:r w:rsidR="00CE1651" w:rsidRPr="00CE36AA">
        <w:t xml:space="preserve">creixement i impacte del Codi </w:t>
      </w:r>
      <w:r w:rsidR="00EC4877">
        <w:t>p</w:t>
      </w:r>
      <w:r w:rsidR="00CE1651" w:rsidRPr="00CE36AA">
        <w:t>enal de 1995</w:t>
      </w:r>
    </w:p>
    <w:p w:rsidR="005C78EB" w:rsidRPr="00CE36AA" w:rsidRDefault="00CE1651" w:rsidP="00F27439">
      <w:pPr>
        <w:pStyle w:val="Pargrafdellista"/>
        <w:numPr>
          <w:ilvl w:val="0"/>
          <w:numId w:val="3"/>
        </w:numPr>
      </w:pPr>
      <w:r w:rsidRPr="00CE36AA">
        <w:t>Des de 2010</w:t>
      </w:r>
      <w:r w:rsidR="00DE632C" w:rsidRPr="00CE36AA">
        <w:t xml:space="preserve">, </w:t>
      </w:r>
      <w:r w:rsidR="00820871" w:rsidRPr="00CE36AA">
        <w:t xml:space="preserve">de </w:t>
      </w:r>
      <w:r w:rsidRPr="00CE36AA">
        <w:t>decreixement multifactorial</w:t>
      </w:r>
    </w:p>
    <w:p w:rsidR="00D62C7B" w:rsidRPr="00EC4877" w:rsidRDefault="00DE632C" w:rsidP="0070401F">
      <w:pPr>
        <w:pStyle w:val="Ttol3"/>
      </w:pPr>
      <w:bookmarkStart w:id="146" w:name="_Toc464685625"/>
      <w:bookmarkStart w:id="147" w:name="_Toc465293356"/>
      <w:bookmarkEnd w:id="2"/>
      <w:r w:rsidRPr="00EC4877">
        <w:t xml:space="preserve">De 1984 a 1994: nous equipaments i estímul </w:t>
      </w:r>
      <w:r w:rsidR="00A415C7" w:rsidRPr="00EC4877">
        <w:t>olímpic</w:t>
      </w:r>
      <w:bookmarkEnd w:id="146"/>
      <w:bookmarkEnd w:id="147"/>
    </w:p>
    <w:p w:rsidR="00F51849" w:rsidRPr="00CE36AA" w:rsidRDefault="003F4E4E" w:rsidP="00B70BFA">
      <w:r w:rsidRPr="00CE36AA">
        <w:t xml:space="preserve">Assumides les competències i fins </w:t>
      </w:r>
      <w:r w:rsidR="00EC4877">
        <w:t xml:space="preserve">l’any </w:t>
      </w:r>
      <w:r w:rsidRPr="00CE36AA">
        <w:t xml:space="preserve">1994, </w:t>
      </w:r>
      <w:r w:rsidR="00F51849" w:rsidRPr="00CE36AA">
        <w:t xml:space="preserve">hi va haver un lleuger augment de la població penitenciària, tant dels espanyols com dels estrangers. Encara estava vigent l’antic Codi </w:t>
      </w:r>
      <w:r w:rsidR="00EC4877">
        <w:t>p</w:t>
      </w:r>
      <w:r w:rsidR="00F51849" w:rsidRPr="00CE36AA">
        <w:t>enal de 1973, amb els beneficis de la redempció de penes pel treball, tant l’ordinària com l’extraordinària, que suposaven un escurçament considerable del compliment efectiu de les condemnes.</w:t>
      </w:r>
      <w:r w:rsidRPr="00CE36AA">
        <w:t xml:space="preserve"> Tanmateix, l’evolució de la població penitenciària va ser creixe</w:t>
      </w:r>
      <w:r w:rsidR="008A1B39" w:rsidRPr="00CE36AA">
        <w:t>nt, tot augmentant un 151</w:t>
      </w:r>
      <w:r w:rsidR="001F63CD">
        <w:t xml:space="preserve"> %</w:t>
      </w:r>
      <w:r w:rsidR="008A1B39" w:rsidRPr="00CE36AA">
        <w:t xml:space="preserve"> en aquests 11 anys, passant de 2.650 a 6.662 persones encarcerades els anys 1984 i 1994, respectivament.</w:t>
      </w:r>
    </w:p>
    <w:p w:rsidR="005868FD" w:rsidRPr="00CE36AA" w:rsidRDefault="005868FD" w:rsidP="00B70BFA">
      <w:r w:rsidRPr="00CE36AA">
        <w:t xml:space="preserve">Aquest augment no sembla estar relacionat amb l’augment de la criminalitat. Si més no, així ho expressen les xifres evolutives de la taxa de victimització de Barcelona i </w:t>
      </w:r>
      <w:r w:rsidR="00EC4877">
        <w:t>à</w:t>
      </w:r>
      <w:r w:rsidRPr="00CE36AA">
        <w:t xml:space="preserve">mbit </w:t>
      </w:r>
      <w:r w:rsidR="00EC4877">
        <w:t>m</w:t>
      </w:r>
      <w:r w:rsidRPr="00CE36AA">
        <w:t xml:space="preserve">etropolità que ofereix l’Ajuntament de Barcelona i que poden ser preses com a representants de la criminalitat real (o la més propera a la real) de les que disposem. </w:t>
      </w:r>
      <w:r w:rsidR="00752E4C">
        <w:t>El</w:t>
      </w:r>
      <w:r w:rsidR="00557DF1" w:rsidRPr="00CE36AA">
        <w:t xml:space="preserve"> </w:t>
      </w:r>
      <w:r w:rsidR="006121C0" w:rsidRPr="00CE36AA">
        <w:fldChar w:fldCharType="begin"/>
      </w:r>
      <w:r w:rsidR="006121C0" w:rsidRPr="00CE36AA">
        <w:instrText xml:space="preserve"> REF _Ref462847934 \h </w:instrText>
      </w:r>
      <w:r w:rsidR="00CE36AA">
        <w:instrText xml:space="preserve"> \* MERGEFORMAT </w:instrText>
      </w:r>
      <w:r w:rsidR="006121C0" w:rsidRPr="00CE36AA">
        <w:fldChar w:fldCharType="separate"/>
      </w:r>
      <w:r w:rsidR="00752E4C">
        <w:t>g</w:t>
      </w:r>
      <w:r w:rsidR="009A1F67">
        <w:t>ràfic</w:t>
      </w:r>
      <w:r w:rsidR="00CC16AE" w:rsidRPr="00CE36AA">
        <w:t xml:space="preserve"> </w:t>
      </w:r>
      <w:r w:rsidR="00CC16AE">
        <w:rPr>
          <w:noProof/>
        </w:rPr>
        <w:t>2</w:t>
      </w:r>
      <w:r w:rsidR="006121C0" w:rsidRPr="00CE36AA">
        <w:fldChar w:fldCharType="end"/>
      </w:r>
      <w:r w:rsidR="00557DF1" w:rsidRPr="00CE36AA">
        <w:t xml:space="preserve"> ofereix una clara imatge de la inversió entre les dades sobre població encarcerada (a l’alça) i les dades sobre victimització (a la baixa, correlació inversa </w:t>
      </w:r>
      <w:r w:rsidR="006121C0" w:rsidRPr="00CE36AA">
        <w:t>amb significació de 0,000 per al període 1984-1994</w:t>
      </w:r>
      <w:r w:rsidR="00276CF0" w:rsidRPr="00CE36AA">
        <w:t>).</w:t>
      </w:r>
    </w:p>
    <w:p w:rsidR="00276CF0" w:rsidRPr="00CE36AA" w:rsidRDefault="006121C0" w:rsidP="00B70BFA">
      <w:r w:rsidRPr="00CE36AA">
        <w:t xml:space="preserve">Quant a la relació amb l’economia, durant aquest període, el creixement econòmic i la població encarcerada van en paral·lel en els seus respectius creixements (vegeu </w:t>
      </w:r>
      <w:r w:rsidRPr="00CE36AA">
        <w:fldChar w:fldCharType="begin"/>
      </w:r>
      <w:r w:rsidRPr="00CE36AA">
        <w:instrText xml:space="preserve"> REF _Ref462925445 \h </w:instrText>
      </w:r>
      <w:r w:rsidR="00CE36AA">
        <w:instrText xml:space="preserve"> \* MERGEFORMAT </w:instrText>
      </w:r>
      <w:r w:rsidRPr="00CE36AA">
        <w:fldChar w:fldCharType="separate"/>
      </w:r>
      <w:r w:rsidR="009A1F67">
        <w:t>Gràfic</w:t>
      </w:r>
      <w:r w:rsidR="00CC16AE" w:rsidRPr="00CE36AA">
        <w:t xml:space="preserve"> </w:t>
      </w:r>
      <w:r w:rsidR="00CC16AE">
        <w:rPr>
          <w:noProof/>
        </w:rPr>
        <w:t>11</w:t>
      </w:r>
      <w:r w:rsidRPr="00CE36AA">
        <w:fldChar w:fldCharType="end"/>
      </w:r>
      <w:r w:rsidRPr="00CE36AA">
        <w:t>). L’anàlisi exclusiva d’aquest període dóna una alta correlació</w:t>
      </w:r>
      <w:r w:rsidR="002D36B9" w:rsidRPr="00CE36AA">
        <w:t xml:space="preserve"> </w:t>
      </w:r>
      <w:r w:rsidRPr="00CE36AA">
        <w:t>(</w:t>
      </w:r>
      <w:r w:rsidRPr="00CE36AA">
        <w:rPr>
          <w:i/>
        </w:rPr>
        <w:t>Rho d</w:t>
      </w:r>
      <w:r w:rsidR="00E82FB8">
        <w:rPr>
          <w:i/>
        </w:rPr>
        <w:t xml:space="preserve">e </w:t>
      </w:r>
      <w:r w:rsidRPr="00CE36AA">
        <w:rPr>
          <w:i/>
        </w:rPr>
        <w:t>Spearman</w:t>
      </w:r>
      <w:r w:rsidRPr="00CE36AA">
        <w:t xml:space="preserve"> = 0,991, sig. = 0,000)</w:t>
      </w:r>
      <w:r w:rsidR="002D36B9" w:rsidRPr="00CE36AA">
        <w:t>.</w:t>
      </w:r>
    </w:p>
    <w:p w:rsidR="005F3CE2" w:rsidRPr="00CE36AA" w:rsidRDefault="00276CF0" w:rsidP="00B70BFA">
      <w:r w:rsidRPr="00CE36AA">
        <w:t>Altrament, e</w:t>
      </w:r>
      <w:r w:rsidR="00C01E76" w:rsidRPr="00CE36AA">
        <w:t xml:space="preserve">ls mesos de juny dels anys </w:t>
      </w:r>
      <w:r w:rsidR="00D62C7B" w:rsidRPr="00CE36AA">
        <w:t>1989 i 1991</w:t>
      </w:r>
      <w:r w:rsidR="00C01E76" w:rsidRPr="00CE36AA">
        <w:t>,</w:t>
      </w:r>
      <w:r w:rsidR="00D62C7B" w:rsidRPr="00CE36AA">
        <w:t xml:space="preserve"> </w:t>
      </w:r>
      <w:r w:rsidR="00C01E76" w:rsidRPr="00CE36AA">
        <w:t xml:space="preserve">respectivament, </w:t>
      </w:r>
      <w:r w:rsidR="00D62C7B" w:rsidRPr="00CE36AA">
        <w:t xml:space="preserve">es van obrir dos grans equipaments penitenciaris que </w:t>
      </w:r>
      <w:r w:rsidR="002D36B9" w:rsidRPr="00CE36AA">
        <w:t>aportaven 1.854</w:t>
      </w:r>
      <w:r w:rsidR="00D62C7B" w:rsidRPr="00CE36AA">
        <w:t xml:space="preserve"> places més al sistema</w:t>
      </w:r>
      <w:r w:rsidR="00C01E76" w:rsidRPr="00CE36AA">
        <w:t xml:space="preserve">: el CP Quatre Camins, ubicat </w:t>
      </w:r>
      <w:r w:rsidR="00EC4877">
        <w:t>al</w:t>
      </w:r>
      <w:r w:rsidR="00C01E76" w:rsidRPr="00CE36AA">
        <w:t xml:space="preserve"> municipi de la Roca del Vallès, i el CP Brians 1, </w:t>
      </w:r>
      <w:r w:rsidR="00EC4877">
        <w:t>a</w:t>
      </w:r>
      <w:r w:rsidR="00C01E76" w:rsidRPr="00CE36AA">
        <w:t xml:space="preserve">l municipi de Sant Esteve Sesrovires. </w:t>
      </w:r>
      <w:r w:rsidR="00FB5AC9" w:rsidRPr="00CE36AA">
        <w:t xml:space="preserve">Poc després, amb motiu dels Jocs Olímpics de Barcelona 1992, es va obrir un mòdul prefabricat </w:t>
      </w:r>
      <w:r w:rsidR="00EC4877">
        <w:t>a</w:t>
      </w:r>
      <w:r w:rsidR="00FB5AC9" w:rsidRPr="00CE36AA">
        <w:t xml:space="preserve"> la presó de Quatre Camins. </w:t>
      </w:r>
      <w:r w:rsidR="00C01E76" w:rsidRPr="00CE36AA">
        <w:t>L’</w:t>
      </w:r>
      <w:r w:rsidR="00EC4877">
        <w:t>ob</w:t>
      </w:r>
      <w:r w:rsidR="00C01E76" w:rsidRPr="00CE36AA">
        <w:t xml:space="preserve">ertura d’aquests centres i, per tant, la disponibilitat de noves places, va </w:t>
      </w:r>
      <w:r w:rsidR="00FB5AC9" w:rsidRPr="00CE36AA">
        <w:t xml:space="preserve">poder </w:t>
      </w:r>
      <w:r w:rsidR="00C01E76" w:rsidRPr="00CE36AA">
        <w:t>estimular el creixement de la poblaci</w:t>
      </w:r>
      <w:r w:rsidR="00DB1269" w:rsidRPr="00CE36AA">
        <w:t>ó encarcerada.</w:t>
      </w:r>
    </w:p>
    <w:p w:rsidR="00920D05" w:rsidRPr="00CE36AA" w:rsidRDefault="00920D05" w:rsidP="00B70BFA">
      <w:r w:rsidRPr="00CE36AA">
        <w:t>La hipòtesi suggerida és que una major disponibilitat de places penitenciàries, juntament amb el repte que suposaven les Olimpíades de Barcelona 1992 davant el món, van estimular tant l’activitat policial com l</w:t>
      </w:r>
      <w:r w:rsidR="00B67290">
        <w:t>’</w:t>
      </w:r>
      <w:r w:rsidRPr="00CE36AA">
        <w:t xml:space="preserve">activitat judicial de manera tal que els ingressos de persones preventives van augmentar en un </w:t>
      </w:r>
      <w:r w:rsidR="00FD24E2" w:rsidRPr="00CE36AA">
        <w:t>97</w:t>
      </w:r>
      <w:r w:rsidR="001F63CD">
        <w:t xml:space="preserve"> %</w:t>
      </w:r>
      <w:r w:rsidRPr="00CE36AA">
        <w:t xml:space="preserve"> en </w:t>
      </w:r>
      <w:r w:rsidR="00FD24E2" w:rsidRPr="00CE36AA">
        <w:t>un únic any,</w:t>
      </w:r>
      <w:r w:rsidRPr="00CE36AA">
        <w:t xml:space="preserve"> passant de </w:t>
      </w:r>
      <w:r w:rsidR="00FD24E2" w:rsidRPr="00CE36AA">
        <w:t>3</w:t>
      </w:r>
      <w:r w:rsidRPr="00CE36AA">
        <w:t>.</w:t>
      </w:r>
      <w:r w:rsidR="00FD24E2" w:rsidRPr="00CE36AA">
        <w:t>960</w:t>
      </w:r>
      <w:r w:rsidRPr="00CE36AA">
        <w:t xml:space="preserve"> ingressos l’any 1991 a </w:t>
      </w:r>
      <w:r w:rsidR="00FD24E2" w:rsidRPr="00CE36AA">
        <w:t>7.812</w:t>
      </w:r>
      <w:r w:rsidRPr="00CE36AA">
        <w:t>, l’any 199</w:t>
      </w:r>
      <w:r w:rsidR="00FD24E2" w:rsidRPr="00CE36AA">
        <w:t>2</w:t>
      </w:r>
      <w:r w:rsidR="00C64449" w:rsidRPr="00CE36AA">
        <w:t xml:space="preserve"> (vegeu </w:t>
      </w:r>
      <w:r w:rsidR="00C64449" w:rsidRPr="00CE36AA">
        <w:fldChar w:fldCharType="begin"/>
      </w:r>
      <w:r w:rsidR="00C64449" w:rsidRPr="00CE36AA">
        <w:instrText xml:space="preserve"> REF _Ref462999708 \h </w:instrText>
      </w:r>
      <w:r w:rsidR="00CE36AA">
        <w:instrText xml:space="preserve"> \* MERGEFORMAT </w:instrText>
      </w:r>
      <w:r w:rsidR="00C64449" w:rsidRPr="00CE36AA">
        <w:fldChar w:fldCharType="separate"/>
      </w:r>
      <w:r w:rsidR="009A1F67">
        <w:t>Gràfic</w:t>
      </w:r>
      <w:r w:rsidR="00CC16AE" w:rsidRPr="00CE36AA">
        <w:t xml:space="preserve"> </w:t>
      </w:r>
      <w:r w:rsidR="00CC16AE">
        <w:rPr>
          <w:noProof/>
        </w:rPr>
        <w:t>7</w:t>
      </w:r>
      <w:r w:rsidR="00C64449" w:rsidRPr="00CE36AA">
        <w:fldChar w:fldCharType="end"/>
      </w:r>
      <w:r w:rsidR="00593712" w:rsidRPr="00CE36AA">
        <w:t xml:space="preserve">, </w:t>
      </w:r>
      <w:r w:rsidR="00593712" w:rsidRPr="00CE36AA">
        <w:rPr>
          <w:i/>
        </w:rPr>
        <w:t>Rho d</w:t>
      </w:r>
      <w:r w:rsidR="00E82FB8">
        <w:rPr>
          <w:i/>
        </w:rPr>
        <w:t xml:space="preserve">e </w:t>
      </w:r>
      <w:r w:rsidR="00593712" w:rsidRPr="00CE36AA">
        <w:rPr>
          <w:i/>
        </w:rPr>
        <w:t>Spearman</w:t>
      </w:r>
      <w:r w:rsidR="00593712" w:rsidRPr="00CE36AA">
        <w:t xml:space="preserve"> = 0,926, sig. = 0,000</w:t>
      </w:r>
      <w:r w:rsidR="00C64449" w:rsidRPr="00CE36AA">
        <w:t>). De fet, és l’únic moment en el temps en què el creixement de la població penitenciària està relacionat amb el creixement dels ingressos de persones preventives.</w:t>
      </w:r>
    </w:p>
    <w:p w:rsidR="00973A65" w:rsidRPr="00CE36AA" w:rsidRDefault="00973A65" w:rsidP="0070401F">
      <w:pPr>
        <w:pStyle w:val="Ttol3"/>
      </w:pPr>
      <w:bookmarkStart w:id="148" w:name="_Toc464685626"/>
      <w:bookmarkStart w:id="149" w:name="_Toc465293357"/>
      <w:r w:rsidRPr="00CE36AA">
        <w:lastRenderedPageBreak/>
        <w:t>De 1995 a 2000</w:t>
      </w:r>
      <w:r w:rsidR="00EC4877">
        <w:t>:</w:t>
      </w:r>
      <w:r w:rsidRPr="00CE36AA">
        <w:t xml:space="preserve"> revisió de penes i excarceracions</w:t>
      </w:r>
      <w:bookmarkEnd w:id="148"/>
      <w:bookmarkEnd w:id="149"/>
    </w:p>
    <w:p w:rsidR="007E5E3F" w:rsidRPr="00CE36AA" w:rsidRDefault="00EC537A" w:rsidP="00973A65">
      <w:r w:rsidRPr="00CE36AA">
        <w:t>L’any 1995</w:t>
      </w:r>
      <w:r w:rsidR="007E5E3F" w:rsidRPr="00CE36AA">
        <w:t xml:space="preserve">, any de l’entrada en vigor del nou Codi penal, va disminuir sensiblement la població encarcerada per després mantenir-se estable fins a l’any 2000. </w:t>
      </w:r>
    </w:p>
    <w:p w:rsidR="007E5E3F" w:rsidRPr="00CE36AA" w:rsidRDefault="007E5E3F" w:rsidP="00973A65">
      <w:r w:rsidRPr="00CE36AA">
        <w:t xml:space="preserve">Bàsicament, hi van haver </w:t>
      </w:r>
      <w:r w:rsidR="00837855" w:rsidRPr="00CE36AA">
        <w:t>tres</w:t>
      </w:r>
      <w:r w:rsidRPr="00CE36AA">
        <w:t xml:space="preserve"> factors influents en la davallada: (1) </w:t>
      </w:r>
      <w:r w:rsidR="00851406" w:rsidRPr="00CE36AA">
        <w:t xml:space="preserve">l’àmplia revisió de les sentències de les persones encarcerades, que va suposar l’entrada en vigor del nou Codi </w:t>
      </w:r>
      <w:r w:rsidR="008763A2">
        <w:t>p</w:t>
      </w:r>
      <w:r w:rsidR="00851406" w:rsidRPr="00CE36AA">
        <w:t>enal de 1995</w:t>
      </w:r>
      <w:r w:rsidRPr="00CE36AA">
        <w:t xml:space="preserve">; (2) la sortida en llibertat </w:t>
      </w:r>
      <w:r w:rsidR="008763A2">
        <w:t>d’</w:t>
      </w:r>
      <w:r w:rsidRPr="00CE36AA">
        <w:t>un nombre molt important de preventius</w:t>
      </w:r>
      <w:r w:rsidR="008763A2">
        <w:t>,</w:t>
      </w:r>
      <w:r w:rsidRPr="00CE36AA">
        <w:t xml:space="preserve"> i (3) la disminució de les entrades en presó, en general, tant de preventius com de penats.</w:t>
      </w:r>
    </w:p>
    <w:p w:rsidR="009D092B" w:rsidRPr="00CE36AA" w:rsidRDefault="007E5E3F" w:rsidP="00973A65">
      <w:r w:rsidRPr="00CE36AA">
        <w:t xml:space="preserve">Quant a la primera, moltes sentències van ser revisades atès que el </w:t>
      </w:r>
      <w:r w:rsidR="009D092B" w:rsidRPr="00CE36AA">
        <w:t xml:space="preserve">legislador va disminuir les condemnes d’algunes </w:t>
      </w:r>
      <w:r w:rsidR="00851406" w:rsidRPr="00CE36AA">
        <w:t xml:space="preserve">tipologies delictives, </w:t>
      </w:r>
      <w:r w:rsidR="009D092B" w:rsidRPr="00CE36AA">
        <w:t>cosa que va comportar l’alliberament d</w:t>
      </w:r>
      <w:r w:rsidRPr="00CE36AA">
        <w:t>’un important nombre de</w:t>
      </w:r>
      <w:r w:rsidR="009D092B" w:rsidRPr="00CE36AA">
        <w:t xml:space="preserve"> persones que, en aplicació del nou Codi </w:t>
      </w:r>
      <w:r w:rsidR="008763A2">
        <w:t>p</w:t>
      </w:r>
      <w:r w:rsidR="009D092B" w:rsidRPr="00CE36AA">
        <w:t>enal, ja havien extingit la seva responsabilitat</w:t>
      </w:r>
      <w:r w:rsidR="00837855" w:rsidRPr="00CE36AA">
        <w:t xml:space="preserve"> personal</w:t>
      </w:r>
      <w:r w:rsidR="009D092B" w:rsidRPr="00CE36AA">
        <w:t xml:space="preserve">. </w:t>
      </w:r>
      <w:r w:rsidR="00546947" w:rsidRPr="00CE36AA">
        <w:t xml:space="preserve">Sobretot, de l’any 1995 a l’any 1996, el nombre de persones que van sortir de les presons va ser equivalent al nombre de persones que hi van entrar (vegeu </w:t>
      </w:r>
      <w:r w:rsidR="0045588C" w:rsidRPr="00CE36AA">
        <w:fldChar w:fldCharType="begin"/>
      </w:r>
      <w:r w:rsidR="0045588C" w:rsidRPr="00CE36AA">
        <w:instrText xml:space="preserve"> REF _Ref463347849 \h </w:instrText>
      </w:r>
      <w:r w:rsidR="00CE36AA">
        <w:instrText xml:space="preserve"> \* MERGEFORMAT </w:instrText>
      </w:r>
      <w:r w:rsidR="0045588C" w:rsidRPr="00CE36AA">
        <w:fldChar w:fldCharType="separate"/>
      </w:r>
      <w:r w:rsidR="009A1F67">
        <w:t>Gràfic</w:t>
      </w:r>
      <w:r w:rsidR="00CC16AE" w:rsidRPr="00CE36AA">
        <w:t xml:space="preserve"> </w:t>
      </w:r>
      <w:r w:rsidR="00CC16AE">
        <w:rPr>
          <w:noProof/>
        </w:rPr>
        <w:t>10</w:t>
      </w:r>
      <w:r w:rsidR="0045588C" w:rsidRPr="00CE36AA">
        <w:fldChar w:fldCharType="end"/>
      </w:r>
      <w:r w:rsidR="00546947" w:rsidRPr="00CE36AA">
        <w:t xml:space="preserve">), quan la realitat anterior </w:t>
      </w:r>
      <w:r w:rsidR="00837855" w:rsidRPr="00CE36AA">
        <w:t>(</w:t>
      </w:r>
      <w:r w:rsidR="00546947" w:rsidRPr="00CE36AA">
        <w:t>i posterior</w:t>
      </w:r>
      <w:r w:rsidR="00837855" w:rsidRPr="00CE36AA">
        <w:t>)</w:t>
      </w:r>
      <w:r w:rsidR="00546947" w:rsidRPr="00CE36AA">
        <w:t xml:space="preserve"> havia estat </w:t>
      </w:r>
      <w:r w:rsidR="00837855" w:rsidRPr="00CE36AA">
        <w:t xml:space="preserve">(i va ser) </w:t>
      </w:r>
      <w:r w:rsidR="00546947" w:rsidRPr="00CE36AA">
        <w:t>que el nombre de persones que hi entraven era molt superior al nombre de persones qu</w:t>
      </w:r>
      <w:r w:rsidR="00837855" w:rsidRPr="00CE36AA">
        <w:t>e</w:t>
      </w:r>
      <w:r w:rsidR="00546947" w:rsidRPr="00CE36AA">
        <w:t xml:space="preserve"> en sortien, cosa que explica l’acumulació de persones encarcerades i, per tant, el seu creixement</w:t>
      </w:r>
      <w:r w:rsidR="00837855" w:rsidRPr="00CE36AA">
        <w:t xml:space="preserve"> en nombre</w:t>
      </w:r>
      <w:r w:rsidR="00546947" w:rsidRPr="00CE36AA">
        <w:t xml:space="preserve">. Especialment, hi van haver moltes llibertats de preventius (vegeu </w:t>
      </w:r>
      <w:r w:rsidR="00837855" w:rsidRPr="00CE36AA">
        <w:fldChar w:fldCharType="begin"/>
      </w:r>
      <w:r w:rsidR="00837855" w:rsidRPr="00CE36AA">
        <w:instrText xml:space="preserve"> REF _Ref463001969 \h </w:instrText>
      </w:r>
      <w:r w:rsidR="00CE36AA">
        <w:instrText xml:space="preserve"> \* MERGEFORMAT </w:instrText>
      </w:r>
      <w:r w:rsidR="00837855" w:rsidRPr="00CE36AA">
        <w:fldChar w:fldCharType="separate"/>
      </w:r>
      <w:r w:rsidR="009A1F67">
        <w:t>Gràfic</w:t>
      </w:r>
      <w:r w:rsidR="00CC16AE" w:rsidRPr="00CE36AA">
        <w:t xml:space="preserve"> </w:t>
      </w:r>
      <w:r w:rsidR="00CC16AE">
        <w:rPr>
          <w:noProof/>
        </w:rPr>
        <w:t>9</w:t>
      </w:r>
      <w:r w:rsidR="00837855" w:rsidRPr="00CE36AA">
        <w:fldChar w:fldCharType="end"/>
      </w:r>
      <w:r w:rsidR="00837855" w:rsidRPr="00CE36AA">
        <w:t xml:space="preserve">, </w:t>
      </w:r>
      <w:r w:rsidR="00837855" w:rsidRPr="00CE36AA">
        <w:rPr>
          <w:i/>
        </w:rPr>
        <w:t>Rho d</w:t>
      </w:r>
      <w:r w:rsidR="00E82FB8">
        <w:rPr>
          <w:i/>
        </w:rPr>
        <w:t xml:space="preserve">e </w:t>
      </w:r>
      <w:r w:rsidR="00837855" w:rsidRPr="00CE36AA">
        <w:rPr>
          <w:i/>
        </w:rPr>
        <w:t>Spearman</w:t>
      </w:r>
      <w:r w:rsidR="00837855" w:rsidRPr="00CE36AA">
        <w:t xml:space="preserve"> = 0,829, sig. = 0,042</w:t>
      </w:r>
      <w:r w:rsidR="00546947" w:rsidRPr="00CE36AA">
        <w:t>), aquells que van ser encarcerats per l’efecte de les Olimpíades, i també es va fer un menor ús de la presó preventiva, atenent que els ingressos</w:t>
      </w:r>
      <w:r w:rsidR="00814EAD" w:rsidRPr="00CE36AA">
        <w:t>, en general,</w:t>
      </w:r>
      <w:r w:rsidR="00546947" w:rsidRPr="00CE36AA">
        <w:t xml:space="preserve"> van disminuir de manera important.</w:t>
      </w:r>
    </w:p>
    <w:p w:rsidR="00974B0B" w:rsidRPr="00CE36AA" w:rsidRDefault="00387FC0" w:rsidP="00973A65">
      <w:r w:rsidRPr="00CE36AA">
        <w:t xml:space="preserve">En conclusió, durant aquest període, la sortida en llibertat de condemnats després que els van ser aplicades condemnes més beneficioses com a conseqüència de l’àmplia revisió, de </w:t>
      </w:r>
      <w:r w:rsidR="008763A2">
        <w:t>l’</w:t>
      </w:r>
      <w:r w:rsidRPr="00CE36AA">
        <w:t xml:space="preserve">excarceració de preventius que van ser retirats dels carrers en el seu moment en pro de la seguretat, el menor ús de la presó preventiva, </w:t>
      </w:r>
      <w:r w:rsidR="00E45472" w:rsidRPr="00CE36AA">
        <w:t xml:space="preserve">i </w:t>
      </w:r>
      <w:r w:rsidR="00814EAD" w:rsidRPr="00CE36AA">
        <w:t xml:space="preserve">el nou </w:t>
      </w:r>
      <w:r w:rsidR="00E45472" w:rsidRPr="00CE36AA">
        <w:t xml:space="preserve">ús de la suspensió de la pena i de la substitució </w:t>
      </w:r>
      <w:r w:rsidRPr="00CE36AA">
        <w:t>van suposar una disminució i manteniment de la poblaci</w:t>
      </w:r>
      <w:r w:rsidR="00974B0B" w:rsidRPr="00CE36AA">
        <w:t>ó encarcerada.</w:t>
      </w:r>
    </w:p>
    <w:p w:rsidR="004A40AD" w:rsidRPr="00CE36AA" w:rsidRDefault="00851406" w:rsidP="00973A65">
      <w:r w:rsidRPr="00CE36AA">
        <w:t xml:space="preserve">No obstant </w:t>
      </w:r>
      <w:r w:rsidR="008763A2">
        <w:t>això</w:t>
      </w:r>
      <w:r w:rsidRPr="00CE36AA">
        <w:t xml:space="preserve">, </w:t>
      </w:r>
      <w:r w:rsidR="009D092B" w:rsidRPr="00CE36AA">
        <w:t xml:space="preserve">el Codi </w:t>
      </w:r>
      <w:r w:rsidR="008763A2">
        <w:t>p</w:t>
      </w:r>
      <w:r w:rsidR="009D092B" w:rsidRPr="00CE36AA">
        <w:t xml:space="preserve">enal de 1995 va suposar la </w:t>
      </w:r>
      <w:r w:rsidRPr="00CE36AA">
        <w:t>supressió de la redempció de les penes pel treball</w:t>
      </w:r>
      <w:r w:rsidR="009D092B" w:rsidRPr="00CE36AA">
        <w:t>, i la consegüent desaparició de l’escurçament de les condemnes</w:t>
      </w:r>
      <w:r w:rsidR="00376A8C" w:rsidRPr="00CE36AA">
        <w:t xml:space="preserve">, </w:t>
      </w:r>
      <w:r w:rsidR="009D092B" w:rsidRPr="00CE36AA">
        <w:t>fet</w:t>
      </w:r>
      <w:r w:rsidR="00376A8C" w:rsidRPr="00CE36AA">
        <w:t xml:space="preserve"> que</w:t>
      </w:r>
      <w:r w:rsidR="009D092B" w:rsidRPr="00CE36AA">
        <w:t xml:space="preserve"> va provocar un nou can</w:t>
      </w:r>
      <w:r w:rsidR="00974B0B" w:rsidRPr="00CE36AA">
        <w:t>vi de tendència que es veurà a continuació.</w:t>
      </w:r>
    </w:p>
    <w:p w:rsidR="00CE1651" w:rsidRPr="00CE36AA" w:rsidRDefault="008763A2" w:rsidP="0070401F">
      <w:pPr>
        <w:pStyle w:val="Ttol3"/>
      </w:pPr>
      <w:bookmarkStart w:id="150" w:name="_Toc464685627"/>
      <w:bookmarkStart w:id="151" w:name="_Toc465293358"/>
      <w:r>
        <w:t xml:space="preserve">De </w:t>
      </w:r>
      <w:r w:rsidR="00973A65" w:rsidRPr="00CE36AA">
        <w:t>2001</w:t>
      </w:r>
      <w:r>
        <w:t xml:space="preserve"> a </w:t>
      </w:r>
      <w:r w:rsidR="00CE1651" w:rsidRPr="00CE36AA">
        <w:t>2009</w:t>
      </w:r>
      <w:r>
        <w:t>:</w:t>
      </w:r>
      <w:r w:rsidR="00CE1651" w:rsidRPr="00CE36AA">
        <w:t xml:space="preserve"> creixement i impacte del Codi </w:t>
      </w:r>
      <w:r>
        <w:t>p</w:t>
      </w:r>
      <w:r w:rsidR="00CE1651" w:rsidRPr="00CE36AA">
        <w:t>enal de 1995</w:t>
      </w:r>
      <w:bookmarkEnd w:id="150"/>
      <w:bookmarkEnd w:id="151"/>
    </w:p>
    <w:p w:rsidR="002879B5" w:rsidRPr="00CE36AA" w:rsidRDefault="008C042C" w:rsidP="00CE1651">
      <w:r w:rsidRPr="00CE36AA">
        <w:t>L’any 2001 va suposar el punt d’inici de l’increment vertiginós de la població encarcerada. Tot apuntava que la reforma del Codi penal, amb l’increment d’algunes condemnes, la tipificació de nous delictes i la derogació de la redempció de condemna, començava a tenir efecte.</w:t>
      </w:r>
      <w:r w:rsidR="002879B5" w:rsidRPr="00CE36AA">
        <w:t xml:space="preserve"> També l’enduriment específic de les penes en matèria de violència domèstica, principalment, de les reformes penals del 2003 i 2004.</w:t>
      </w:r>
    </w:p>
    <w:p w:rsidR="008C042C" w:rsidRPr="00CE36AA" w:rsidRDefault="008C042C" w:rsidP="00CE1651">
      <w:r w:rsidRPr="00CE36AA">
        <w:t>De 2001 a 2009, la població encarcerada va incrementar un 64,3</w:t>
      </w:r>
      <w:r w:rsidR="001F63CD">
        <w:t xml:space="preserve"> %</w:t>
      </w:r>
      <w:r w:rsidRPr="00CE36AA">
        <w:t>, al mateix pas que ho feia el percentatge d’estrangers encarcerats, que va passar del 26</w:t>
      </w:r>
      <w:r w:rsidR="001F63CD">
        <w:t xml:space="preserve"> %</w:t>
      </w:r>
      <w:r w:rsidRPr="00CE36AA">
        <w:t xml:space="preserve"> al 43</w:t>
      </w:r>
      <w:r w:rsidR="001F63CD">
        <w:t xml:space="preserve"> %</w:t>
      </w:r>
      <w:r w:rsidRPr="00CE36AA">
        <w:t xml:space="preserve"> en aquest període.</w:t>
      </w:r>
      <w:r w:rsidR="00E44A91" w:rsidRPr="00CE36AA">
        <w:t xml:space="preserve"> El</w:t>
      </w:r>
      <w:r w:rsidR="00794FE5" w:rsidRPr="00CE36AA">
        <w:t xml:space="preserve"> nombre d’</w:t>
      </w:r>
      <w:r w:rsidR="00E44A91" w:rsidRPr="00CE36AA">
        <w:t>ingressos anuals en presó va superar durant tot el període les excarceracions, per la qual cosa s’</w:t>
      </w:r>
      <w:r w:rsidR="00CA5AD4" w:rsidRPr="00CE36AA">
        <w:t>anaven</w:t>
      </w:r>
      <w:r w:rsidR="00E44A91" w:rsidRPr="00CE36AA">
        <w:t xml:space="preserve"> acumulant persones en els nostres centres penitenciaris (vegeu </w:t>
      </w:r>
      <w:r w:rsidR="00ED2246">
        <w:fldChar w:fldCharType="begin"/>
      </w:r>
      <w:r w:rsidR="00ED2246">
        <w:instrText xml:space="preserve"> REF _Ref463347849 \h </w:instrText>
      </w:r>
      <w:r w:rsidR="00ED2246">
        <w:fldChar w:fldCharType="separate"/>
      </w:r>
      <w:r w:rsidR="009A1F67">
        <w:t>Gràfic</w:t>
      </w:r>
      <w:r w:rsidR="00CC16AE" w:rsidRPr="00CE36AA">
        <w:t xml:space="preserve"> </w:t>
      </w:r>
      <w:r w:rsidR="00CC16AE">
        <w:rPr>
          <w:noProof/>
        </w:rPr>
        <w:t>10</w:t>
      </w:r>
      <w:r w:rsidR="00ED2246">
        <w:fldChar w:fldCharType="end"/>
      </w:r>
      <w:r w:rsidR="00043D13" w:rsidRPr="00CE36AA">
        <w:t xml:space="preserve">, per al període 2001-2009, </w:t>
      </w:r>
      <w:r w:rsidR="00043D13" w:rsidRPr="00CE36AA">
        <w:rPr>
          <w:i/>
        </w:rPr>
        <w:t xml:space="preserve">Rho de Spearman </w:t>
      </w:r>
      <w:r w:rsidR="00043D13" w:rsidRPr="00CE36AA">
        <w:t>= 0,783, sig.= 0,013</w:t>
      </w:r>
      <w:r w:rsidR="00E44A91" w:rsidRPr="00CE36AA">
        <w:t>)</w:t>
      </w:r>
      <w:r w:rsidR="00315DD7" w:rsidRPr="00CE36AA">
        <w:t>.</w:t>
      </w:r>
      <w:r w:rsidR="00043D13" w:rsidRPr="00CE36AA">
        <w:t xml:space="preserve"> </w:t>
      </w:r>
    </w:p>
    <w:p w:rsidR="00276B3E" w:rsidRPr="00CE36AA" w:rsidRDefault="00043D13" w:rsidP="00CE1651">
      <w:r w:rsidRPr="00CE36AA">
        <w:t>Durant aquest període, l</w:t>
      </w:r>
      <w:r w:rsidR="002879B5" w:rsidRPr="00CE36AA">
        <w:t>a causa més plausible de l’acumulació de persones en les presons és que hi estan més temps</w:t>
      </w:r>
      <w:r w:rsidRPr="00CE36AA">
        <w:t>: l</w:t>
      </w:r>
      <w:r w:rsidR="004A0B1F" w:rsidRPr="00CE36AA">
        <w:t>’any 2001, els excarcerats havien estat una mitjana de 255 dies privats de llibertat</w:t>
      </w:r>
      <w:r w:rsidR="008763A2">
        <w:t>;</w:t>
      </w:r>
      <w:r w:rsidR="004A0B1F" w:rsidRPr="00CE36AA">
        <w:t xml:space="preserve"> els anys 2007 a 2009, la xifra va situar-se a l’entorn dels 400 dies (vegeu </w:t>
      </w:r>
      <w:r w:rsidRPr="00CE36AA">
        <w:fldChar w:fldCharType="begin"/>
      </w:r>
      <w:r w:rsidRPr="00CE36AA">
        <w:instrText xml:space="preserve"> REF _Ref462851675 \h </w:instrText>
      </w:r>
      <w:r w:rsidR="00CE36AA">
        <w:instrText xml:space="preserve"> \* MERGEFORMAT </w:instrText>
      </w:r>
      <w:r w:rsidRPr="00CE36AA">
        <w:fldChar w:fldCharType="separate"/>
      </w:r>
      <w:r w:rsidR="009A1F67">
        <w:t>Gràfic</w:t>
      </w:r>
      <w:r w:rsidR="00CC16AE" w:rsidRPr="00CE36AA">
        <w:t xml:space="preserve"> </w:t>
      </w:r>
      <w:r w:rsidR="00CC16AE">
        <w:rPr>
          <w:noProof/>
        </w:rPr>
        <w:t>5</w:t>
      </w:r>
      <w:r w:rsidRPr="00CE36AA">
        <w:fldChar w:fldCharType="end"/>
      </w:r>
      <w:r w:rsidRPr="00CE36AA">
        <w:t xml:space="preserve">, per al període 2001-2009, </w:t>
      </w:r>
      <w:r w:rsidRPr="00CE36AA">
        <w:rPr>
          <w:i/>
        </w:rPr>
        <w:t xml:space="preserve">Rho de Spearman </w:t>
      </w:r>
      <w:r w:rsidRPr="00CE36AA">
        <w:t>= 0,900, sig.= 0,001</w:t>
      </w:r>
      <w:r w:rsidR="004A0B1F" w:rsidRPr="00CE36AA">
        <w:t>).</w:t>
      </w:r>
      <w:r w:rsidR="00E868A4" w:rsidRPr="00CE36AA">
        <w:t xml:space="preserve"> </w:t>
      </w:r>
    </w:p>
    <w:p w:rsidR="005C5E41" w:rsidRPr="00CE36AA" w:rsidRDefault="00E868A4" w:rsidP="00E868A4">
      <w:r w:rsidRPr="00CE36AA">
        <w:t xml:space="preserve">Tanmateix, sembla </w:t>
      </w:r>
      <w:r w:rsidR="008763A2">
        <w:t>que hi havia</w:t>
      </w:r>
      <w:r w:rsidRPr="00CE36AA">
        <w:t xml:space="preserve"> una altra causa possible de l’increment dels encarcerats. Durant aquest període 2001-2009, </w:t>
      </w:r>
      <w:r w:rsidR="00794FE5" w:rsidRPr="00CE36AA">
        <w:t>els indicadors de</w:t>
      </w:r>
      <w:r w:rsidRPr="00CE36AA">
        <w:t xml:space="preserve"> criminalitat sí </w:t>
      </w:r>
      <w:r w:rsidR="008763A2">
        <w:t xml:space="preserve">que </w:t>
      </w:r>
      <w:r w:rsidRPr="00CE36AA">
        <w:t>va</w:t>
      </w:r>
      <w:r w:rsidR="00794FE5" w:rsidRPr="00CE36AA">
        <w:t>n</w:t>
      </w:r>
      <w:r w:rsidRPr="00CE36AA">
        <w:t xml:space="preserve"> augmentar. Així ho apunt</w:t>
      </w:r>
      <w:r w:rsidR="008763A2">
        <w:t>en</w:t>
      </w:r>
      <w:r w:rsidRPr="00CE36AA">
        <w:t xml:space="preserve"> les dades sobre causes penals registrades, que van incrementar de 21.698, l’any 2003, a 33.523, l’any 2009</w:t>
      </w:r>
      <w:r w:rsidR="00921051" w:rsidRPr="00CE36AA">
        <w:t xml:space="preserve"> (vegeu </w:t>
      </w:r>
      <w:r w:rsidR="00AD544E" w:rsidRPr="00CE36AA">
        <w:fldChar w:fldCharType="begin"/>
      </w:r>
      <w:r w:rsidR="00AD544E" w:rsidRPr="00CE36AA">
        <w:instrText xml:space="preserve"> REF _Ref462850777 \h </w:instrText>
      </w:r>
      <w:r w:rsidR="00CE36AA">
        <w:instrText xml:space="preserve"> \* MERGEFORMAT </w:instrText>
      </w:r>
      <w:r w:rsidR="00AD544E" w:rsidRPr="00CE36AA">
        <w:fldChar w:fldCharType="separate"/>
      </w:r>
      <w:r w:rsidR="009A1F67">
        <w:t>Gràfic</w:t>
      </w:r>
      <w:r w:rsidR="00CC16AE" w:rsidRPr="00CE36AA">
        <w:t xml:space="preserve"> </w:t>
      </w:r>
      <w:r w:rsidR="00CC16AE">
        <w:rPr>
          <w:noProof/>
        </w:rPr>
        <w:t>4</w:t>
      </w:r>
      <w:r w:rsidR="00AD544E" w:rsidRPr="00CE36AA">
        <w:fldChar w:fldCharType="end"/>
      </w:r>
      <w:r w:rsidR="00AD544E" w:rsidRPr="00CE36AA">
        <w:t xml:space="preserve">, </w:t>
      </w:r>
      <w:r w:rsidR="005C5E41" w:rsidRPr="00CE36AA">
        <w:t xml:space="preserve">per al període 2001-2009, </w:t>
      </w:r>
      <w:r w:rsidR="005C5E41" w:rsidRPr="00CE36AA">
        <w:rPr>
          <w:i/>
        </w:rPr>
        <w:t xml:space="preserve">Rho de Spearman </w:t>
      </w:r>
      <w:r w:rsidR="005C5E41" w:rsidRPr="00CE36AA">
        <w:t>= 0,929, sig.= 0,001</w:t>
      </w:r>
      <w:r w:rsidR="00921051" w:rsidRPr="00CE36AA">
        <w:t>).</w:t>
      </w:r>
    </w:p>
    <w:p w:rsidR="00921051" w:rsidRPr="00CE36AA" w:rsidRDefault="00921051" w:rsidP="005C5E41">
      <w:r w:rsidRPr="00CE36AA">
        <w:lastRenderedPageBreak/>
        <w:t>D’altra banda</w:t>
      </w:r>
      <w:r w:rsidR="008763A2">
        <w:t>,</w:t>
      </w:r>
      <w:r w:rsidRPr="00CE36AA">
        <w:t xml:space="preserve"> l’índex de persones que es van declarar víctimes de delictes també va créixer en paral·lel (vegeu </w:t>
      </w:r>
      <w:r w:rsidR="005C5E41" w:rsidRPr="00CE36AA">
        <w:fldChar w:fldCharType="begin"/>
      </w:r>
      <w:r w:rsidR="005C5E41" w:rsidRPr="00CE36AA">
        <w:instrText xml:space="preserve"> REF _Ref462847934 \h </w:instrText>
      </w:r>
      <w:r w:rsidR="00CE36AA">
        <w:instrText xml:space="preserve"> \* MERGEFORMAT </w:instrText>
      </w:r>
      <w:r w:rsidR="005C5E41" w:rsidRPr="00CE36AA">
        <w:fldChar w:fldCharType="separate"/>
      </w:r>
      <w:r w:rsidR="009A1F67">
        <w:t>Gràfic</w:t>
      </w:r>
      <w:r w:rsidR="00CC16AE" w:rsidRPr="00CE36AA">
        <w:t xml:space="preserve"> </w:t>
      </w:r>
      <w:r w:rsidR="00CC16AE">
        <w:rPr>
          <w:noProof/>
        </w:rPr>
        <w:t>2</w:t>
      </w:r>
      <w:r w:rsidR="005C5E41" w:rsidRPr="00CE36AA">
        <w:fldChar w:fldCharType="end"/>
      </w:r>
      <w:r w:rsidR="005C5E41" w:rsidRPr="00CE36AA">
        <w:t xml:space="preserve">, </w:t>
      </w:r>
      <w:r w:rsidR="005C5E41" w:rsidRPr="00CE36AA">
        <w:rPr>
          <w:i/>
        </w:rPr>
        <w:t>Rho de Spearman</w:t>
      </w:r>
      <w:r w:rsidR="005C5E41" w:rsidRPr="00CE36AA">
        <w:t xml:space="preserve"> = 0,783, sig.= 0,013</w:t>
      </w:r>
      <w:r w:rsidRPr="00CE36AA">
        <w:t xml:space="preserve">), </w:t>
      </w:r>
      <w:r w:rsidR="00286F13">
        <w:t>i es va passar</w:t>
      </w:r>
      <w:r w:rsidRPr="00CE36AA">
        <w:t xml:space="preserve"> del 17,3, l’any 2001, a 25,6, l’any 2009.</w:t>
      </w:r>
      <w:r w:rsidR="005C5E41" w:rsidRPr="00CE36AA">
        <w:t xml:space="preserve"> En aquest sentit, e</w:t>
      </w:r>
      <w:r w:rsidR="005271AA" w:rsidRPr="00CE36AA">
        <w:t xml:space="preserve">ntre els anys 2002 i 2008, la inseguretat ciutadana és un dels tres problemes principals </w:t>
      </w:r>
      <w:r w:rsidR="00794FE5" w:rsidRPr="00CE36AA">
        <w:t xml:space="preserve">expressats </w:t>
      </w:r>
      <w:r w:rsidR="005271AA" w:rsidRPr="00CE36AA">
        <w:t>d’un percentatge de població que oscil·la entre el 15,9</w:t>
      </w:r>
      <w:r w:rsidR="001F63CD">
        <w:t xml:space="preserve"> %</w:t>
      </w:r>
      <w:r w:rsidR="005271AA" w:rsidRPr="00CE36AA">
        <w:t xml:space="preserve"> i el 21,8</w:t>
      </w:r>
      <w:r w:rsidR="001F63CD">
        <w:t xml:space="preserve"> %</w:t>
      </w:r>
      <w:r w:rsidR="00794FE5" w:rsidRPr="00CE36AA">
        <w:rPr>
          <w:rStyle w:val="Refernciadenotaapeudepgina"/>
        </w:rPr>
        <w:footnoteReference w:id="9"/>
      </w:r>
      <w:r w:rsidR="005271AA" w:rsidRPr="00CE36AA">
        <w:t>.</w:t>
      </w:r>
    </w:p>
    <w:p w:rsidR="005271AA" w:rsidRPr="00CE36AA" w:rsidRDefault="00672FC9" w:rsidP="00E868A4">
      <w:r w:rsidRPr="00CE36AA">
        <w:t>Finalment, cal destacar que durant aquest període de temps (2001-2009), la població encarcerada creixia en paral·lel a l’</w:t>
      </w:r>
      <w:r w:rsidR="00286F13">
        <w:t>í</w:t>
      </w:r>
      <w:r w:rsidRPr="00CE36AA">
        <w:t>ndex PIB, la qual cosa sembla indicar</w:t>
      </w:r>
      <w:r w:rsidR="0039717C" w:rsidRPr="00CE36AA">
        <w:t>, com s’ha dit anteriorment,</w:t>
      </w:r>
      <w:r w:rsidRPr="00CE36AA">
        <w:t xml:space="preserve"> un efecte crida a la delinqüència (vegeu </w:t>
      </w:r>
      <w:r w:rsidR="0039717C" w:rsidRPr="00CE36AA">
        <w:fldChar w:fldCharType="begin"/>
      </w:r>
      <w:r w:rsidR="0039717C" w:rsidRPr="00CE36AA">
        <w:instrText xml:space="preserve"> REF _Ref462925445 \h </w:instrText>
      </w:r>
      <w:r w:rsidR="00CE36AA">
        <w:instrText xml:space="preserve"> \* MERGEFORMAT </w:instrText>
      </w:r>
      <w:r w:rsidR="0039717C" w:rsidRPr="00CE36AA">
        <w:fldChar w:fldCharType="separate"/>
      </w:r>
      <w:r w:rsidR="009A1F67">
        <w:t>Gràfic</w:t>
      </w:r>
      <w:r w:rsidR="00CC16AE" w:rsidRPr="00CE36AA">
        <w:t xml:space="preserve"> </w:t>
      </w:r>
      <w:r w:rsidR="00CC16AE">
        <w:rPr>
          <w:noProof/>
        </w:rPr>
        <w:t>11</w:t>
      </w:r>
      <w:r w:rsidR="0039717C" w:rsidRPr="00CE36AA">
        <w:fldChar w:fldCharType="end"/>
      </w:r>
      <w:r w:rsidR="0039717C" w:rsidRPr="00CE36AA">
        <w:t xml:space="preserve">, </w:t>
      </w:r>
      <w:r w:rsidR="0039717C" w:rsidRPr="00CE36AA">
        <w:rPr>
          <w:i/>
        </w:rPr>
        <w:t>Rho de Spearman</w:t>
      </w:r>
      <w:r w:rsidR="0039717C" w:rsidRPr="00CE36AA">
        <w:t xml:space="preserve"> = 0,950, sig.= 0,000</w:t>
      </w:r>
      <w:r w:rsidRPr="00CE36AA">
        <w:t>).</w:t>
      </w:r>
    </w:p>
    <w:p w:rsidR="00456E30" w:rsidRPr="00CE36AA" w:rsidRDefault="00701191" w:rsidP="0070401F">
      <w:pPr>
        <w:pStyle w:val="Ttol3"/>
      </w:pPr>
      <w:bookmarkStart w:id="152" w:name="_Toc464685628"/>
      <w:bookmarkStart w:id="153" w:name="_Toc465293359"/>
      <w:r w:rsidRPr="00CE36AA">
        <w:t>Des de 2010: decreixement multifactorial</w:t>
      </w:r>
      <w:bookmarkEnd w:id="152"/>
      <w:bookmarkEnd w:id="153"/>
    </w:p>
    <w:p w:rsidR="00701191" w:rsidRPr="00CE36AA" w:rsidRDefault="00C25114" w:rsidP="00701191">
      <w:r w:rsidRPr="00CE36AA">
        <w:t xml:space="preserve">El </w:t>
      </w:r>
      <w:r w:rsidR="00205C10" w:rsidRPr="00CE36AA">
        <w:t>mes de desembre de</w:t>
      </w:r>
      <w:r w:rsidRPr="00CE36AA">
        <w:t xml:space="preserve"> 2010</w:t>
      </w:r>
      <w:r w:rsidR="00205C10" w:rsidRPr="00CE36AA">
        <w:t xml:space="preserve"> s’inicia el punt d’inflexió en l’evolució creixent de la població encarcerada. Va</w:t>
      </w:r>
      <w:r w:rsidR="00794FE5" w:rsidRPr="00CE36AA">
        <w:t>n</w:t>
      </w:r>
      <w:r w:rsidR="00205C10" w:rsidRPr="00CE36AA">
        <w:t xml:space="preserve"> entrar en vigor les </w:t>
      </w:r>
      <w:r w:rsidRPr="00CE36AA">
        <w:t>modificacions legislatives en matèria penal que van reduir les penes previstes per delictes contra la salut pública</w:t>
      </w:r>
      <w:r w:rsidR="00205C10" w:rsidRPr="00CE36AA">
        <w:t xml:space="preserve"> relacionats amb les </w:t>
      </w:r>
      <w:r w:rsidRPr="00CE36AA">
        <w:t xml:space="preserve">drogues. </w:t>
      </w:r>
      <w:r w:rsidR="00205C10" w:rsidRPr="00CE36AA">
        <w:t>Moltes persones van ser excarcerades en ser revisades les seves condemnes sota el prisma de la nova norma. A partir d’aquest punt</w:t>
      </w:r>
      <w:r w:rsidR="00B67290">
        <w:t xml:space="preserve"> (</w:t>
      </w:r>
      <w:r w:rsidR="0016240B" w:rsidRPr="00CE36AA">
        <w:t>vegeu</w:t>
      </w:r>
      <w:r w:rsidR="00B67290">
        <w:t xml:space="preserve"> </w:t>
      </w:r>
      <w:r w:rsidR="0016240B" w:rsidRPr="00CE36AA">
        <w:fldChar w:fldCharType="begin"/>
      </w:r>
      <w:r w:rsidR="0016240B" w:rsidRPr="00CE36AA">
        <w:instrText xml:space="preserve"> REF _Ref462404303 \h </w:instrText>
      </w:r>
      <w:r w:rsidR="00CE36AA">
        <w:instrText xml:space="preserve"> \* MERGEFORMAT </w:instrText>
      </w:r>
      <w:r w:rsidR="0016240B" w:rsidRPr="00CE36AA">
        <w:fldChar w:fldCharType="separate"/>
      </w:r>
      <w:r w:rsidR="009A1F67">
        <w:t>Gràfic</w:t>
      </w:r>
      <w:r w:rsidR="00CC16AE" w:rsidRPr="00CE36AA">
        <w:t xml:space="preserve"> </w:t>
      </w:r>
      <w:r w:rsidR="00CC16AE">
        <w:rPr>
          <w:noProof/>
        </w:rPr>
        <w:t>1</w:t>
      </w:r>
      <w:r w:rsidR="0016240B" w:rsidRPr="00CE36AA">
        <w:fldChar w:fldCharType="end"/>
      </w:r>
      <w:r w:rsidR="00B67290">
        <w:t>)</w:t>
      </w:r>
      <w:r w:rsidR="0016240B" w:rsidRPr="00CE36AA">
        <w:t>, la tendència de les xifres de població encarcerada és descendent.</w:t>
      </w:r>
    </w:p>
    <w:p w:rsidR="005E6E36" w:rsidRPr="00CE36AA" w:rsidRDefault="0016240B" w:rsidP="00701191">
      <w:r w:rsidRPr="00CE36AA">
        <w:t>Quant a factors que sembla que estan afectant el decrement</w:t>
      </w:r>
      <w:r w:rsidR="002B77C0" w:rsidRPr="00CE36AA">
        <w:t xml:space="preserve">, principalment </w:t>
      </w:r>
      <w:r w:rsidR="0039319E" w:rsidRPr="00CE36AA">
        <w:t>la davallada d’ingressos</w:t>
      </w:r>
      <w:r w:rsidR="002B77C0" w:rsidRPr="00CE36AA">
        <w:t xml:space="preserve"> de persones preventives</w:t>
      </w:r>
      <w:r w:rsidR="00E82A3C" w:rsidRPr="00CE36AA">
        <w:t xml:space="preserve">, que ha passat dels 3.828 ingressos anuals, l’any 2010, a 2.316, l’any 2015 </w:t>
      </w:r>
      <w:r w:rsidR="0039319E" w:rsidRPr="00CE36AA">
        <w:t xml:space="preserve">(vegeu </w:t>
      </w:r>
      <w:r w:rsidR="0039319E" w:rsidRPr="00CE36AA">
        <w:fldChar w:fldCharType="begin"/>
      </w:r>
      <w:r w:rsidR="0039319E" w:rsidRPr="00CE36AA">
        <w:instrText xml:space="preserve"> REF _Ref462999708 \h </w:instrText>
      </w:r>
      <w:r w:rsidR="00CE36AA">
        <w:instrText xml:space="preserve"> \* MERGEFORMAT </w:instrText>
      </w:r>
      <w:r w:rsidR="0039319E" w:rsidRPr="00CE36AA">
        <w:fldChar w:fldCharType="separate"/>
      </w:r>
      <w:r w:rsidR="009A1F67">
        <w:t>Gràfic</w:t>
      </w:r>
      <w:r w:rsidR="00CC16AE" w:rsidRPr="00CE36AA">
        <w:t xml:space="preserve"> </w:t>
      </w:r>
      <w:r w:rsidR="00CC16AE">
        <w:rPr>
          <w:noProof/>
        </w:rPr>
        <w:t>7</w:t>
      </w:r>
      <w:r w:rsidR="0039319E" w:rsidRPr="00CE36AA">
        <w:fldChar w:fldCharType="end"/>
      </w:r>
      <w:r w:rsidR="0039319E" w:rsidRPr="00CE36AA">
        <w:t xml:space="preserve">, </w:t>
      </w:r>
      <w:r w:rsidR="0039319E" w:rsidRPr="00CE36AA">
        <w:rPr>
          <w:i/>
        </w:rPr>
        <w:t>Rho d</w:t>
      </w:r>
      <w:r w:rsidR="00E82FB8">
        <w:rPr>
          <w:i/>
        </w:rPr>
        <w:t xml:space="preserve">e </w:t>
      </w:r>
      <w:r w:rsidR="0039319E" w:rsidRPr="00CE36AA">
        <w:rPr>
          <w:i/>
        </w:rPr>
        <w:t>Spearman</w:t>
      </w:r>
      <w:r w:rsidR="0039319E" w:rsidRPr="00CE36AA">
        <w:t xml:space="preserve"> = 0,886, sig.= 0,019)</w:t>
      </w:r>
      <w:r w:rsidR="00293378" w:rsidRPr="00CE36AA">
        <w:t xml:space="preserve">, situant el </w:t>
      </w:r>
      <w:r w:rsidR="00794FE5" w:rsidRPr="00CE36AA">
        <w:t xml:space="preserve">percentatge </w:t>
      </w:r>
      <w:r w:rsidR="00293378" w:rsidRPr="00CE36AA">
        <w:t>del 19</w:t>
      </w:r>
      <w:r w:rsidR="001F63CD">
        <w:t xml:space="preserve"> %</w:t>
      </w:r>
      <w:r w:rsidR="00AE784E" w:rsidRPr="00CE36AA">
        <w:t xml:space="preserve"> de preventius</w:t>
      </w:r>
      <w:r w:rsidR="00293378" w:rsidRPr="00CE36AA">
        <w:t>, l’any 2010, al 14</w:t>
      </w:r>
      <w:r w:rsidR="001F63CD">
        <w:t xml:space="preserve"> %</w:t>
      </w:r>
      <w:r w:rsidR="00293378" w:rsidRPr="00CE36AA">
        <w:t>, el 2015</w:t>
      </w:r>
      <w:r w:rsidR="00794FE5" w:rsidRPr="00CE36AA">
        <w:t xml:space="preserve"> </w:t>
      </w:r>
      <w:r w:rsidR="00A0244F" w:rsidRPr="00CE36AA">
        <w:t xml:space="preserve">(vegeu </w:t>
      </w:r>
      <w:r w:rsidR="00A0244F" w:rsidRPr="00CE36AA">
        <w:fldChar w:fldCharType="begin"/>
      </w:r>
      <w:r w:rsidR="00A0244F" w:rsidRPr="00CE36AA">
        <w:instrText xml:space="preserve"> REF _Ref462852895 \h </w:instrText>
      </w:r>
      <w:r w:rsidR="00CE36AA">
        <w:instrText xml:space="preserve"> \* MERGEFORMAT </w:instrText>
      </w:r>
      <w:r w:rsidR="00A0244F" w:rsidRPr="00CE36AA">
        <w:fldChar w:fldCharType="separate"/>
      </w:r>
      <w:r w:rsidR="009A1F67">
        <w:t>Gràfic</w:t>
      </w:r>
      <w:r w:rsidR="00CC16AE" w:rsidRPr="00CE36AA">
        <w:t xml:space="preserve"> </w:t>
      </w:r>
      <w:r w:rsidR="00CC16AE">
        <w:rPr>
          <w:noProof/>
        </w:rPr>
        <w:t>6</w:t>
      </w:r>
      <w:r w:rsidR="00A0244F" w:rsidRPr="00CE36AA">
        <w:fldChar w:fldCharType="end"/>
      </w:r>
      <w:r w:rsidR="00A0244F" w:rsidRPr="00CE36AA">
        <w:t>)</w:t>
      </w:r>
      <w:r w:rsidR="001F6230" w:rsidRPr="00CE36AA">
        <w:t>.</w:t>
      </w:r>
    </w:p>
    <w:p w:rsidR="001F6230" w:rsidRPr="00CE36AA" w:rsidRDefault="001F6230" w:rsidP="00701191">
      <w:r w:rsidRPr="00CE36AA">
        <w:t xml:space="preserve">La disminució de la xifra d’encarcerats també està relacionada amb un menor nombre de fets penals que arriben a coneixement dels Mossos d’Esquadra mitjançant denúncia (vegeu </w:t>
      </w:r>
      <w:r w:rsidRPr="00CE36AA">
        <w:fldChar w:fldCharType="begin"/>
      </w:r>
      <w:r w:rsidRPr="00CE36AA">
        <w:instrText xml:space="preserve"> REF _Ref462850777 \h </w:instrText>
      </w:r>
      <w:r w:rsidR="00CE36AA">
        <w:instrText xml:space="preserve"> \* MERGEFORMAT </w:instrText>
      </w:r>
      <w:r w:rsidRPr="00CE36AA">
        <w:fldChar w:fldCharType="separate"/>
      </w:r>
      <w:r w:rsidR="009A1F67">
        <w:t>Gràfic</w:t>
      </w:r>
      <w:r w:rsidR="00CC16AE" w:rsidRPr="00CE36AA">
        <w:t xml:space="preserve"> </w:t>
      </w:r>
      <w:r w:rsidR="00CC16AE">
        <w:rPr>
          <w:noProof/>
        </w:rPr>
        <w:t>4</w:t>
      </w:r>
      <w:r w:rsidRPr="00CE36AA">
        <w:fldChar w:fldCharType="end"/>
      </w:r>
      <w:r w:rsidRPr="00CE36AA">
        <w:t xml:space="preserve">, </w:t>
      </w:r>
      <w:r w:rsidRPr="00CE36AA">
        <w:rPr>
          <w:i/>
        </w:rPr>
        <w:t xml:space="preserve">Rho </w:t>
      </w:r>
      <w:r w:rsidR="00E82FB8">
        <w:rPr>
          <w:i/>
        </w:rPr>
        <w:t xml:space="preserve">de </w:t>
      </w:r>
      <w:r w:rsidRPr="00CE36AA">
        <w:rPr>
          <w:i/>
        </w:rPr>
        <w:t>Spearman</w:t>
      </w:r>
      <w:r w:rsidRPr="00CE36AA">
        <w:t xml:space="preserve"> = 1). </w:t>
      </w:r>
      <w:r w:rsidR="0091611F" w:rsidRPr="00CE36AA">
        <w:t>Aquest fet està avalat per una taxa de victimització que, si bé no informa de relacions significatives, s</w:t>
      </w:r>
      <w:r w:rsidR="001B5724">
        <w:t>í</w:t>
      </w:r>
      <w:r w:rsidR="0091611F" w:rsidRPr="00CE36AA">
        <w:t xml:space="preserve"> que va perfilant un descens a partir de 2010 (vegeu </w:t>
      </w:r>
      <w:r w:rsidR="0091611F" w:rsidRPr="00CE36AA">
        <w:fldChar w:fldCharType="begin"/>
      </w:r>
      <w:r w:rsidR="0091611F" w:rsidRPr="00CE36AA">
        <w:instrText xml:space="preserve"> REF _Ref462847934 \h </w:instrText>
      </w:r>
      <w:r w:rsidR="00CE36AA">
        <w:instrText xml:space="preserve"> \* MERGEFORMAT </w:instrText>
      </w:r>
      <w:r w:rsidR="0091611F" w:rsidRPr="00CE36AA">
        <w:fldChar w:fldCharType="separate"/>
      </w:r>
      <w:r w:rsidR="009A1F67">
        <w:t>Gràfic</w:t>
      </w:r>
      <w:r w:rsidR="00CC16AE" w:rsidRPr="00CE36AA">
        <w:t xml:space="preserve"> </w:t>
      </w:r>
      <w:r w:rsidR="00CC16AE">
        <w:rPr>
          <w:noProof/>
        </w:rPr>
        <w:t>2</w:t>
      </w:r>
      <w:r w:rsidR="0091611F" w:rsidRPr="00CE36AA">
        <w:fldChar w:fldCharType="end"/>
      </w:r>
      <w:r w:rsidR="0091611F" w:rsidRPr="00CE36AA">
        <w:t>).</w:t>
      </w:r>
    </w:p>
    <w:p w:rsidR="006A7D2C" w:rsidRPr="00CE36AA" w:rsidRDefault="006A7D2C" w:rsidP="00701191">
      <w:r w:rsidRPr="00CE36AA">
        <w:t>Cal destacar que, en aquest període 2010-2015, el temps d’estada en presó continua creixent (</w:t>
      </w:r>
      <w:r w:rsidRPr="00CE36AA">
        <w:fldChar w:fldCharType="begin"/>
      </w:r>
      <w:r w:rsidRPr="00CE36AA">
        <w:instrText xml:space="preserve"> REF _Ref462851675 \h </w:instrText>
      </w:r>
      <w:r w:rsidR="00CE36AA">
        <w:instrText xml:space="preserve"> \* MERGEFORMAT </w:instrText>
      </w:r>
      <w:r w:rsidRPr="00CE36AA">
        <w:fldChar w:fldCharType="separate"/>
      </w:r>
      <w:r w:rsidR="009A1F67">
        <w:t>Gràfic</w:t>
      </w:r>
      <w:r w:rsidR="00CC16AE" w:rsidRPr="00CE36AA">
        <w:t xml:space="preserve"> </w:t>
      </w:r>
      <w:r w:rsidR="00CC16AE">
        <w:rPr>
          <w:noProof/>
        </w:rPr>
        <w:t>5</w:t>
      </w:r>
      <w:r w:rsidRPr="00CE36AA">
        <w:fldChar w:fldCharType="end"/>
      </w:r>
      <w:r w:rsidRPr="00CE36AA">
        <w:t>), tot i que aquest sempre ha estat el principal motiu al·legat per explicar el creixement de la població encarcerada.</w:t>
      </w:r>
    </w:p>
    <w:p w:rsidR="00C83159" w:rsidRPr="00CE36AA" w:rsidRDefault="00C83159" w:rsidP="00701191">
      <w:r w:rsidRPr="00CE36AA">
        <w:t xml:space="preserve">Una mirada a l’aplicació de la llibertat condicional (vegeu </w:t>
      </w:r>
      <w:r w:rsidRPr="00CE36AA">
        <w:fldChar w:fldCharType="begin"/>
      </w:r>
      <w:r w:rsidRPr="00CE36AA">
        <w:instrText xml:space="preserve"> REF _Ref463354970 \h </w:instrText>
      </w:r>
      <w:r w:rsidR="00CE36AA">
        <w:instrText xml:space="preserve"> \* MERGEFORMAT </w:instrText>
      </w:r>
      <w:r w:rsidRPr="00CE36AA">
        <w:fldChar w:fldCharType="separate"/>
      </w:r>
      <w:r w:rsidR="009A1F67">
        <w:t>Gràfic</w:t>
      </w:r>
      <w:r w:rsidR="00CC16AE" w:rsidRPr="00CE36AA">
        <w:t xml:space="preserve"> </w:t>
      </w:r>
      <w:r w:rsidR="00CC16AE">
        <w:rPr>
          <w:noProof/>
        </w:rPr>
        <w:t>14</w:t>
      </w:r>
      <w:r w:rsidRPr="00CE36AA">
        <w:fldChar w:fldCharType="end"/>
      </w:r>
      <w:r w:rsidRPr="00CE36AA">
        <w:t>) posa de manifest que la major aplicació d’aquest tipus de compliment ha repercutit directament en la disminució del nombre d’interns en les presons.</w:t>
      </w:r>
    </w:p>
    <w:p w:rsidR="006A7D2C" w:rsidRPr="00CE36AA" w:rsidRDefault="00AE4E63" w:rsidP="00701191">
      <w:r w:rsidRPr="00CE36AA">
        <w:t>D’altra banda</w:t>
      </w:r>
      <w:r w:rsidR="006A7D2C" w:rsidRPr="00CE36AA">
        <w:t>, durant aquest període no s’està fent un major ús de les MPA, com cabria esperar si disminueixen les persones privades de llibertat.</w:t>
      </w:r>
      <w:r w:rsidR="004F6B03" w:rsidRPr="00CE36AA">
        <w:t xml:space="preserve"> La </w:t>
      </w:r>
      <w:r w:rsidR="004F6B03" w:rsidRPr="00CE36AA">
        <w:fldChar w:fldCharType="begin"/>
      </w:r>
      <w:r w:rsidR="004F6B03" w:rsidRPr="00CE36AA">
        <w:instrText xml:space="preserve"> REF _Ref463006699 \h </w:instrText>
      </w:r>
      <w:r w:rsidR="00CE36AA">
        <w:instrText xml:space="preserve"> \* MERGEFORMAT </w:instrText>
      </w:r>
      <w:r w:rsidR="004F6B03" w:rsidRPr="00CE36AA">
        <w:fldChar w:fldCharType="separate"/>
      </w:r>
      <w:r w:rsidR="009A1F67">
        <w:t>Gràfic</w:t>
      </w:r>
      <w:r w:rsidR="00CC16AE" w:rsidRPr="00CE36AA">
        <w:t xml:space="preserve"> </w:t>
      </w:r>
      <w:r w:rsidR="00CC16AE">
        <w:rPr>
          <w:noProof/>
        </w:rPr>
        <w:t>12</w:t>
      </w:r>
      <w:r w:rsidR="004F6B03" w:rsidRPr="00CE36AA">
        <w:fldChar w:fldCharType="end"/>
      </w:r>
      <w:r w:rsidR="004F6B03" w:rsidRPr="00CE36AA">
        <w:t xml:space="preserve"> demostra que les MPA han crescut a mesura que també ho feia la població encarcerada, i que estan disminuint de la mateixa manera. Per tant, la disminució de la població encarcerada no està motivada per un augment en el compliment de mesures penals alternatives.</w:t>
      </w:r>
    </w:p>
    <w:p w:rsidR="000B71D0" w:rsidRPr="00CE36AA" w:rsidRDefault="000B71D0" w:rsidP="000B71D0">
      <w:r w:rsidRPr="00CE36AA">
        <w:t>Finalment, en el període compr</w:t>
      </w:r>
      <w:r w:rsidR="001B5724">
        <w:t>è</w:t>
      </w:r>
      <w:r w:rsidRPr="00CE36AA">
        <w:t>s entre 200</w:t>
      </w:r>
      <w:r w:rsidR="00DC29EE" w:rsidRPr="00CE36AA">
        <w:t>6</w:t>
      </w:r>
      <w:r w:rsidRPr="00CE36AA">
        <w:t xml:space="preserve"> i 2010, </w:t>
      </w:r>
      <w:r w:rsidR="00DC29EE" w:rsidRPr="00CE36AA">
        <w:t xml:space="preserve">van ser repatriats un total de 132 estrangers en situació </w:t>
      </w:r>
      <w:r w:rsidR="005530CE" w:rsidRPr="00CE36AA">
        <w:t>irregular que complien condemna a les</w:t>
      </w:r>
      <w:r w:rsidR="001B5724">
        <w:t xml:space="preserve"> </w:t>
      </w:r>
      <w:r w:rsidRPr="00CE36AA">
        <w:t xml:space="preserve">nostres </w:t>
      </w:r>
      <w:r w:rsidR="005530CE" w:rsidRPr="00CE36AA">
        <w:rPr>
          <w:bCs/>
        </w:rPr>
        <w:t>presons</w:t>
      </w:r>
      <w:r w:rsidR="00DC29EE" w:rsidRPr="00CE36AA">
        <w:rPr>
          <w:bCs/>
        </w:rPr>
        <w:t>; des de 2011 fins a 2015, la xifra ha estat de 978</w:t>
      </w:r>
      <w:r w:rsidRPr="00CE36AA">
        <w:rPr>
          <w:bCs/>
        </w:rPr>
        <w:t>. Aquest</w:t>
      </w:r>
      <w:r w:rsidR="00DC29EE" w:rsidRPr="00CE36AA">
        <w:rPr>
          <w:bCs/>
        </w:rPr>
        <w:t xml:space="preserve"> augment en les </w:t>
      </w:r>
      <w:r w:rsidRPr="00CE36AA">
        <w:rPr>
          <w:bCs/>
        </w:rPr>
        <w:t xml:space="preserve">repatriacions ha estat possible </w:t>
      </w:r>
      <w:r w:rsidR="00CD4323" w:rsidRPr="00CE36AA">
        <w:rPr>
          <w:bCs/>
        </w:rPr>
        <w:t xml:space="preserve">gràcies a </w:t>
      </w:r>
      <w:r w:rsidRPr="00CE36AA">
        <w:rPr>
          <w:bCs/>
        </w:rPr>
        <w:t>l’a</w:t>
      </w:r>
      <w:r w:rsidR="005530CE" w:rsidRPr="00CE36AA">
        <w:t>plicació de la circular d'estrangeria aprovada el 2011</w:t>
      </w:r>
      <w:r w:rsidRPr="00CE36AA">
        <w:t>.</w:t>
      </w:r>
    </w:p>
    <w:p w:rsidR="005530CE" w:rsidRPr="00CE36AA" w:rsidRDefault="00F7609E" w:rsidP="0070401F">
      <w:pPr>
        <w:pStyle w:val="Ttol2"/>
      </w:pPr>
      <w:bookmarkStart w:id="154" w:name="_Toc464685629"/>
      <w:bookmarkStart w:id="155" w:name="_Toc465293360"/>
      <w:r w:rsidRPr="00CE36AA">
        <w:t>L’actualitat comparada</w:t>
      </w:r>
      <w:bookmarkEnd w:id="154"/>
      <w:bookmarkEnd w:id="155"/>
    </w:p>
    <w:p w:rsidR="00211FC9" w:rsidRPr="00CE36AA" w:rsidRDefault="00180F71" w:rsidP="00E868A4">
      <w:r w:rsidRPr="00CE36AA">
        <w:t>Els països del nostre entorn segueixen dinàmiques similars quant a les taxes d’encarcerament durant els últims 11 anys (</w:t>
      </w:r>
      <w:r w:rsidRPr="00CE36AA">
        <w:fldChar w:fldCharType="begin"/>
      </w:r>
      <w:r w:rsidRPr="00CE36AA">
        <w:instrText xml:space="preserve"> REF _Ref463352151 \h </w:instrText>
      </w:r>
      <w:r w:rsidR="00CE36AA">
        <w:instrText xml:space="preserve"> \* MERGEFORMAT </w:instrText>
      </w:r>
      <w:r w:rsidRPr="00CE36AA">
        <w:fldChar w:fldCharType="separate"/>
      </w:r>
      <w:r w:rsidR="009A1F67">
        <w:t>Gràfic</w:t>
      </w:r>
      <w:r w:rsidR="00CC16AE" w:rsidRPr="00CE36AA">
        <w:t xml:space="preserve"> </w:t>
      </w:r>
      <w:r w:rsidR="00CC16AE">
        <w:rPr>
          <w:noProof/>
        </w:rPr>
        <w:t>13</w:t>
      </w:r>
      <w:r w:rsidRPr="00CE36AA">
        <w:fldChar w:fldCharType="end"/>
      </w:r>
      <w:r w:rsidRPr="00CE36AA">
        <w:t xml:space="preserve">). Els pics amb les taxes més elevades se situen en els anys 2009-2011, llevat </w:t>
      </w:r>
      <w:r w:rsidR="001B5724">
        <w:t>d’</w:t>
      </w:r>
      <w:r w:rsidRPr="00CE36AA">
        <w:t xml:space="preserve">algunes excepcions. Figures similars a les que perfilen l’evolució de la taxa en Catalunya són les que presenten Anglaterra i Gal·les, França </w:t>
      </w:r>
      <w:r w:rsidRPr="00CE36AA">
        <w:lastRenderedPageBreak/>
        <w:t>i la resta de l’</w:t>
      </w:r>
      <w:r w:rsidR="001B5724">
        <w:t>E</w:t>
      </w:r>
      <w:r w:rsidRPr="00CE36AA">
        <w:t xml:space="preserve">stat espanyol. Un factor comú, llevat </w:t>
      </w:r>
      <w:r w:rsidR="001B5724">
        <w:t>d’</w:t>
      </w:r>
      <w:r w:rsidRPr="00CE36AA">
        <w:t>el cas de Portugal, és que l’any 2015 presenta les taxes més baixes de persones encarcerades. Europa, doncs, sembla alineada quant a la disminució del nombre de persones en les seves presons.</w:t>
      </w:r>
    </w:p>
    <w:p w:rsidR="00180F71" w:rsidRPr="00CE36AA" w:rsidRDefault="00180F71" w:rsidP="00E868A4"/>
    <w:p w:rsidR="00211FC9" w:rsidRPr="00CE36AA" w:rsidRDefault="00211FC9" w:rsidP="00211FC9">
      <w:pPr>
        <w:keepNext/>
      </w:pPr>
      <w:r w:rsidRPr="00CE36AA">
        <w:rPr>
          <w:noProof/>
          <w:lang w:eastAsia="ca-ES"/>
        </w:rPr>
        <w:drawing>
          <wp:inline distT="0" distB="0" distL="0" distR="0" wp14:anchorId="4AF844DE" wp14:editId="3176D8B5">
            <wp:extent cx="5760000" cy="2880000"/>
            <wp:effectExtent l="0" t="0" r="12700" b="15875"/>
            <wp:docPr id="6" name="Gràfic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211FC9" w:rsidRDefault="009A1F67" w:rsidP="00211FC9">
      <w:pPr>
        <w:pStyle w:val="Llegenda"/>
      </w:pPr>
      <w:bookmarkStart w:id="156" w:name="_Ref463352151"/>
      <w:bookmarkStart w:id="157" w:name="_Toc465293819"/>
      <w:r>
        <w:t>Gràfic</w:t>
      </w:r>
      <w:r w:rsidR="00211FC9" w:rsidRPr="00CE36AA">
        <w:t xml:space="preserve"> </w:t>
      </w:r>
      <w:r w:rsidR="00DB496B">
        <w:fldChar w:fldCharType="begin"/>
      </w:r>
      <w:r w:rsidR="00DB496B">
        <w:instrText xml:space="preserve"> SEQ Il·lustració \* ARABIC </w:instrText>
      </w:r>
      <w:r w:rsidR="00DB496B">
        <w:fldChar w:fldCharType="separate"/>
      </w:r>
      <w:r w:rsidR="00C952DF">
        <w:rPr>
          <w:noProof/>
        </w:rPr>
        <w:t>13</w:t>
      </w:r>
      <w:r w:rsidR="00DB496B">
        <w:rPr>
          <w:noProof/>
        </w:rPr>
        <w:fldChar w:fldCharType="end"/>
      </w:r>
      <w:bookmarkEnd w:id="156"/>
      <w:r w:rsidR="00211FC9" w:rsidRPr="00CE36AA">
        <w:t>. Evolució de la taxa d’encarcerament en els països del nostre entorn. Període 2005-2015</w:t>
      </w:r>
      <w:bookmarkEnd w:id="157"/>
    </w:p>
    <w:p w:rsidR="00251955" w:rsidRPr="00251955" w:rsidRDefault="00251955" w:rsidP="00251955"/>
    <w:p w:rsidR="00F7609E" w:rsidRDefault="00F7609E" w:rsidP="0070401F">
      <w:pPr>
        <w:pStyle w:val="Ttol2"/>
      </w:pPr>
      <w:bookmarkStart w:id="158" w:name="_Toc464685630"/>
      <w:bookmarkStart w:id="159" w:name="_Toc465293361"/>
      <w:r w:rsidRPr="00CE36AA">
        <w:t xml:space="preserve">El perfil actual de la </w:t>
      </w:r>
      <w:r w:rsidRPr="00BE2F2A">
        <w:t>població</w:t>
      </w:r>
      <w:r w:rsidRPr="00CE36AA">
        <w:t xml:space="preserve"> penitenciària</w:t>
      </w:r>
      <w:bookmarkEnd w:id="158"/>
      <w:bookmarkEnd w:id="159"/>
    </w:p>
    <w:p w:rsidR="00BE2F2A" w:rsidRPr="00BE2F2A" w:rsidRDefault="00BE2F2A" w:rsidP="00BE2F2A"/>
    <w:p w:rsidR="00421C07" w:rsidRPr="00CE36AA" w:rsidRDefault="00421C07" w:rsidP="0070401F">
      <w:pPr>
        <w:pStyle w:val="Ttol3"/>
      </w:pPr>
      <w:bookmarkStart w:id="160" w:name="_Ref463341124"/>
      <w:bookmarkStart w:id="161" w:name="_Toc464685631"/>
      <w:bookmarkStart w:id="162" w:name="_Toc465293362"/>
      <w:r w:rsidRPr="00CE36AA">
        <w:t>Dades sociodemogràfiques</w:t>
      </w:r>
      <w:bookmarkEnd w:id="160"/>
      <w:bookmarkEnd w:id="161"/>
      <w:bookmarkEnd w:id="162"/>
    </w:p>
    <w:p w:rsidR="00800275" w:rsidRPr="00CE36AA" w:rsidRDefault="00800275" w:rsidP="00800275">
      <w:r w:rsidRPr="00CE36AA">
        <w:t>L’últim dia d’agost de 2016, hi havia 8.678 persones encarcerades, tot i que des del dia 1 de gener de 2016 han passat per les presons catalanes 12.587 persones.</w:t>
      </w:r>
    </w:p>
    <w:p w:rsidR="00800275" w:rsidRPr="00CE36AA" w:rsidRDefault="00800275" w:rsidP="00800275">
      <w:r w:rsidRPr="00CE36AA">
        <w:t>L’edat mitjana de les persones encarcerades és de 38 anys i les dones representen un 7</w:t>
      </w:r>
      <w:r w:rsidR="001F63CD">
        <w:t xml:space="preserve"> %</w:t>
      </w:r>
      <w:r w:rsidRPr="00CE36AA">
        <w:t xml:space="preserve"> del total, taxa que s’ha mantingut estable al llarg dels anys. Actualment els estrangers són un 43</w:t>
      </w:r>
      <w:r w:rsidR="001F63CD">
        <w:t xml:space="preserve"> %</w:t>
      </w:r>
      <w:r w:rsidRPr="00CE36AA">
        <w:t xml:space="preserve"> dels encarcerats, taxa que sí </w:t>
      </w:r>
      <w:r w:rsidR="001B5724">
        <w:t xml:space="preserve">que </w:t>
      </w:r>
      <w:r w:rsidRPr="00CE36AA">
        <w:t>ha evolucionat de mane</w:t>
      </w:r>
      <w:r w:rsidR="004A4EF4" w:rsidRPr="00CE36AA">
        <w:t>ra important al llarg dels anys, passant del 13</w:t>
      </w:r>
      <w:r w:rsidR="001F63CD">
        <w:t xml:space="preserve"> %</w:t>
      </w:r>
      <w:r w:rsidR="004A4EF4" w:rsidRPr="00CE36AA">
        <w:t>, quant l’assumpció de les competències en matèria penitenciària, al punt màxim del 46</w:t>
      </w:r>
      <w:r w:rsidR="001F63CD">
        <w:t xml:space="preserve"> %</w:t>
      </w:r>
      <w:r w:rsidR="004A4EF4" w:rsidRPr="00CE36AA">
        <w:t xml:space="preserve"> l’any 2011, data des de la qual la taxa evoluciona a la baixa.</w:t>
      </w:r>
    </w:p>
    <w:p w:rsidR="00800275" w:rsidRPr="00CE36AA" w:rsidRDefault="00F31FB2" w:rsidP="00F31FB2">
      <w:r w:rsidRPr="00CE36AA">
        <w:t>Entre les dones encarcerades, les estrangeres representen el 39</w:t>
      </w:r>
      <w:r w:rsidR="001F63CD">
        <w:t xml:space="preserve"> %</w:t>
      </w:r>
      <w:r w:rsidRPr="00CE36AA">
        <w:t xml:space="preserve">, i les </w:t>
      </w:r>
      <w:r w:rsidR="00800275" w:rsidRPr="00CE36AA">
        <w:t xml:space="preserve">més representades són les colombianes i les romaneses, que representen, respectivament, el </w:t>
      </w:r>
      <w:r w:rsidRPr="00CE36AA">
        <w:t>10</w:t>
      </w:r>
      <w:r w:rsidR="001F63CD">
        <w:t xml:space="preserve"> %</w:t>
      </w:r>
      <w:r w:rsidR="00800275" w:rsidRPr="00CE36AA">
        <w:t xml:space="preserve"> i el </w:t>
      </w:r>
      <w:r w:rsidRPr="00CE36AA">
        <w:t>13</w:t>
      </w:r>
      <w:r w:rsidR="001F63CD">
        <w:t xml:space="preserve"> %</w:t>
      </w:r>
      <w:r w:rsidR="00800275" w:rsidRPr="00CE36AA">
        <w:t xml:space="preserve"> de les dones estrangeres.</w:t>
      </w:r>
    </w:p>
    <w:p w:rsidR="00800275" w:rsidRPr="00CE36AA" w:rsidRDefault="00800275" w:rsidP="00800275">
      <w:r w:rsidRPr="00CE36AA">
        <w:t xml:space="preserve">Els homes estrangers representen un </w:t>
      </w:r>
      <w:r w:rsidR="00B45756" w:rsidRPr="00CE36AA">
        <w:t>44</w:t>
      </w:r>
      <w:r w:rsidR="001F63CD">
        <w:t xml:space="preserve"> %</w:t>
      </w:r>
      <w:r w:rsidRPr="00CE36AA">
        <w:t xml:space="preserve"> del total d’homes encarcerats. Els més representats són els </w:t>
      </w:r>
      <w:r w:rsidR="00B45756" w:rsidRPr="00CE36AA">
        <w:t>marroquins, que pràcticament són el 30</w:t>
      </w:r>
      <w:r w:rsidR="001F63CD">
        <w:t xml:space="preserve"> %</w:t>
      </w:r>
      <w:r w:rsidR="00B45756" w:rsidRPr="00CE36AA">
        <w:t xml:space="preserve"> dels homes estrangers encarcerats.</w:t>
      </w:r>
    </w:p>
    <w:p w:rsidR="00800275" w:rsidRPr="00CE36AA" w:rsidRDefault="00800275" w:rsidP="00800275">
      <w:r w:rsidRPr="00CE36AA">
        <w:t>Quant a la situació processal penal, actualment el 14</w:t>
      </w:r>
      <w:r w:rsidR="001F63CD">
        <w:t xml:space="preserve"> %</w:t>
      </w:r>
      <w:r w:rsidRPr="00CE36AA">
        <w:t xml:space="preserve"> de la població encarcerada és preventiva. Aquesta dada és la més baixa d’ençà </w:t>
      </w:r>
      <w:r w:rsidR="001B5724">
        <w:t>d</w:t>
      </w:r>
      <w:r w:rsidRPr="00CE36AA">
        <w:t>el traspàs de les competències</w:t>
      </w:r>
      <w:r w:rsidR="00B45756" w:rsidRPr="00CE36AA">
        <w:t>, en què la xifra va ser del 62</w:t>
      </w:r>
      <w:r w:rsidR="001F63CD">
        <w:t xml:space="preserve"> %</w:t>
      </w:r>
      <w:r w:rsidRPr="00CE36AA">
        <w:t>.</w:t>
      </w:r>
    </w:p>
    <w:p w:rsidR="00800275" w:rsidRPr="00CE36AA" w:rsidRDefault="00800275" w:rsidP="00800275">
      <w:r w:rsidRPr="00CE36AA">
        <w:t>A hores d’ara, només 17 persones resten encarcerades en aplicació de</w:t>
      </w:r>
      <w:r w:rsidR="001B5724">
        <w:t>l</w:t>
      </w:r>
      <w:r w:rsidRPr="00CE36AA">
        <w:t xml:space="preserve"> </w:t>
      </w:r>
      <w:r w:rsidR="001B5724">
        <w:t>C</w:t>
      </w:r>
      <w:r w:rsidRPr="00CE36AA">
        <w:t>odi penal que va ser derogat l’any 1995.</w:t>
      </w:r>
      <w:r w:rsidR="00C55A80" w:rsidRPr="00CE36AA">
        <w:t xml:space="preserve"> </w:t>
      </w:r>
      <w:r w:rsidRPr="00CE36AA">
        <w:t>Els motius de l’encarcerament són principalment fets delictius tipificats contra la propietat (41,5</w:t>
      </w:r>
      <w:r w:rsidR="001F63CD">
        <w:t xml:space="preserve"> %</w:t>
      </w:r>
      <w:r w:rsidRPr="00CE36AA">
        <w:t>), relacionats amb les drogues (20</w:t>
      </w:r>
      <w:r w:rsidR="001F63CD">
        <w:t xml:space="preserve"> %</w:t>
      </w:r>
      <w:r w:rsidRPr="00CE36AA">
        <w:t>), homicidis (10</w:t>
      </w:r>
      <w:r w:rsidR="001F63CD">
        <w:t xml:space="preserve"> %</w:t>
      </w:r>
      <w:r w:rsidRPr="00CE36AA">
        <w:t xml:space="preserve">, </w:t>
      </w:r>
      <w:r w:rsidRPr="00CE36AA">
        <w:lastRenderedPageBreak/>
        <w:t>inclosos els delictes en grau de temptativa), contra la llibertat sexual (6,7</w:t>
      </w:r>
      <w:r w:rsidR="001F63CD">
        <w:t xml:space="preserve"> %</w:t>
      </w:r>
      <w:r w:rsidRPr="00CE36AA">
        <w:t>) i per violència de gènere (6,8</w:t>
      </w:r>
      <w:r w:rsidR="001F63CD">
        <w:t xml:space="preserve"> %</w:t>
      </w:r>
      <w:r w:rsidRPr="00CE36AA">
        <w:t xml:space="preserve">). Aquesta última tipologia ha </w:t>
      </w:r>
      <w:r w:rsidR="001B5724">
        <w:t>a</w:t>
      </w:r>
      <w:r w:rsidRPr="00CE36AA">
        <w:t>ugmenta</w:t>
      </w:r>
      <w:r w:rsidR="001B5724">
        <w:t>t</w:t>
      </w:r>
      <w:r w:rsidRPr="00CE36AA">
        <w:t xml:space="preserve"> en el decurs del últims anys fruit de l’enduriment de la normativa en aquest àmbit</w:t>
      </w:r>
      <w:r w:rsidR="00C55A80" w:rsidRPr="00CE36AA">
        <w:t xml:space="preserve">. </w:t>
      </w:r>
      <w:r w:rsidRPr="00CE36AA">
        <w:t>La tipologia delictiva més freqüent en les dones és la relacionada amb els delictes contra el patrimoni (39</w:t>
      </w:r>
      <w:r w:rsidR="001F63CD">
        <w:t xml:space="preserve"> %</w:t>
      </w:r>
      <w:r w:rsidRPr="00CE36AA">
        <w:t xml:space="preserve"> dels delictes principals), relacionat</w:t>
      </w:r>
      <w:r w:rsidR="00C55A80" w:rsidRPr="00CE36AA">
        <w:t>s</w:t>
      </w:r>
      <w:r w:rsidRPr="00CE36AA">
        <w:t xml:space="preserve"> amb les drogues (34</w:t>
      </w:r>
      <w:r w:rsidR="001F63CD">
        <w:t xml:space="preserve"> %</w:t>
      </w:r>
      <w:r w:rsidRPr="00CE36AA">
        <w:t>), i els delictes d’homicidi (10</w:t>
      </w:r>
      <w:r w:rsidR="001F63CD">
        <w:t xml:space="preserve"> %</w:t>
      </w:r>
      <w:r w:rsidRPr="00CE36AA">
        <w:t>, i</w:t>
      </w:r>
      <w:r w:rsidR="00C55A80" w:rsidRPr="00CE36AA">
        <w:t>nclosos en grau de temptativa).</w:t>
      </w:r>
    </w:p>
    <w:p w:rsidR="00421C07" w:rsidRPr="00CE36AA" w:rsidRDefault="00421C07" w:rsidP="0070401F">
      <w:pPr>
        <w:pStyle w:val="Ttol3"/>
        <w:rPr>
          <w:rFonts w:eastAsiaTheme="minorHAnsi" w:cstheme="minorBidi"/>
          <w:sz w:val="22"/>
          <w:szCs w:val="22"/>
        </w:rPr>
      </w:pPr>
      <w:bookmarkStart w:id="163" w:name="_Toc464685632"/>
      <w:bookmarkStart w:id="164" w:name="_Toc465293363"/>
      <w:r w:rsidRPr="00CE36AA">
        <w:t>Dades relacionades amb la reeducació i la reinserció</w:t>
      </w:r>
      <w:bookmarkEnd w:id="163"/>
      <w:bookmarkEnd w:id="164"/>
    </w:p>
    <w:p w:rsidR="00800275" w:rsidRPr="00CE36AA" w:rsidRDefault="00800275" w:rsidP="00800275">
      <w:r w:rsidRPr="00CE36AA">
        <w:t xml:space="preserve">En l’àmbit de la reeducació i la inserció, el </w:t>
      </w:r>
      <w:r w:rsidR="00421C07" w:rsidRPr="00CE36AA">
        <w:t>20</w:t>
      </w:r>
      <w:r w:rsidR="001F63CD">
        <w:t xml:space="preserve"> %</w:t>
      </w:r>
      <w:r w:rsidRPr="00CE36AA">
        <w:t xml:space="preserve"> dels </w:t>
      </w:r>
      <w:r w:rsidR="004928E3" w:rsidRPr="00CE36AA">
        <w:t>penats</w:t>
      </w:r>
      <w:r w:rsidRPr="00CE36AA">
        <w:t xml:space="preserve"> estan en 3r grau de tractament o règim obert. </w:t>
      </w:r>
      <w:r w:rsidR="00421C07" w:rsidRPr="00CE36AA">
        <w:t>U</w:t>
      </w:r>
      <w:r w:rsidRPr="00CE36AA">
        <w:t xml:space="preserve">n </w:t>
      </w:r>
      <w:r w:rsidR="00421C07" w:rsidRPr="00CE36AA">
        <w:t>2</w:t>
      </w:r>
      <w:r w:rsidR="001F63CD">
        <w:t xml:space="preserve"> %</w:t>
      </w:r>
      <w:r w:rsidRPr="00CE36AA">
        <w:t xml:space="preserve"> </w:t>
      </w:r>
      <w:r w:rsidR="004928E3" w:rsidRPr="00CE36AA">
        <w:t xml:space="preserve">dels encarcerats </w:t>
      </w:r>
      <w:r w:rsidRPr="00CE36AA">
        <w:t xml:space="preserve">es troben en 1r grau o règim tancat per la seva inadaptació o perillositat. </w:t>
      </w:r>
    </w:p>
    <w:p w:rsidR="00800275" w:rsidRPr="00CE36AA" w:rsidRDefault="00800275" w:rsidP="00800275">
      <w:r w:rsidRPr="00CE36AA">
        <w:t xml:space="preserve">El règim obert ha evolucionat </w:t>
      </w:r>
      <w:r w:rsidR="004928E3" w:rsidRPr="00CE36AA">
        <w:t>de manera restrictiva: l’any 2004, la taxa era de 24,6</w:t>
      </w:r>
      <w:r w:rsidR="001F63CD">
        <w:t xml:space="preserve"> %</w:t>
      </w:r>
      <w:r w:rsidR="004928E3" w:rsidRPr="00CE36AA">
        <w:t xml:space="preserve"> dels penats. </w:t>
      </w:r>
      <w:r w:rsidRPr="00CE36AA">
        <w:t xml:space="preserve">En l’actualitat, dels interns que es troben en règim obert, </w:t>
      </w:r>
      <w:r w:rsidR="004928E3" w:rsidRPr="00064DE0">
        <w:t>un 8</w:t>
      </w:r>
      <w:r w:rsidR="001F63CD" w:rsidRPr="00064DE0">
        <w:t xml:space="preserve"> %</w:t>
      </w:r>
      <w:r w:rsidR="004928E3" w:rsidRPr="00064DE0">
        <w:t xml:space="preserve"> estan en unitat</w:t>
      </w:r>
      <w:r w:rsidR="00064DE0" w:rsidRPr="00064DE0">
        <w:t>s</w:t>
      </w:r>
      <w:r w:rsidR="004928E3" w:rsidRPr="00064DE0">
        <w:t xml:space="preserve"> </w:t>
      </w:r>
      <w:r w:rsidR="004928E3" w:rsidRPr="004877D3">
        <w:t xml:space="preserve">dependents; </w:t>
      </w:r>
      <w:r w:rsidRPr="004877D3">
        <w:t xml:space="preserve">el </w:t>
      </w:r>
      <w:r w:rsidR="004928E3" w:rsidRPr="004877D3">
        <w:t>16</w:t>
      </w:r>
      <w:r w:rsidR="001F63CD" w:rsidRPr="004877D3">
        <w:t xml:space="preserve"> %</w:t>
      </w:r>
      <w:r w:rsidR="004928E3" w:rsidRPr="004877D3">
        <w:t>,</w:t>
      </w:r>
      <w:r w:rsidRPr="004877D3">
        <w:t xml:space="preserve"> en article 86.4; i el </w:t>
      </w:r>
      <w:r w:rsidR="004928E3" w:rsidRPr="004877D3">
        <w:t>4</w:t>
      </w:r>
      <w:r w:rsidR="001F63CD" w:rsidRPr="004877D3">
        <w:t xml:space="preserve"> %</w:t>
      </w:r>
      <w:r w:rsidR="004928E3" w:rsidRPr="004877D3">
        <w:t>,</w:t>
      </w:r>
      <w:r w:rsidRPr="004877D3">
        <w:t xml:space="preserve"> </w:t>
      </w:r>
      <w:r w:rsidR="004928E3" w:rsidRPr="004877D3">
        <w:t>en art</w:t>
      </w:r>
      <w:r w:rsidR="00064DE0" w:rsidRPr="004877D3">
        <w:t>icle</w:t>
      </w:r>
      <w:r w:rsidR="004928E3" w:rsidRPr="004877D3">
        <w:t xml:space="preserve"> 86.4</w:t>
      </w:r>
      <w:r w:rsidR="00064DE0" w:rsidRPr="004877D3">
        <w:t>,</w:t>
      </w:r>
      <w:r w:rsidR="00E20D7B" w:rsidRPr="004877D3">
        <w:t xml:space="preserve"> </w:t>
      </w:r>
      <w:r w:rsidRPr="004877D3">
        <w:t>sota control telemàtic</w:t>
      </w:r>
      <w:r w:rsidR="004928E3" w:rsidRPr="004877D3">
        <w:t>.</w:t>
      </w:r>
      <w:r w:rsidR="00566A7C">
        <w:t xml:space="preserve"> </w:t>
      </w:r>
    </w:p>
    <w:p w:rsidR="00800275" w:rsidRPr="00CE36AA" w:rsidRDefault="00800275" w:rsidP="00800275">
      <w:r w:rsidRPr="00CE36AA">
        <w:t xml:space="preserve">A Catalunya, </w:t>
      </w:r>
      <w:r w:rsidR="000502F6" w:rsidRPr="00CE36AA">
        <w:t xml:space="preserve">en l’actualitat, </w:t>
      </w:r>
      <w:r w:rsidRPr="00CE36AA">
        <w:t xml:space="preserve">hi ha </w:t>
      </w:r>
      <w:r w:rsidR="000502F6" w:rsidRPr="00CE36AA">
        <w:t>un 63,6</w:t>
      </w:r>
      <w:r w:rsidR="001F63CD">
        <w:t xml:space="preserve"> %</w:t>
      </w:r>
      <w:r w:rsidR="000502F6" w:rsidRPr="00CE36AA">
        <w:t xml:space="preserve"> de</w:t>
      </w:r>
      <w:r w:rsidRPr="00CE36AA">
        <w:t xml:space="preserve"> persones encarcerades que estan ocupades en els taller</w:t>
      </w:r>
      <w:r w:rsidR="00E20D7B">
        <w:t>s</w:t>
      </w:r>
      <w:r w:rsidRPr="00CE36AA">
        <w:t xml:space="preserve"> productius de CIRE. </w:t>
      </w:r>
      <w:r w:rsidR="000502F6" w:rsidRPr="00CE36AA">
        <w:t xml:space="preserve">El nombre d’interns ocupats s’ha duplicat en els últims </w:t>
      </w:r>
      <w:r w:rsidRPr="00CE36AA">
        <w:t>10 anys.</w:t>
      </w:r>
    </w:p>
    <w:p w:rsidR="007A6D65" w:rsidRPr="00CE36AA" w:rsidRDefault="007A6D65" w:rsidP="007A6D65">
      <w:r w:rsidRPr="00CE36AA">
        <w:t>Durant l’any 2015, hi ha hagut 3.013 alumnes matr</w:t>
      </w:r>
      <w:r w:rsidR="00E20D7B">
        <w:t>iculats</w:t>
      </w:r>
      <w:r w:rsidRPr="00CE36AA">
        <w:t xml:space="preserve"> en cursos de formació ocupacional, 7.696 alumnes matriculats en activitats escolars durant el 2015, 75 interns en tractament especialitzat (DAE) al llarg de 2015, 55 interns en centres externs de deshabituació i</w:t>
      </w:r>
      <w:r w:rsidR="00E20D7B">
        <w:t xml:space="preserve"> </w:t>
      </w:r>
      <w:r w:rsidRPr="00CE36AA">
        <w:t>2.653 interns en programes de toxicomanies.</w:t>
      </w:r>
    </w:p>
    <w:p w:rsidR="007A6D65" w:rsidRPr="00CE36AA" w:rsidRDefault="007A6D65" w:rsidP="007A6D65">
      <w:r w:rsidRPr="00CE36AA">
        <w:t>Quant a programes especialit</w:t>
      </w:r>
      <w:r w:rsidR="0024239A">
        <w:t>z</w:t>
      </w:r>
      <w:r w:rsidRPr="00CE36AA">
        <w:t>ats en funció de les tipologies delictives, en el 2n trimestre del 2016, 197 interns seguien un programa de control de les conductes d’agressió sexual (SAC); 442, un programa de tractament de les conductes de delictes violents (DEVI); i 326 seguien un programa de control de les conductes de violència domèstica.</w:t>
      </w:r>
    </w:p>
    <w:p w:rsidR="00554FDE" w:rsidRPr="00CE36AA" w:rsidRDefault="00554FDE" w:rsidP="005530CE"/>
    <w:p w:rsidR="00D10E4C" w:rsidRPr="00CE36AA" w:rsidRDefault="00D10E4C" w:rsidP="001913DE">
      <w:pPr>
        <w:keepNext/>
      </w:pPr>
      <w:r w:rsidRPr="00CE36AA">
        <w:rPr>
          <w:noProof/>
          <w:lang w:eastAsia="ca-ES"/>
        </w:rPr>
        <w:drawing>
          <wp:inline distT="0" distB="0" distL="0" distR="0" wp14:anchorId="5D00544B" wp14:editId="70AE9A68">
            <wp:extent cx="5612130" cy="3294380"/>
            <wp:effectExtent l="0" t="0" r="26670" b="20320"/>
            <wp:docPr id="9" name="Gràfic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D10E4C" w:rsidRPr="00CE36AA" w:rsidRDefault="009A1F67" w:rsidP="001913DE">
      <w:pPr>
        <w:pStyle w:val="Llegenda"/>
      </w:pPr>
      <w:bookmarkStart w:id="165" w:name="_Ref463354970"/>
      <w:bookmarkStart w:id="166" w:name="_Toc465293820"/>
      <w:r>
        <w:t>Gràfic</w:t>
      </w:r>
      <w:r w:rsidR="001913DE" w:rsidRPr="00CE36AA">
        <w:t xml:space="preserve"> </w:t>
      </w:r>
      <w:r w:rsidR="00DB496B">
        <w:fldChar w:fldCharType="begin"/>
      </w:r>
      <w:r w:rsidR="00DB496B">
        <w:instrText xml:space="preserve"> SEQ Il·lustració \* ARABIC </w:instrText>
      </w:r>
      <w:r w:rsidR="00DB496B">
        <w:fldChar w:fldCharType="separate"/>
      </w:r>
      <w:r w:rsidR="00C952DF">
        <w:rPr>
          <w:noProof/>
        </w:rPr>
        <w:t>14</w:t>
      </w:r>
      <w:r w:rsidR="00DB496B">
        <w:rPr>
          <w:noProof/>
        </w:rPr>
        <w:fldChar w:fldCharType="end"/>
      </w:r>
      <w:bookmarkEnd w:id="165"/>
      <w:r w:rsidR="001913DE" w:rsidRPr="00CE36AA">
        <w:t>. Evolució de la població encarcerada i dels interns que han sortit en llibertat condicional. Període 2004-2015.</w:t>
      </w:r>
      <w:bookmarkEnd w:id="166"/>
      <w:r w:rsidR="001913DE" w:rsidRPr="00CE36AA">
        <w:t xml:space="preserve"> </w:t>
      </w:r>
    </w:p>
    <w:p w:rsidR="00910E4B" w:rsidRPr="00CE36AA" w:rsidRDefault="00910E4B" w:rsidP="00910E4B"/>
    <w:p w:rsidR="00910E4B" w:rsidRPr="00CE36AA" w:rsidRDefault="00910E4B" w:rsidP="00910E4B">
      <w:r w:rsidRPr="00CE36AA">
        <w:lastRenderedPageBreak/>
        <w:t>Paral·lelament, 8.080 interns han desenvolupat activitats esportives durant el 2015; i 2.706, activitats visuals, plàstiques, escèniques o audiovisuals.</w:t>
      </w:r>
    </w:p>
    <w:p w:rsidR="00910E4B" w:rsidRPr="00CE36AA" w:rsidRDefault="00910E4B" w:rsidP="00910E4B">
      <w:r w:rsidRPr="00CE36AA">
        <w:t>L’any 2015, 4.898 interns van gaudir d’un total de 96.796 permisos de sortida; i 1.081 interns van realitzar 1.288 sortides programades. Tanmateix, amb tot aquest volum d’entrades i sortides, 163 interns no van tornar al centre penitenciari.</w:t>
      </w:r>
    </w:p>
    <w:p w:rsidR="00910E4B" w:rsidRPr="00CE36AA" w:rsidRDefault="00910E4B" w:rsidP="00910E4B">
      <w:r w:rsidRPr="00CE36AA">
        <w:t xml:space="preserve">Finalment, l’any 2015 van ser excarcerats 1.147 interns en llibertat condicional. L’evolució del nombre d’interns que </w:t>
      </w:r>
      <w:r w:rsidR="00E20D7B">
        <w:t>s</w:t>
      </w:r>
      <w:r w:rsidRPr="00CE36AA">
        <w:t xml:space="preserve">’han beneficiat d’aquesta figura d’execució penal és palesa en </w:t>
      </w:r>
      <w:r w:rsidR="00752E4C">
        <w:t>el</w:t>
      </w:r>
      <w:r w:rsidRPr="00CE36AA">
        <w:t xml:space="preserve"> </w:t>
      </w:r>
      <w:r w:rsidRPr="00CE36AA">
        <w:fldChar w:fldCharType="begin"/>
      </w:r>
      <w:r w:rsidRPr="00CE36AA">
        <w:instrText xml:space="preserve"> REF _Ref463354970 \h </w:instrText>
      </w:r>
      <w:r w:rsidR="00CE36AA">
        <w:instrText xml:space="preserve"> \* MERGEFORMAT </w:instrText>
      </w:r>
      <w:r w:rsidRPr="00CE36AA">
        <w:fldChar w:fldCharType="separate"/>
      </w:r>
      <w:r w:rsidR="00752E4C">
        <w:t>g</w:t>
      </w:r>
      <w:r w:rsidR="009A1F67">
        <w:t>ràfic</w:t>
      </w:r>
      <w:r w:rsidR="00CC16AE" w:rsidRPr="00CE36AA">
        <w:t xml:space="preserve"> </w:t>
      </w:r>
      <w:r w:rsidR="00CC16AE">
        <w:rPr>
          <w:noProof/>
        </w:rPr>
        <w:t>14</w:t>
      </w:r>
      <w:r w:rsidRPr="00CE36AA">
        <w:fldChar w:fldCharType="end"/>
      </w:r>
      <w:r w:rsidRPr="00CE36AA">
        <w:t>. L’any 2010 es va produir un creixement d’aquesta modalitat de compliment que ha influït directament en la reducció de la població encarcerada.</w:t>
      </w:r>
    </w:p>
    <w:p w:rsidR="00F7609E" w:rsidRPr="00CE36AA" w:rsidRDefault="00F7609E" w:rsidP="0070401F">
      <w:pPr>
        <w:pStyle w:val="Ttol2"/>
      </w:pPr>
      <w:bookmarkStart w:id="167" w:name="_Toc464685633"/>
      <w:bookmarkStart w:id="168" w:name="_Toc465293364"/>
      <w:r w:rsidRPr="00CE36AA">
        <w:t>L’evolució de la reincidència</w:t>
      </w:r>
      <w:bookmarkEnd w:id="167"/>
      <w:bookmarkEnd w:id="168"/>
    </w:p>
    <w:p w:rsidR="00F7609E" w:rsidRPr="00CE36AA" w:rsidRDefault="00B1402E" w:rsidP="00F7609E">
      <w:r w:rsidRPr="00CE36AA">
        <w:t>A Catalunya, el Centre d’Estudis Jurídics i Formació Especialitzada ha dissenyat i elaborat 4 recerques adreçades a conèixer la taxa de reincidència penitenciària dels anys 1992, 2002, 2008 i 2014.</w:t>
      </w:r>
    </w:p>
    <w:p w:rsidR="00B1402E" w:rsidRPr="00CE36AA" w:rsidRDefault="00B1402E" w:rsidP="00B1402E">
      <w:r w:rsidRPr="00CE36AA">
        <w:t>La taxa de reincidència actual és la més baixa de tota la sèrie. S’estima que 3 de cada 10 excarcerats torna a la presó per una nova causa després de 5 anys de seguiment</w:t>
      </w:r>
      <w:r w:rsidR="00170EBA" w:rsidRPr="00CE36AA">
        <w:t xml:space="preserve"> (vegeu </w:t>
      </w:r>
      <w:r w:rsidR="0034522D" w:rsidRPr="00CE36AA">
        <w:fldChar w:fldCharType="begin"/>
      </w:r>
      <w:r w:rsidR="0034522D" w:rsidRPr="00CE36AA">
        <w:instrText xml:space="preserve"> REF _Ref463004354 \h </w:instrText>
      </w:r>
      <w:r w:rsidR="00CE36AA">
        <w:instrText xml:space="preserve"> \* MERGEFORMAT </w:instrText>
      </w:r>
      <w:r w:rsidR="0034522D" w:rsidRPr="00CE36AA">
        <w:fldChar w:fldCharType="separate"/>
      </w:r>
      <w:r w:rsidR="009A1F67">
        <w:t>Gràfic</w:t>
      </w:r>
      <w:r w:rsidR="00CC16AE" w:rsidRPr="00CE36AA">
        <w:t xml:space="preserve"> </w:t>
      </w:r>
      <w:r w:rsidR="00CC16AE">
        <w:rPr>
          <w:noProof/>
        </w:rPr>
        <w:t>15</w:t>
      </w:r>
      <w:r w:rsidR="0034522D" w:rsidRPr="00CE36AA">
        <w:fldChar w:fldCharType="end"/>
      </w:r>
      <w:r w:rsidR="00170EBA" w:rsidRPr="00CE36AA">
        <w:t>)</w:t>
      </w:r>
      <w:r w:rsidRPr="00CE36AA">
        <w:t>.</w:t>
      </w:r>
    </w:p>
    <w:p w:rsidR="0016296A" w:rsidRPr="00CE36AA" w:rsidRDefault="00B1402E" w:rsidP="0016296A">
      <w:r w:rsidRPr="00CE36AA">
        <w:t>Com a explicacions plausibles, l’últim estudi (</w:t>
      </w:r>
      <w:r w:rsidRPr="00D26147">
        <w:rPr>
          <w:smallCaps/>
        </w:rPr>
        <w:t>Capdevila</w:t>
      </w:r>
      <w:r w:rsidR="00286F13">
        <w:rPr>
          <w:smallCaps/>
        </w:rPr>
        <w:t xml:space="preserve">, </w:t>
      </w:r>
      <w:r w:rsidR="00286F13" w:rsidRPr="004B3FDA">
        <w:t>Manel</w:t>
      </w:r>
      <w:r w:rsidRPr="00D26147">
        <w:rPr>
          <w:smallCaps/>
        </w:rPr>
        <w:t xml:space="preserve"> </w:t>
      </w:r>
      <w:r w:rsidR="00286F13">
        <w:rPr>
          <w:rFonts w:cs="Arial"/>
          <w:smallCaps/>
        </w:rPr>
        <w:t>[</w:t>
      </w:r>
      <w:r w:rsidR="00D26147" w:rsidRPr="00286F13">
        <w:rPr>
          <w:i/>
        </w:rPr>
        <w:t>et al</w:t>
      </w:r>
      <w:r w:rsidRPr="00CE36AA">
        <w:t>.</w:t>
      </w:r>
      <w:r w:rsidR="00286F13">
        <w:rPr>
          <w:rFonts w:cs="Arial"/>
        </w:rPr>
        <w:t>]</w:t>
      </w:r>
      <w:r w:rsidR="00286F13">
        <w:t>.</w:t>
      </w:r>
      <w:r w:rsidRPr="00CE36AA">
        <w:t xml:space="preserve"> </w:t>
      </w:r>
      <w:r w:rsidRPr="00D26147">
        <w:rPr>
          <w:i/>
        </w:rPr>
        <w:t>La taxa de reincidència penitenciària 2014</w:t>
      </w:r>
      <w:r w:rsidRPr="00CE36AA">
        <w:t xml:space="preserve">. </w:t>
      </w:r>
      <w:r w:rsidR="00D26147">
        <w:t xml:space="preserve">Barcelona: </w:t>
      </w:r>
      <w:r w:rsidRPr="00CE36AA">
        <w:t>Generalitat de Catalunya</w:t>
      </w:r>
      <w:r w:rsidR="00D26147">
        <w:t>. CEJFE, 2015</w:t>
      </w:r>
      <w:r w:rsidRPr="00CE36AA">
        <w:t>) apunta, entre d’altres, a (1) el descens de la criminalitat; (2) l’augment dels sistemes de seguretat per a la prevenció de delictes menors que són els que generen més reincidència; (3) la creació de tipologies delictives amb menys reincidència (violència de gènere i delictes contra la seguretat del trànsit), (4) l’augment de l’edat dels encarcerats, tant a l’entrada quant a la sortida de presó, (5) l’obertura de nous equipaments penitenciaris –Brians 2, Lledoners i Joves (2008)</w:t>
      </w:r>
      <w:r w:rsidR="00D26147" w:rsidRPr="00CE36AA">
        <w:t>–</w:t>
      </w:r>
      <w:r w:rsidRPr="00CE36AA">
        <w:t xml:space="preserve"> amb nous projectes i més intervenció; (6) la creació de noves unitats dependents externes per al tractament de toxicomanies, que possibilita tractaments específics; (7) major pressupost públic en el període 2006-2010, amb suport als interns i llurs famílies en situació de precarietat i més suport a entitats socials col·laboradores que van incrementar la presència en les presons i en els processos d’acollida en llibertat; (8) més participació de les persones encarcerades en tallers productius dins de les presons</w:t>
      </w:r>
      <w:r w:rsidR="0016296A" w:rsidRPr="00CE36AA">
        <w:t>; (9) augment dels programes de rehabilitació en els centres</w:t>
      </w:r>
      <w:r w:rsidR="00D26147">
        <w:t xml:space="preserve"> mateixos</w:t>
      </w:r>
      <w:r w:rsidR="0016296A" w:rsidRPr="00CE36AA">
        <w:t>; (10) implementació del model d’</w:t>
      </w:r>
      <w:r w:rsidR="00D26147">
        <w:t>a</w:t>
      </w:r>
      <w:r w:rsidR="0016296A" w:rsidRPr="00CE36AA">
        <w:t xml:space="preserve">valuació i valoració basat en el </w:t>
      </w:r>
      <w:r w:rsidR="0016296A" w:rsidRPr="00D26147">
        <w:t>RisCanvi</w:t>
      </w:r>
      <w:r w:rsidR="0016296A" w:rsidRPr="00CE36AA">
        <w:t>, que va reorientar la intervenció</w:t>
      </w:r>
      <w:r w:rsidR="00D26147">
        <w:t>,</w:t>
      </w:r>
      <w:r w:rsidR="0016296A" w:rsidRPr="00CE36AA">
        <w:t xml:space="preserve"> i (11) posada en marxa de dos protocols de coordinació amb altres institucions: protocol d’excarceracions d’alt risc (coordinació amb Fiscalia), i protocol de coordinació amb víctimes.</w:t>
      </w:r>
    </w:p>
    <w:p w:rsidR="006E5896" w:rsidRPr="00CE36AA" w:rsidRDefault="006E5896" w:rsidP="0016296A"/>
    <w:p w:rsidR="002E5AB8" w:rsidRPr="00CE36AA" w:rsidRDefault="002E5AB8" w:rsidP="006F15D5">
      <w:pPr>
        <w:keepNext/>
        <w:jc w:val="center"/>
      </w:pPr>
      <w:r w:rsidRPr="00CE36AA">
        <w:rPr>
          <w:noProof/>
          <w:lang w:eastAsia="ca-ES"/>
        </w:rPr>
        <w:lastRenderedPageBreak/>
        <w:drawing>
          <wp:inline distT="0" distB="0" distL="0" distR="0" wp14:anchorId="1E39FAAF" wp14:editId="3152C2DF">
            <wp:extent cx="5040000" cy="2520000"/>
            <wp:effectExtent l="0" t="0" r="27305" b="13970"/>
            <wp:docPr id="3" name="Gràfic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B1402E" w:rsidRPr="00CE36AA" w:rsidRDefault="009A1F67" w:rsidP="00B1402E">
      <w:pPr>
        <w:pStyle w:val="Llegenda"/>
      </w:pPr>
      <w:bookmarkStart w:id="169" w:name="_Ref463004354"/>
      <w:bookmarkStart w:id="170" w:name="_Toc465293821"/>
      <w:r>
        <w:t>Gràfic</w:t>
      </w:r>
      <w:r w:rsidR="00B1402E" w:rsidRPr="00CE36AA">
        <w:t xml:space="preserve"> </w:t>
      </w:r>
      <w:r w:rsidR="00DB496B">
        <w:fldChar w:fldCharType="begin"/>
      </w:r>
      <w:r w:rsidR="00DB496B">
        <w:instrText xml:space="preserve"> SEQ Il·lustració \* ARABIC </w:instrText>
      </w:r>
      <w:r w:rsidR="00DB496B">
        <w:fldChar w:fldCharType="separate"/>
      </w:r>
      <w:r w:rsidR="00C952DF">
        <w:rPr>
          <w:noProof/>
        </w:rPr>
        <w:t>15</w:t>
      </w:r>
      <w:r w:rsidR="00DB496B">
        <w:rPr>
          <w:noProof/>
        </w:rPr>
        <w:fldChar w:fldCharType="end"/>
      </w:r>
      <w:bookmarkEnd w:id="169"/>
      <w:r w:rsidR="00B1402E" w:rsidRPr="00CE36AA">
        <w:t>. Evolució de la taxa de reincidència penitenciària a Catalunya.</w:t>
      </w:r>
      <w:bookmarkEnd w:id="170"/>
    </w:p>
    <w:p w:rsidR="00B1402E" w:rsidRPr="00CE36AA" w:rsidRDefault="00B1402E" w:rsidP="00B1402E"/>
    <w:p w:rsidR="002C6DFA" w:rsidRPr="00CE36AA" w:rsidRDefault="002C6DFA" w:rsidP="00B1402E">
      <w:r w:rsidRPr="00CE36AA">
        <w:t xml:space="preserve">L’estudi ha evidenciat que els </w:t>
      </w:r>
      <w:r w:rsidRPr="004877D3">
        <w:t>reincidents es caracteritzen per: (</w:t>
      </w:r>
      <w:r w:rsidRPr="00CE36AA">
        <w:t>1) ten</w:t>
      </w:r>
      <w:r w:rsidR="00B61018">
        <w:t>ir</w:t>
      </w:r>
      <w:r w:rsidRPr="00CE36AA">
        <w:t xml:space="preserve"> antecedents penitenciaris, (2) ha</w:t>
      </w:r>
      <w:r w:rsidR="00B61018">
        <w:t>ver</w:t>
      </w:r>
      <w:r w:rsidRPr="00CE36AA">
        <w:t xml:space="preserve"> comès un delicte contra la propietat no violent; (3) </w:t>
      </w:r>
      <w:r w:rsidR="00B61018">
        <w:t xml:space="preserve">haver </w:t>
      </w:r>
      <w:r w:rsidRPr="00CE36AA">
        <w:t>comp</w:t>
      </w:r>
      <w:r w:rsidR="00B61018">
        <w:t>lert</w:t>
      </w:r>
      <w:r w:rsidRPr="00CE36AA">
        <w:t xml:space="preserve"> condemnes curtes inferiors als dos anys, (4) ha</w:t>
      </w:r>
      <w:r w:rsidR="00B61018">
        <w:t>ver</w:t>
      </w:r>
      <w:r w:rsidRPr="00CE36AA">
        <w:t xml:space="preserve"> tingut incidents i regressions</w:t>
      </w:r>
      <w:r w:rsidR="00D26147" w:rsidRPr="00D26147">
        <w:t xml:space="preserve"> </w:t>
      </w:r>
      <w:r w:rsidR="00D26147" w:rsidRPr="00CE36AA">
        <w:t xml:space="preserve">dins del </w:t>
      </w:r>
      <w:r w:rsidR="00D26147" w:rsidRPr="004877D3">
        <w:t>centre penitenciari</w:t>
      </w:r>
      <w:r w:rsidRPr="004877D3">
        <w:t>; (5) no ha</w:t>
      </w:r>
      <w:r w:rsidR="00B61018" w:rsidRPr="004877D3">
        <w:t>ver</w:t>
      </w:r>
      <w:r w:rsidRPr="004877D3">
        <w:t xml:space="preserve"> gaudit de permisos de sortida; (6) </w:t>
      </w:r>
      <w:r w:rsidR="00B61018" w:rsidRPr="004877D3">
        <w:t xml:space="preserve">haver-hi </w:t>
      </w:r>
      <w:r w:rsidRPr="004877D3">
        <w:t>més estrangers del que correspondria</w:t>
      </w:r>
      <w:r w:rsidR="009F18A9" w:rsidRPr="004877D3">
        <w:t xml:space="preserve">, i hi </w:t>
      </w:r>
      <w:r w:rsidRPr="004877D3">
        <w:t>desta</w:t>
      </w:r>
      <w:r w:rsidR="009F18A9" w:rsidRPr="004877D3">
        <w:t>quen</w:t>
      </w:r>
      <w:r w:rsidRPr="004877D3">
        <w:t xml:space="preserve"> els europeus aliens a la UE i </w:t>
      </w:r>
      <w:r w:rsidR="009F18A9" w:rsidRPr="004877D3">
        <w:t xml:space="preserve">els </w:t>
      </w:r>
      <w:r w:rsidRPr="004877D3">
        <w:t>asiàtics</w:t>
      </w:r>
      <w:r w:rsidR="00566A7C">
        <w:t xml:space="preserve"> </w:t>
      </w:r>
      <w:r w:rsidRPr="00CE36AA">
        <w:t>(7) ten</w:t>
      </w:r>
      <w:r w:rsidR="00B61018">
        <w:t>ir</w:t>
      </w:r>
      <w:r w:rsidRPr="00CE36AA">
        <w:t xml:space="preserve"> menys estudis; (8) </w:t>
      </w:r>
      <w:r w:rsidR="00B61018">
        <w:t>ser</w:t>
      </w:r>
      <w:r w:rsidRPr="00CE36AA">
        <w:t xml:space="preserve"> més joves tant en la comissió del primer delicte com en el moment d’entrar a complir la pena base i </w:t>
      </w:r>
      <w:r w:rsidR="00B61018">
        <w:t>en</w:t>
      </w:r>
      <w:r w:rsidRPr="00CE36AA">
        <w:t xml:space="preserve"> sortir de </w:t>
      </w:r>
      <w:r w:rsidR="00B61018">
        <w:t xml:space="preserve">la </w:t>
      </w:r>
      <w:r w:rsidRPr="00CE36AA">
        <w:t>presó</w:t>
      </w:r>
      <w:r w:rsidR="009F18A9">
        <w:t>,</w:t>
      </w:r>
      <w:r w:rsidRPr="00CE36AA">
        <w:t xml:space="preserve"> i (9) </w:t>
      </w:r>
      <w:r w:rsidR="00B61018" w:rsidRPr="004877D3">
        <w:t>haver</w:t>
      </w:r>
      <w:r w:rsidRPr="004877D3">
        <w:t xml:space="preserve"> sortit</w:t>
      </w:r>
      <w:r w:rsidRPr="00CE36AA">
        <w:t xml:space="preserve"> de la presó directament des de 1r o 2n grau.</w:t>
      </w:r>
    </w:p>
    <w:p w:rsidR="00F7609E" w:rsidRPr="00CE36AA" w:rsidRDefault="00F7609E" w:rsidP="0070401F">
      <w:pPr>
        <w:pStyle w:val="Ttol2"/>
      </w:pPr>
      <w:bookmarkStart w:id="171" w:name="_Toc464685634"/>
      <w:bookmarkStart w:id="172" w:name="_Toc465293365"/>
      <w:r w:rsidRPr="00CE36AA">
        <w:t>La predicció de la població penitenciària</w:t>
      </w:r>
      <w:bookmarkEnd w:id="171"/>
      <w:bookmarkEnd w:id="172"/>
    </w:p>
    <w:p w:rsidR="00E772EE" w:rsidRPr="00CE36AA" w:rsidRDefault="006C6489" w:rsidP="00E772EE">
      <w:r w:rsidRPr="00CE36AA">
        <w:t>L’any 2002, davant el continuat creixement de presos dels últims anys, es va evidenciar la necessitat de tenir una eina per a la predicció del creixement en el futur immediat. Es va utilitzar el mètode ARIMA per a la predicció de sèries temporals.</w:t>
      </w:r>
      <w:r w:rsidR="00E772EE" w:rsidRPr="00CE36AA">
        <w:t xml:space="preserve"> Es tracta d’una de les metodologies més utilitzades de les anomenades “econometria de sèries temporals”, que té com a funció identificar, estimar i diagnosticar models dinàmics de sèries temporals en què la variable temps </w:t>
      </w:r>
      <w:r w:rsidR="009F18A9">
        <w:t>representa</w:t>
      </w:r>
      <w:r w:rsidR="00E772EE" w:rsidRPr="00CE36AA">
        <w:t xml:space="preserve"> un paper fonamental. Són les </w:t>
      </w:r>
      <w:r w:rsidR="009F18A9">
        <w:t>mateixes</w:t>
      </w:r>
      <w:r w:rsidR="00E772EE" w:rsidRPr="00CE36AA">
        <w:t xml:space="preserve"> dades temporals de població penitenciària l</w:t>
      </w:r>
      <w:r w:rsidR="009F18A9">
        <w:t>es</w:t>
      </w:r>
      <w:r w:rsidR="00E772EE" w:rsidRPr="00CE36AA">
        <w:t xml:space="preserve"> que indi</w:t>
      </w:r>
      <w:r w:rsidR="009F18A9">
        <w:t>quen</w:t>
      </w:r>
      <w:r w:rsidR="00E772EE" w:rsidRPr="00CE36AA">
        <w:t xml:space="preserve"> les característiques de l’estructura probabilística subjacent, tot ajudant a pronosticar el futur. D’altra banda, però, la utilització de models ARIMA es restringeix a sèries llargues i són útils per al pronòstic a curt termini, no per a la comprensió estructural del creixement de la població encarcerada. Així mateix, aquesta metodologia no entén de modificacions legislatives ni de variacions demogràfiques, socials o econòmiques que hi pugin estar influint.</w:t>
      </w:r>
    </w:p>
    <w:p w:rsidR="000C3F0E" w:rsidRPr="00CE36AA" w:rsidRDefault="000C3F0E" w:rsidP="00E772EE">
      <w:r w:rsidRPr="00CE36AA">
        <w:t xml:space="preserve">La primera predicció es va realitzar </w:t>
      </w:r>
      <w:r w:rsidR="009F18A9">
        <w:t>sobre la</w:t>
      </w:r>
      <w:r w:rsidRPr="00CE36AA">
        <w:t xml:space="preserve"> base </w:t>
      </w:r>
      <w:r w:rsidR="009F18A9">
        <w:t>de</w:t>
      </w:r>
      <w:r w:rsidRPr="00CE36AA">
        <w:t xml:space="preserve"> les observacions procedents de les dades reals des de gener de 2001 fins a març de 2004, i el període de predicció va ser fins al mes de desembre de 2010, en què es va estimar una població penitenciària a Catalunya d’11.033 persones (vegeu </w:t>
      </w:r>
      <w:r w:rsidR="0034522D" w:rsidRPr="00CE36AA">
        <w:fldChar w:fldCharType="begin"/>
      </w:r>
      <w:r w:rsidR="0034522D" w:rsidRPr="00CE36AA">
        <w:instrText xml:space="preserve"> REF _Ref463004288 \h </w:instrText>
      </w:r>
      <w:r w:rsidR="00CE36AA">
        <w:instrText xml:space="preserve"> \* MERGEFORMAT </w:instrText>
      </w:r>
      <w:r w:rsidR="0034522D" w:rsidRPr="00CE36AA">
        <w:fldChar w:fldCharType="separate"/>
      </w:r>
      <w:r w:rsidR="009A1F67">
        <w:t>Gràfic</w:t>
      </w:r>
      <w:r w:rsidR="00CC16AE" w:rsidRPr="00CE36AA">
        <w:t xml:space="preserve"> </w:t>
      </w:r>
      <w:r w:rsidR="00CC16AE">
        <w:rPr>
          <w:noProof/>
        </w:rPr>
        <w:t>16</w:t>
      </w:r>
      <w:r w:rsidR="0034522D" w:rsidRPr="00CE36AA">
        <w:fldChar w:fldCharType="end"/>
      </w:r>
      <w:r w:rsidRPr="00CE36AA">
        <w:t xml:space="preserve">). El transcurs dels mesos va corroborar l’encert de la predicció, i la realitat s’anava ajustant a la predicció, fins que el mes de desembre de 2010, com ja s’ha vist, van ser </w:t>
      </w:r>
      <w:r w:rsidR="00ED2246">
        <w:t>revisades les condemnes i excarcerades</w:t>
      </w:r>
      <w:r w:rsidRPr="00CE36AA">
        <w:t xml:space="preserve"> persones en aplicació de la reforma penal de 2010.</w:t>
      </w:r>
    </w:p>
    <w:p w:rsidR="00884431" w:rsidRPr="00CE36AA" w:rsidRDefault="00884431" w:rsidP="00E772EE"/>
    <w:p w:rsidR="00884431" w:rsidRPr="00CE36AA" w:rsidRDefault="00884431" w:rsidP="00884431">
      <w:pPr>
        <w:keepNext/>
      </w:pPr>
      <w:r w:rsidRPr="00CE36AA">
        <w:rPr>
          <w:noProof/>
          <w:lang w:eastAsia="ca-ES"/>
        </w:rPr>
        <w:lastRenderedPageBreak/>
        <w:drawing>
          <wp:inline distT="0" distB="0" distL="0" distR="0" wp14:anchorId="5A3F4218" wp14:editId="47D76690">
            <wp:extent cx="5760000" cy="2880000"/>
            <wp:effectExtent l="0" t="0" r="12700" b="15875"/>
            <wp:docPr id="4" name="Gràfic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0C3F0E" w:rsidRPr="00CE36AA" w:rsidRDefault="009A1F67" w:rsidP="00884431">
      <w:pPr>
        <w:pStyle w:val="Llegenda"/>
      </w:pPr>
      <w:bookmarkStart w:id="173" w:name="_Ref463004288"/>
      <w:bookmarkStart w:id="174" w:name="_Toc465293822"/>
      <w:r>
        <w:t>Gràfic</w:t>
      </w:r>
      <w:r w:rsidR="00884431" w:rsidRPr="00CE36AA">
        <w:t xml:space="preserve"> </w:t>
      </w:r>
      <w:r w:rsidR="00DB496B">
        <w:fldChar w:fldCharType="begin"/>
      </w:r>
      <w:r w:rsidR="00DB496B">
        <w:instrText xml:space="preserve"> SEQ Il·lustració \* ARABIC </w:instrText>
      </w:r>
      <w:r w:rsidR="00DB496B">
        <w:fldChar w:fldCharType="separate"/>
      </w:r>
      <w:r w:rsidR="00C952DF">
        <w:rPr>
          <w:noProof/>
        </w:rPr>
        <w:t>16</w:t>
      </w:r>
      <w:r w:rsidR="00DB496B">
        <w:rPr>
          <w:noProof/>
        </w:rPr>
        <w:fldChar w:fldCharType="end"/>
      </w:r>
      <w:bookmarkEnd w:id="173"/>
      <w:r w:rsidR="00884431" w:rsidRPr="00CE36AA">
        <w:t xml:space="preserve">. Predicció de la població encarcerada des del 2004 fins al 2010 </w:t>
      </w:r>
      <w:r w:rsidR="009F18A9">
        <w:t>sobre la base de</w:t>
      </w:r>
      <w:r w:rsidR="00884431" w:rsidRPr="00CE36AA">
        <w:t xml:space="preserve"> les observacions del període gener</w:t>
      </w:r>
      <w:r w:rsidR="00B61018">
        <w:t xml:space="preserve"> </w:t>
      </w:r>
      <w:r w:rsidR="00884431" w:rsidRPr="00CE36AA">
        <w:t>2001 a març 2004, i posterior comprovació de les dades reals</w:t>
      </w:r>
      <w:r w:rsidR="009F18A9">
        <w:t>,</w:t>
      </w:r>
      <w:r w:rsidR="00884431" w:rsidRPr="00CE36AA">
        <w:t xml:space="preserve"> abril</w:t>
      </w:r>
      <w:r w:rsidR="009F18A9">
        <w:t xml:space="preserve"> </w:t>
      </w:r>
      <w:r w:rsidR="00884431" w:rsidRPr="00CE36AA">
        <w:t>2004 a desembre 2010.</w:t>
      </w:r>
      <w:bookmarkEnd w:id="174"/>
    </w:p>
    <w:p w:rsidR="000C3F0E" w:rsidRPr="00CE36AA" w:rsidRDefault="000C3F0E" w:rsidP="00E772EE"/>
    <w:p w:rsidR="006C559A" w:rsidRPr="00CE36AA" w:rsidRDefault="006C559A" w:rsidP="00E772EE">
      <w:r w:rsidRPr="00CE36AA">
        <w:t xml:space="preserve">Un cop iniciat el descens de la població encarcerada iniciat en 2010, les prediccions no han pogut ser elaborades amb garanties, atès que les observacions </w:t>
      </w:r>
      <w:r w:rsidR="00D67B9E" w:rsidRPr="00CE36AA">
        <w:t xml:space="preserve">prèvies </w:t>
      </w:r>
      <w:r w:rsidRPr="00CE36AA">
        <w:t>certes en les quals s’ha de sustentar van variar sobtadament de tendència a causa d’un element extern aliè al temps, com ho va ser la reforma penal de 2010.</w:t>
      </w:r>
    </w:p>
    <w:p w:rsidR="006C559A" w:rsidRPr="00CE36AA" w:rsidRDefault="006C559A" w:rsidP="00E772EE">
      <w:r w:rsidRPr="00CE36AA">
        <w:t xml:space="preserve">Ara bé, a </w:t>
      </w:r>
      <w:r w:rsidR="00D67B9E" w:rsidRPr="00CE36AA">
        <w:t xml:space="preserve">inicis de 2011, la tendència a la baixa es va estabilitzar (vegeu </w:t>
      </w:r>
      <w:r w:rsidR="0034522D" w:rsidRPr="00CE36AA">
        <w:fldChar w:fldCharType="begin"/>
      </w:r>
      <w:r w:rsidR="0034522D" w:rsidRPr="00CE36AA">
        <w:instrText xml:space="preserve"> REF _Ref463004304 \h </w:instrText>
      </w:r>
      <w:r w:rsidR="00CE36AA">
        <w:instrText xml:space="preserve"> \* MERGEFORMAT </w:instrText>
      </w:r>
      <w:r w:rsidR="0034522D" w:rsidRPr="00CE36AA">
        <w:fldChar w:fldCharType="separate"/>
      </w:r>
      <w:r w:rsidR="009A1F67">
        <w:t>Gràfic</w:t>
      </w:r>
      <w:r w:rsidR="00CC16AE" w:rsidRPr="00CE36AA">
        <w:t xml:space="preserve"> </w:t>
      </w:r>
      <w:r w:rsidR="00CC16AE">
        <w:rPr>
          <w:noProof/>
        </w:rPr>
        <w:t>17</w:t>
      </w:r>
      <w:r w:rsidR="0034522D" w:rsidRPr="00CE36AA">
        <w:fldChar w:fldCharType="end"/>
      </w:r>
      <w:r w:rsidR="00D67B9E" w:rsidRPr="00CE36AA">
        <w:t>), la qual cosa va permetre realitzar una nova predicció ARIMA sobre les observacions dels mesos de gener de 2011 a març de 2016. Aquesta predicció situa la població encarcerada el mes de desembre de 2020 en 7.183 persones.</w:t>
      </w:r>
    </w:p>
    <w:p w:rsidR="00884431" w:rsidRPr="00CE36AA" w:rsidRDefault="00884431" w:rsidP="00884431">
      <w:pPr>
        <w:keepNext/>
      </w:pPr>
      <w:r w:rsidRPr="00CE36AA">
        <w:rPr>
          <w:noProof/>
          <w:lang w:eastAsia="ca-ES"/>
        </w:rPr>
        <w:drawing>
          <wp:inline distT="0" distB="0" distL="0" distR="0" wp14:anchorId="2D8685F8" wp14:editId="1CCE44E7">
            <wp:extent cx="5760000" cy="2880000"/>
            <wp:effectExtent l="0" t="0" r="12700" b="15875"/>
            <wp:docPr id="5" name="Gràfic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6A4109" w:rsidRDefault="009A1F67" w:rsidP="006A4109">
      <w:pPr>
        <w:pStyle w:val="Llegenda"/>
      </w:pPr>
      <w:bookmarkStart w:id="175" w:name="_Ref463004304"/>
      <w:bookmarkStart w:id="176" w:name="_Toc465293823"/>
      <w:r>
        <w:t>Gràfic</w:t>
      </w:r>
      <w:r w:rsidR="00884431" w:rsidRPr="00CE36AA">
        <w:t xml:space="preserve"> </w:t>
      </w:r>
      <w:r w:rsidR="00DB496B">
        <w:fldChar w:fldCharType="begin"/>
      </w:r>
      <w:r w:rsidR="00DB496B">
        <w:instrText xml:space="preserve"> SEQ Il·lustració \* ARABIC </w:instrText>
      </w:r>
      <w:r w:rsidR="00DB496B">
        <w:fldChar w:fldCharType="separate"/>
      </w:r>
      <w:r w:rsidR="00C952DF">
        <w:rPr>
          <w:noProof/>
        </w:rPr>
        <w:t>17</w:t>
      </w:r>
      <w:r w:rsidR="00DB496B">
        <w:rPr>
          <w:noProof/>
        </w:rPr>
        <w:fldChar w:fldCharType="end"/>
      </w:r>
      <w:bookmarkEnd w:id="175"/>
      <w:r w:rsidR="00884431" w:rsidRPr="00CE36AA">
        <w:t>. Predicció de la població encarcerada des d’abril de 2016 fins al desembre de 2020 en base a les observacions del període gener-2011 a març 2016. S’ha</w:t>
      </w:r>
      <w:r w:rsidR="00FA2114">
        <w:t>n</w:t>
      </w:r>
      <w:r w:rsidR="00884431" w:rsidRPr="00CE36AA">
        <w:t xml:space="preserve"> recollit els valors reals dels 5 primers mesos de la predicció (abril a agost de 2016) que comproven l’ajust de la predicció.</w:t>
      </w:r>
      <w:bookmarkEnd w:id="176"/>
    </w:p>
    <w:p w:rsidR="006A4109" w:rsidRPr="00BE2F2A" w:rsidRDefault="006A4109" w:rsidP="00752E4C">
      <w:pPr>
        <w:pStyle w:val="Ttol1"/>
      </w:pPr>
      <w:bookmarkStart w:id="177" w:name="_Toc463867744"/>
      <w:bookmarkStart w:id="178" w:name="_Toc464685635"/>
      <w:bookmarkStart w:id="179" w:name="_Toc465293366"/>
      <w:r w:rsidRPr="00BE2F2A">
        <w:lastRenderedPageBreak/>
        <w:t>El model d’intervenció</w:t>
      </w:r>
      <w:bookmarkEnd w:id="177"/>
      <w:bookmarkEnd w:id="178"/>
      <w:bookmarkEnd w:id="179"/>
    </w:p>
    <w:p w:rsidR="00BE2F2A" w:rsidRPr="00BE2F2A" w:rsidRDefault="00BE2F2A" w:rsidP="00BE2F2A"/>
    <w:p w:rsidR="006A4109" w:rsidRPr="00F02D52" w:rsidRDefault="006A4109" w:rsidP="0070401F">
      <w:pPr>
        <w:pStyle w:val="Ttol2"/>
      </w:pPr>
      <w:bookmarkStart w:id="180" w:name="_Toc463867745"/>
      <w:bookmarkStart w:id="181" w:name="_Toc464685636"/>
      <w:bookmarkStart w:id="182" w:name="_Toc465293367"/>
      <w:r w:rsidRPr="00F02D52">
        <w:t>Bases explicatives del model i desplegament dels</w:t>
      </w:r>
      <w:r>
        <w:t xml:space="preserve"> serveis de rehabilitació (1984-</w:t>
      </w:r>
      <w:r w:rsidRPr="00F02D52">
        <w:t>1990)</w:t>
      </w:r>
      <w:bookmarkEnd w:id="180"/>
      <w:bookmarkEnd w:id="181"/>
      <w:bookmarkEnd w:id="182"/>
    </w:p>
    <w:p w:rsidR="006A4109" w:rsidRPr="007118F3" w:rsidRDefault="006A4109" w:rsidP="00E930B2">
      <w:pPr>
        <w:rPr>
          <w:rFonts w:eastAsiaTheme="minorEastAsia" w:cs="Arial"/>
        </w:rPr>
      </w:pPr>
      <w:r w:rsidRPr="007118F3">
        <w:rPr>
          <w:rFonts w:eastAsiaTheme="minorEastAsia" w:cs="Arial"/>
        </w:rPr>
        <w:t>L'any 1984 el Govern de Catalunya es va fer càrrec de la gestió dels serveis penitenciaris en el marc de la Llei orgànica general penitenciària (1979) i el Reglament penitenciari (1981). Aquesta normativa, comuna a la totalitat de l'Estat, desplegava el mandat de l'article 25 de la CE, segons el qual les penes privatives de llibertat han d'estar orientades a la reeducació i reinserció social. També garanteix els drets fonamentals per als penats, exceptuant-ne els previstos a la pena, i emfatitza el dret al treball remunerat, els beneficis de la seguretat social, l'accés a la cultura i el desenvolupament integral de la seva personalitat.</w:t>
      </w:r>
    </w:p>
    <w:p w:rsidR="006A4109" w:rsidRPr="007118F3" w:rsidRDefault="006A4109" w:rsidP="00E930B2">
      <w:pPr>
        <w:rPr>
          <w:rFonts w:eastAsiaTheme="minorEastAsia" w:cs="Arial"/>
        </w:rPr>
      </w:pPr>
      <w:r w:rsidRPr="007118F3">
        <w:rPr>
          <w:rFonts w:eastAsiaTheme="minorEastAsia" w:cs="Arial"/>
        </w:rPr>
        <w:t>Durant aquest període es van establir els principis bàsics que havien de complir els serveis penitenciaris per tal d’assolir aquesta missió:</w:t>
      </w:r>
    </w:p>
    <w:p w:rsidR="006A4109" w:rsidRPr="007118F3" w:rsidRDefault="006A4109" w:rsidP="00E930B2">
      <w:pPr>
        <w:rPr>
          <w:rFonts w:eastAsiaTheme="minorEastAsia" w:cs="Arial"/>
        </w:rPr>
      </w:pPr>
      <w:r w:rsidRPr="007118F3">
        <w:rPr>
          <w:rFonts w:eastAsiaTheme="minorEastAsia" w:cs="Arial"/>
        </w:rPr>
        <w:t>Integració del règim (ordre i seguretat) i el tractament (educació i rehabilitació) com dos aspectes interdependents de la gestió penitenciària. Així, l'organització ha de programar el funcionament del centre penitenciari de manera global, atenent les diferents necessitats de l'individu i de la institució: treball, educació, lleure, salut, seguretat, contacte amb l'exterior, seguretat jurídica.</w:t>
      </w:r>
    </w:p>
    <w:p w:rsidR="006A4109" w:rsidRPr="007118F3" w:rsidRDefault="006A4109" w:rsidP="00E930B2">
      <w:pPr>
        <w:rPr>
          <w:rFonts w:eastAsiaTheme="minorEastAsia" w:cs="Arial"/>
        </w:rPr>
      </w:pPr>
      <w:r w:rsidRPr="007118F3">
        <w:rPr>
          <w:rFonts w:eastAsiaTheme="minorEastAsia" w:cs="Arial"/>
        </w:rPr>
        <w:t>Gestió de l'ambient penitenciari com una eina per incentivar el comportament prosocial dels interns.</w:t>
      </w:r>
    </w:p>
    <w:p w:rsidR="006A4109" w:rsidRPr="007118F3" w:rsidRDefault="006A4109" w:rsidP="00E930B2">
      <w:pPr>
        <w:rPr>
          <w:rFonts w:eastAsiaTheme="minorEastAsia" w:cs="Arial"/>
        </w:rPr>
      </w:pPr>
      <w:r w:rsidRPr="007118F3">
        <w:rPr>
          <w:rFonts w:eastAsiaTheme="minorEastAsia" w:cs="Arial"/>
        </w:rPr>
        <w:t>Establiment d'oportunitats d'aprenentatge d'habilitats instrumentals com la formació professional i ocupacional, l'educació reglada i la formació artística.</w:t>
      </w:r>
    </w:p>
    <w:p w:rsidR="006A4109" w:rsidRPr="007118F3" w:rsidRDefault="006A4109" w:rsidP="00E930B2">
      <w:pPr>
        <w:rPr>
          <w:rFonts w:eastAsiaTheme="minorEastAsia" w:cs="Arial"/>
        </w:rPr>
      </w:pPr>
      <w:r w:rsidRPr="007118F3">
        <w:rPr>
          <w:rFonts w:eastAsiaTheme="minorEastAsia" w:cs="Arial"/>
        </w:rPr>
        <w:t>Aplicació de programes de tractament per modificar els factors i dèficits relacionats amb la conducta delictiva.</w:t>
      </w:r>
    </w:p>
    <w:p w:rsidR="006A4109" w:rsidRPr="007118F3" w:rsidRDefault="006A4109" w:rsidP="00E930B2">
      <w:pPr>
        <w:rPr>
          <w:rFonts w:eastAsiaTheme="minorEastAsia" w:cs="Arial"/>
        </w:rPr>
      </w:pPr>
      <w:r w:rsidRPr="007118F3">
        <w:rPr>
          <w:rFonts w:eastAsiaTheme="minorEastAsia" w:cs="Arial"/>
        </w:rPr>
        <w:t xml:space="preserve">Potenciació de la interacció amb l'entorn comunitari per tal de pal·liar els efectes desocialitzadors de la institució i afavorir la integració social. </w:t>
      </w:r>
    </w:p>
    <w:p w:rsidR="006A4109" w:rsidRPr="007118F3" w:rsidRDefault="006A4109" w:rsidP="00E930B2">
      <w:pPr>
        <w:rPr>
          <w:rFonts w:eastAsiaTheme="minorEastAsia" w:cs="Arial"/>
        </w:rPr>
      </w:pPr>
      <w:r w:rsidRPr="007118F3">
        <w:rPr>
          <w:rFonts w:eastAsiaTheme="minorEastAsia" w:cs="Arial"/>
        </w:rPr>
        <w:t>Consolidar equips de tractament a totes les presons que es fessin càrrec de les funcions d’avaluació, classificació, educació i tractament de la població penitenciària. Així, el nombre de personal encarregat d'aquestes funcions (psicòlegs, pedagogs, juristes, educadors, treballadors socials i monitors) va passar de 67 en 1985 a 117 en 1988.</w:t>
      </w:r>
    </w:p>
    <w:p w:rsidR="006A4109" w:rsidRPr="007118F3" w:rsidRDefault="006A4109" w:rsidP="00E930B2">
      <w:pPr>
        <w:rPr>
          <w:rFonts w:eastAsiaTheme="minorEastAsia" w:cs="Arial"/>
        </w:rPr>
      </w:pPr>
      <w:r w:rsidRPr="007118F3">
        <w:rPr>
          <w:rFonts w:eastAsiaTheme="minorEastAsia" w:cs="Arial"/>
        </w:rPr>
        <w:t xml:space="preserve">Estructurar la intervenció mitjançant programes que defineixen els objectius, el problema o necessitat a què donen resposta, les accions a dur a terme i la forma de dur-les a terme. </w:t>
      </w:r>
    </w:p>
    <w:p w:rsidR="006A4109" w:rsidRPr="007118F3" w:rsidRDefault="006A4109" w:rsidP="00E930B2">
      <w:pPr>
        <w:rPr>
          <w:rFonts w:eastAsiaTheme="minorEastAsia" w:cs="Arial"/>
        </w:rPr>
      </w:pPr>
      <w:r w:rsidRPr="007118F3">
        <w:rPr>
          <w:rFonts w:eastAsiaTheme="minorEastAsia" w:cs="Arial"/>
        </w:rPr>
        <w:t>Els programes més significatius desenvolupats en aquesta etapa es van orientar en aquesta direcció:</w:t>
      </w:r>
    </w:p>
    <w:p w:rsidR="006A4109" w:rsidRPr="007118F3" w:rsidRDefault="006A4109" w:rsidP="00E930B2">
      <w:pPr>
        <w:rPr>
          <w:rFonts w:eastAsiaTheme="minorEastAsia" w:cs="Arial"/>
          <w:i/>
        </w:rPr>
      </w:pPr>
      <w:r w:rsidRPr="007118F3">
        <w:rPr>
          <w:rFonts w:eastAsiaTheme="minorEastAsia" w:cs="Arial"/>
          <w:i/>
        </w:rPr>
        <w:t>Programa de classificació interior en règim ordinari, de funcionament interior de les seccions obertes i d'organització funcional dels departaments especials de règim tancat.</w:t>
      </w:r>
    </w:p>
    <w:p w:rsidR="006A4109" w:rsidRPr="007118F3" w:rsidRDefault="006A4109" w:rsidP="00E930B2">
      <w:pPr>
        <w:rPr>
          <w:rFonts w:eastAsiaTheme="minorEastAsia" w:cs="Arial"/>
        </w:rPr>
      </w:pPr>
      <w:r w:rsidRPr="00F02D52">
        <w:rPr>
          <w:rFonts w:eastAsiaTheme="minorEastAsia" w:cs="Arial"/>
          <w:sz w:val="24"/>
          <w:szCs w:val="24"/>
        </w:rPr>
        <w:t xml:space="preserve">D'acord amb el principi </w:t>
      </w:r>
      <w:r>
        <w:rPr>
          <w:rFonts w:eastAsiaTheme="minorEastAsia" w:cs="Arial"/>
          <w:sz w:val="24"/>
          <w:szCs w:val="24"/>
        </w:rPr>
        <w:t>que</w:t>
      </w:r>
      <w:r w:rsidRPr="00F02D52">
        <w:rPr>
          <w:rFonts w:eastAsiaTheme="minorEastAsia" w:cs="Arial"/>
          <w:sz w:val="24"/>
          <w:szCs w:val="24"/>
        </w:rPr>
        <w:t xml:space="preserve"> la conducta dels interns s'explica no </w:t>
      </w:r>
      <w:r>
        <w:rPr>
          <w:rFonts w:eastAsiaTheme="minorEastAsia" w:cs="Arial"/>
          <w:sz w:val="24"/>
          <w:szCs w:val="24"/>
        </w:rPr>
        <w:t>solament</w:t>
      </w:r>
      <w:r w:rsidRPr="00F02D52">
        <w:rPr>
          <w:rFonts w:eastAsiaTheme="minorEastAsia" w:cs="Arial"/>
          <w:sz w:val="24"/>
          <w:szCs w:val="24"/>
        </w:rPr>
        <w:t xml:space="preserve"> pels seus trets de personalitat o ante</w:t>
      </w:r>
      <w:r>
        <w:rPr>
          <w:rFonts w:eastAsiaTheme="minorEastAsia" w:cs="Arial"/>
          <w:sz w:val="24"/>
          <w:szCs w:val="24"/>
        </w:rPr>
        <w:t>cedents sinó també per la influè</w:t>
      </w:r>
      <w:r w:rsidRPr="00F02D52">
        <w:rPr>
          <w:rFonts w:eastAsiaTheme="minorEastAsia" w:cs="Arial"/>
          <w:sz w:val="24"/>
          <w:szCs w:val="24"/>
        </w:rPr>
        <w:t xml:space="preserve">ncia de l'ambient de la </w:t>
      </w:r>
      <w:r w:rsidRPr="007118F3">
        <w:rPr>
          <w:rFonts w:eastAsiaTheme="minorEastAsia" w:cs="Arial"/>
        </w:rPr>
        <w:t xml:space="preserve">institució, es va implementar un programa que per primer cop organitza aspectes clau com són la ubicació dels interns i els criteris per obtenir millores en el règim de vida amb la finalitat d'incentivar la conducta positiva dels interns. Així, els interns són destinats a unitats (galeries o mòduls) que comporten menys o més beneficis (fases progressives) tenint en compte aspectes com la seva participació en activitats, la seva higiene personal, l’abstinència del consum de drogues o la baixa conflictivitat, entre d'altres. Per tant, l’intern, a </w:t>
      </w:r>
      <w:r w:rsidRPr="007118F3">
        <w:rPr>
          <w:rFonts w:eastAsiaTheme="minorEastAsia" w:cs="Arial"/>
        </w:rPr>
        <w:lastRenderedPageBreak/>
        <w:t xml:space="preserve">mesura que progressa/retrocedeix, va canviant d’espai residencial i s’integra en la comunitat que li correspongui.  </w:t>
      </w:r>
    </w:p>
    <w:p w:rsidR="006A4109" w:rsidRPr="007118F3" w:rsidRDefault="006A4109" w:rsidP="00E930B2">
      <w:pPr>
        <w:rPr>
          <w:rFonts w:eastAsiaTheme="minorEastAsia" w:cs="Arial"/>
        </w:rPr>
      </w:pPr>
      <w:r w:rsidRPr="007118F3">
        <w:rPr>
          <w:rFonts w:eastAsiaTheme="minorEastAsia" w:cs="Arial"/>
        </w:rPr>
        <w:t>Aquests programes també es dissenyaven per afavorir, en clau de control, la situació ambiental. La ubicació en un mòdul concret determinava l’expectativa de conducta, el pla de treball individual i el plantejament de futur.</w:t>
      </w:r>
    </w:p>
    <w:p w:rsidR="006A4109" w:rsidRPr="007118F3" w:rsidRDefault="006A4109" w:rsidP="00E930B2">
      <w:pPr>
        <w:rPr>
          <w:rFonts w:eastAsiaTheme="minorEastAsia" w:cs="Arial"/>
        </w:rPr>
      </w:pPr>
      <w:r w:rsidRPr="007118F3">
        <w:rPr>
          <w:rFonts w:eastAsiaTheme="minorEastAsia" w:cs="Arial"/>
        </w:rPr>
        <w:t xml:space="preserve">En règim obert es vincula la conducta dels interns, tant al centre com a l'exterior, al nivell d'autonomia fora del centre i a la intensitat de la intervenció i el seguiment. </w:t>
      </w:r>
    </w:p>
    <w:p w:rsidR="006A4109" w:rsidRPr="007118F3" w:rsidRDefault="006A4109" w:rsidP="00E930B2">
      <w:pPr>
        <w:rPr>
          <w:rFonts w:eastAsiaTheme="minorEastAsia" w:cs="Arial"/>
        </w:rPr>
      </w:pPr>
      <w:r w:rsidRPr="007118F3">
        <w:rPr>
          <w:rFonts w:eastAsiaTheme="minorEastAsia" w:cs="Arial"/>
        </w:rPr>
        <w:t>En el règim tancat (departaments especials) es regula el nivell de beneficis i temps en contacte amb altres interns d'acord amb la conducta dels interns, alhora que s'implementa una oferta d'activitats educatives d'oci i de tractament.</w:t>
      </w:r>
    </w:p>
    <w:p w:rsidR="006A4109" w:rsidRPr="007118F3" w:rsidRDefault="006A4109" w:rsidP="00E930B2">
      <w:pPr>
        <w:rPr>
          <w:rFonts w:eastAsiaTheme="minorEastAsia" w:cs="Arial"/>
          <w:i/>
        </w:rPr>
      </w:pPr>
      <w:r w:rsidRPr="007118F3">
        <w:rPr>
          <w:rFonts w:eastAsiaTheme="minorEastAsia" w:cs="Arial"/>
          <w:i/>
        </w:rPr>
        <w:t xml:space="preserve">Programes educatius, culturals i esportius. </w:t>
      </w:r>
    </w:p>
    <w:p w:rsidR="006A4109" w:rsidRPr="007118F3" w:rsidRDefault="006A4109" w:rsidP="00E930B2">
      <w:pPr>
        <w:rPr>
          <w:rFonts w:eastAsiaTheme="minorEastAsia" w:cs="Arial"/>
        </w:rPr>
      </w:pPr>
      <w:r w:rsidRPr="007118F3">
        <w:rPr>
          <w:rFonts w:eastAsiaTheme="minorEastAsia" w:cs="Arial"/>
        </w:rPr>
        <w:t>Es regula una programació estable d'activitats formatives, culturals i de lleure a cada centre amb la finalitat d'incrementar l'activitat dels interns i les oportunitats d'aprenentatge i ocupació positiva del temps a la presó.</w:t>
      </w:r>
    </w:p>
    <w:p w:rsidR="006A4109" w:rsidRPr="007118F3" w:rsidRDefault="006A4109" w:rsidP="00E930B2">
      <w:pPr>
        <w:rPr>
          <w:rFonts w:eastAsiaTheme="minorEastAsia" w:cs="Arial"/>
          <w:i/>
        </w:rPr>
      </w:pPr>
      <w:r w:rsidRPr="007118F3">
        <w:rPr>
          <w:rFonts w:eastAsiaTheme="minorEastAsia" w:cs="Arial"/>
          <w:i/>
        </w:rPr>
        <w:t xml:space="preserve">Programa de competència psicosocial. </w:t>
      </w:r>
    </w:p>
    <w:p w:rsidR="006A4109" w:rsidRPr="007118F3" w:rsidRDefault="006A4109" w:rsidP="00E930B2">
      <w:pPr>
        <w:rPr>
          <w:rFonts w:eastAsiaTheme="minorEastAsia" w:cs="Arial"/>
        </w:rPr>
      </w:pPr>
      <w:r w:rsidRPr="007118F3">
        <w:rPr>
          <w:rFonts w:eastAsiaTheme="minorEastAsia" w:cs="Arial"/>
        </w:rPr>
        <w:t xml:space="preserve">Basat en els coneixements científics sobre les mancances que influeixen en la conducta delictiva, es va establir aquest programa per als interns, per a l'aprenentatge de competències de pensament i per a les relacions interpersonals o d'autocontrol necessàries per desenvolupar una conducta prosocial tant a la presó com en llibertat. </w:t>
      </w:r>
    </w:p>
    <w:p w:rsidR="006A4109" w:rsidRPr="007118F3" w:rsidRDefault="006A4109" w:rsidP="00E930B2">
      <w:pPr>
        <w:rPr>
          <w:rFonts w:eastAsiaTheme="minorEastAsia" w:cs="Arial"/>
          <w:i/>
        </w:rPr>
      </w:pPr>
      <w:r w:rsidRPr="007118F3">
        <w:rPr>
          <w:rFonts w:eastAsiaTheme="minorEastAsia" w:cs="Arial"/>
          <w:i/>
        </w:rPr>
        <w:t xml:space="preserve">Programa de sortides programades. </w:t>
      </w:r>
    </w:p>
    <w:p w:rsidR="006A4109" w:rsidRPr="007118F3" w:rsidRDefault="006A4109" w:rsidP="00E930B2">
      <w:pPr>
        <w:rPr>
          <w:rFonts w:eastAsiaTheme="minorEastAsia" w:cs="Arial"/>
        </w:rPr>
      </w:pPr>
      <w:r w:rsidRPr="007118F3">
        <w:rPr>
          <w:rFonts w:eastAsiaTheme="minorEastAsia" w:cs="Arial"/>
        </w:rPr>
        <w:t xml:space="preserve">S'organitzen sortides a l'exterior de la presó mitjançant les quals els interns fan activitats en el medi social acompanyats de professionals penitenciaris com a complement a l'activitat al centre i als permisos de sortida que fan individualment. Les sortides programades permeten reforçar el contacte dels interns amb el medi social i faciliten que els professionals puguin influir en el seu comportament i avaluar els canvis en un context més natural que el de la institució. </w:t>
      </w:r>
    </w:p>
    <w:p w:rsidR="006A4109" w:rsidRPr="007118F3" w:rsidRDefault="006A4109" w:rsidP="00E930B2">
      <w:pPr>
        <w:rPr>
          <w:rFonts w:eastAsiaTheme="minorEastAsia" w:cs="Arial"/>
          <w:i/>
        </w:rPr>
      </w:pPr>
      <w:r w:rsidRPr="007118F3">
        <w:rPr>
          <w:rFonts w:eastAsiaTheme="minorEastAsia" w:cs="Arial"/>
          <w:i/>
        </w:rPr>
        <w:t xml:space="preserve">Programa marc de treball social penitenciari a Catalunya. </w:t>
      </w:r>
    </w:p>
    <w:p w:rsidR="006A4109" w:rsidRPr="007118F3" w:rsidRDefault="006A4109" w:rsidP="00E930B2">
      <w:pPr>
        <w:rPr>
          <w:rFonts w:eastAsiaTheme="minorEastAsia" w:cs="Arial"/>
        </w:rPr>
      </w:pPr>
      <w:r w:rsidRPr="007118F3">
        <w:rPr>
          <w:rFonts w:eastAsiaTheme="minorEastAsia" w:cs="Arial"/>
        </w:rPr>
        <w:t>Aquest programa modifica l’orientació del treball social als serveis penitenciaris passant d'un enfocament principalment assistencialista i vinculat a la presó a un altre centrat en el territori on es troba el medi social dels interns i es potencia l'accés d'aquests als recursos socials comunitaris. En aquest sentit, s’estableix un model que diferencia les tasques polivalents de les dels processos de reintegració del treball social. Cal considerar que fins a aquella data el desenvolupament de l’estat del benestar es trobava en un moment embrionari.</w:t>
      </w:r>
    </w:p>
    <w:p w:rsidR="006A4109" w:rsidRPr="007118F3" w:rsidRDefault="006A4109" w:rsidP="00E930B2">
      <w:pPr>
        <w:rPr>
          <w:rFonts w:eastAsiaTheme="minorEastAsia" w:cs="Arial"/>
          <w:b/>
          <w:color w:val="1F497D" w:themeColor="text2"/>
        </w:rPr>
      </w:pPr>
    </w:p>
    <w:p w:rsidR="006A4109" w:rsidRPr="00F02D52" w:rsidRDefault="006A4109" w:rsidP="0070401F">
      <w:pPr>
        <w:pStyle w:val="Ttol2"/>
      </w:pPr>
      <w:bookmarkStart w:id="183" w:name="_Toc463867746"/>
      <w:bookmarkStart w:id="184" w:name="_Toc464685637"/>
      <w:bookmarkStart w:id="185" w:name="_Toc465293368"/>
      <w:r w:rsidRPr="00F02D52">
        <w:t xml:space="preserve">La </w:t>
      </w:r>
      <w:r w:rsidRPr="00EB1B4D">
        <w:t>intervenció</w:t>
      </w:r>
      <w:r w:rsidRPr="00F02D52">
        <w:t xml:space="preserve"> individual</w:t>
      </w:r>
      <w:bookmarkEnd w:id="183"/>
      <w:bookmarkEnd w:id="184"/>
      <w:bookmarkEnd w:id="185"/>
    </w:p>
    <w:p w:rsidR="006A4109" w:rsidRPr="00F02D52" w:rsidRDefault="006A4109" w:rsidP="00E930B2">
      <w:pPr>
        <w:rPr>
          <w:rFonts w:eastAsiaTheme="minorEastAsia" w:cs="Arial"/>
        </w:rPr>
      </w:pPr>
      <w:r w:rsidRPr="00F02D52">
        <w:rPr>
          <w:rFonts w:eastAsiaTheme="minorEastAsia" w:cs="Arial"/>
        </w:rPr>
        <w:t xml:space="preserve">L’àmbit d’intervenció individual </w:t>
      </w:r>
      <w:r>
        <w:rPr>
          <w:rFonts w:eastAsiaTheme="minorEastAsia" w:cs="Arial"/>
        </w:rPr>
        <w:t>inclou</w:t>
      </w:r>
      <w:r w:rsidRPr="00F02D52">
        <w:rPr>
          <w:rFonts w:eastAsiaTheme="minorEastAsia" w:cs="Arial"/>
        </w:rPr>
        <w:t xml:space="preserve"> totes aquelles accions professionals personalitzades i adreçades en exclusiva a l’individu en concret</w:t>
      </w:r>
      <w:r>
        <w:rPr>
          <w:rFonts w:eastAsiaTheme="minorEastAsia" w:cs="Arial"/>
        </w:rPr>
        <w:t>. Des de l’acollida, orientació i assessorament</w:t>
      </w:r>
      <w:r w:rsidRPr="00F02D52">
        <w:rPr>
          <w:rFonts w:eastAsiaTheme="minorEastAsia" w:cs="Arial"/>
        </w:rPr>
        <w:t xml:space="preserve"> </w:t>
      </w:r>
      <w:r>
        <w:rPr>
          <w:rFonts w:eastAsiaTheme="minorEastAsia" w:cs="Arial"/>
        </w:rPr>
        <w:t xml:space="preserve">fins </w:t>
      </w:r>
      <w:r w:rsidRPr="00F02D52">
        <w:rPr>
          <w:rFonts w:eastAsiaTheme="minorEastAsia" w:cs="Arial"/>
        </w:rPr>
        <w:t>al tipus d’entrevista, el registre de les actuacions, el pla de treball, l’avaluació, e</w:t>
      </w:r>
      <w:r>
        <w:rPr>
          <w:rFonts w:eastAsiaTheme="minorEastAsia" w:cs="Arial"/>
        </w:rPr>
        <w:t>l seguiment, etc.</w:t>
      </w:r>
    </w:p>
    <w:p w:rsidR="006A4109" w:rsidRPr="00F02D52" w:rsidRDefault="006A4109" w:rsidP="00E930B2">
      <w:pPr>
        <w:rPr>
          <w:rFonts w:eastAsiaTheme="minorEastAsia" w:cs="Arial"/>
        </w:rPr>
      </w:pPr>
      <w:r w:rsidRPr="00F02D52">
        <w:rPr>
          <w:rFonts w:eastAsiaTheme="minorEastAsia" w:cs="Arial"/>
        </w:rPr>
        <w:t>En aquest sentit, progressivament, i amb l’objecte d’ordenar, qualificar i homogeneïtzar l’activitat professional i la metodologia de treball respecte a cada intern, s’incorporen eines de planificació, avaluació i pronòstic, que han permès disposar d’un corpus professional qualitatiu i unificador.</w:t>
      </w:r>
    </w:p>
    <w:p w:rsidR="006A4109" w:rsidRPr="00F02D52" w:rsidRDefault="006A4109" w:rsidP="00E930B2">
      <w:pPr>
        <w:rPr>
          <w:rFonts w:eastAsiaTheme="minorEastAsia" w:cs="Arial"/>
          <w:b/>
        </w:rPr>
      </w:pPr>
    </w:p>
    <w:p w:rsidR="006A4109" w:rsidRPr="00F02D52" w:rsidRDefault="006A4109" w:rsidP="0070401F">
      <w:pPr>
        <w:pStyle w:val="Ttol3"/>
      </w:pPr>
      <w:bookmarkStart w:id="186" w:name="_Toc463867747"/>
      <w:bookmarkStart w:id="187" w:name="_Toc464685638"/>
      <w:bookmarkStart w:id="188" w:name="_Toc465293369"/>
      <w:r>
        <w:lastRenderedPageBreak/>
        <w:t xml:space="preserve">El </w:t>
      </w:r>
      <w:r w:rsidRPr="00EB1B4D">
        <w:t>Programa</w:t>
      </w:r>
      <w:r>
        <w:t xml:space="preserve"> marc d’atenció i</w:t>
      </w:r>
      <w:r w:rsidRPr="00F02D52">
        <w:t>ndividualitzada (PIT)</w:t>
      </w:r>
      <w:bookmarkEnd w:id="186"/>
      <w:bookmarkEnd w:id="187"/>
      <w:bookmarkEnd w:id="188"/>
    </w:p>
    <w:p w:rsidR="006A4109" w:rsidRPr="00F02D52" w:rsidRDefault="006A4109" w:rsidP="00E930B2">
      <w:pPr>
        <w:rPr>
          <w:rFonts w:eastAsiaTheme="minorEastAsia" w:cs="Arial"/>
        </w:rPr>
      </w:pPr>
      <w:bookmarkStart w:id="189" w:name="_Toc463743324"/>
      <w:r>
        <w:rPr>
          <w:rFonts w:eastAsiaTheme="minorEastAsia" w:cs="Arial"/>
        </w:rPr>
        <w:t>La Llei orgànica g</w:t>
      </w:r>
      <w:r w:rsidRPr="00F02D52">
        <w:rPr>
          <w:rFonts w:eastAsiaTheme="minorEastAsia" w:cs="Arial"/>
        </w:rPr>
        <w:t xml:space="preserve">eneral </w:t>
      </w:r>
      <w:r>
        <w:rPr>
          <w:rFonts w:eastAsiaTheme="minorEastAsia" w:cs="Arial"/>
        </w:rPr>
        <w:t>penitenciària</w:t>
      </w:r>
      <w:r w:rsidRPr="00F02D52">
        <w:rPr>
          <w:rFonts w:eastAsiaTheme="minorEastAsia" w:cs="Arial"/>
        </w:rPr>
        <w:t xml:space="preserve"> estableix que el tractament ha de ser individualitzat, d'acord amb les característiques i necessitats del penat, considerant el seu medi social i sempre comptant am</w:t>
      </w:r>
      <w:r>
        <w:rPr>
          <w:rFonts w:eastAsiaTheme="minorEastAsia" w:cs="Arial"/>
        </w:rPr>
        <w:t>b la participació d'aquell. El P</w:t>
      </w:r>
      <w:r w:rsidRPr="00F02D52">
        <w:rPr>
          <w:rFonts w:eastAsiaTheme="minorEastAsia" w:cs="Arial"/>
        </w:rPr>
        <w:t>rograma marc d'atenció individualitzada (PIT) és el mitj</w:t>
      </w:r>
      <w:r>
        <w:rPr>
          <w:rFonts w:eastAsiaTheme="minorEastAsia" w:cs="Arial"/>
        </w:rPr>
        <w:t>à que s'ha desenvolupat en els serveis p</w:t>
      </w:r>
      <w:r w:rsidRPr="00F02D52">
        <w:rPr>
          <w:rFonts w:eastAsiaTheme="minorEastAsia" w:cs="Arial"/>
        </w:rPr>
        <w:t>enitenciaris de Catalunya per complir aquests requeriments. Així, cada intern compta amb un PIT</w:t>
      </w:r>
      <w:r>
        <w:rPr>
          <w:rFonts w:eastAsiaTheme="minorEastAsia" w:cs="Arial"/>
        </w:rPr>
        <w:t>,</w:t>
      </w:r>
      <w:r w:rsidRPr="00F02D52">
        <w:rPr>
          <w:rFonts w:eastAsiaTheme="minorEastAsia" w:cs="Arial"/>
        </w:rPr>
        <w:t xml:space="preserve"> en el qu</w:t>
      </w:r>
      <w:r>
        <w:rPr>
          <w:rFonts w:eastAsiaTheme="minorEastAsia" w:cs="Arial"/>
        </w:rPr>
        <w:t xml:space="preserve">al </w:t>
      </w:r>
      <w:r w:rsidRPr="00F02D52">
        <w:rPr>
          <w:rFonts w:eastAsiaTheme="minorEastAsia" w:cs="Arial"/>
        </w:rPr>
        <w:t>es defineixen els objectius i les activitats que ha d’assolir</w:t>
      </w:r>
      <w:r>
        <w:rPr>
          <w:rFonts w:eastAsiaTheme="minorEastAsia" w:cs="Arial"/>
        </w:rPr>
        <w:t>,</w:t>
      </w:r>
      <w:r w:rsidRPr="00F02D52">
        <w:rPr>
          <w:rFonts w:eastAsiaTheme="minorEastAsia" w:cs="Arial"/>
        </w:rPr>
        <w:t xml:space="preserve"> així com les expectatives d'accés als permisos, beneficis penitenciaris i canvis en el règim de vida. Aquest programa individual és seqüencial, segons els assoliments per part de l'intern i les diferents fases de compliment de la condemna.</w:t>
      </w:r>
      <w:bookmarkEnd w:id="189"/>
      <w:r w:rsidRPr="00F02D52">
        <w:rPr>
          <w:rFonts w:eastAsiaTheme="minorEastAsia" w:cs="Arial"/>
        </w:rPr>
        <w:t xml:space="preserve"> </w:t>
      </w:r>
    </w:p>
    <w:p w:rsidR="006A4109" w:rsidRPr="00F02D52" w:rsidRDefault="006A4109" w:rsidP="00E930B2">
      <w:pPr>
        <w:rPr>
          <w:rFonts w:eastAsiaTheme="minorEastAsia" w:cs="Arial"/>
        </w:rPr>
      </w:pPr>
      <w:bookmarkStart w:id="190" w:name="_Toc463743325"/>
      <w:r w:rsidRPr="00F02D52">
        <w:rPr>
          <w:rFonts w:eastAsiaTheme="minorEastAsia" w:cs="Arial"/>
        </w:rPr>
        <w:t>La figura principal per</w:t>
      </w:r>
      <w:r>
        <w:rPr>
          <w:rFonts w:eastAsiaTheme="minorEastAsia" w:cs="Arial"/>
        </w:rPr>
        <w:t xml:space="preserve"> a</w:t>
      </w:r>
      <w:r w:rsidRPr="00F02D52">
        <w:rPr>
          <w:rFonts w:eastAsiaTheme="minorEastAsia" w:cs="Arial"/>
        </w:rPr>
        <w:t xml:space="preserve"> l'elaboració del PIT és el tutor, que integra l'avaluació feta mitjançant la seva interacció amb l'intern i la coordinació amb la resta dels professionals de</w:t>
      </w:r>
      <w:r>
        <w:rPr>
          <w:rFonts w:eastAsiaTheme="minorEastAsia" w:cs="Arial"/>
        </w:rPr>
        <w:t xml:space="preserve"> </w:t>
      </w:r>
      <w:r w:rsidRPr="00F02D52">
        <w:rPr>
          <w:rFonts w:eastAsiaTheme="minorEastAsia" w:cs="Arial"/>
        </w:rPr>
        <w:t>l</w:t>
      </w:r>
      <w:r>
        <w:rPr>
          <w:rFonts w:eastAsiaTheme="minorEastAsia" w:cs="Arial"/>
        </w:rPr>
        <w:t>’</w:t>
      </w:r>
      <w:r w:rsidRPr="00F02D52">
        <w:rPr>
          <w:rFonts w:eastAsiaTheme="minorEastAsia" w:cs="Arial"/>
        </w:rPr>
        <w:t xml:space="preserve">equip multidisciplinari (EMD). El PIT </w:t>
      </w:r>
      <w:r>
        <w:rPr>
          <w:rFonts w:eastAsiaTheme="minorEastAsia" w:cs="Arial"/>
        </w:rPr>
        <w:t>es revisa</w:t>
      </w:r>
      <w:r w:rsidRPr="00F02D52">
        <w:rPr>
          <w:rFonts w:eastAsiaTheme="minorEastAsia" w:cs="Arial"/>
        </w:rPr>
        <w:t xml:space="preserve"> cada sis mesos i es presenta a l'intern </w:t>
      </w:r>
      <w:r>
        <w:rPr>
          <w:rFonts w:eastAsiaTheme="minorEastAsia" w:cs="Arial"/>
        </w:rPr>
        <w:t>per al</w:t>
      </w:r>
      <w:r w:rsidRPr="00F02D52">
        <w:rPr>
          <w:rFonts w:eastAsiaTheme="minorEastAsia" w:cs="Arial"/>
        </w:rPr>
        <w:t xml:space="preserve"> seu coneixe</w:t>
      </w:r>
      <w:r>
        <w:rPr>
          <w:rFonts w:eastAsiaTheme="minorEastAsia" w:cs="Arial"/>
        </w:rPr>
        <w:t>me</w:t>
      </w:r>
      <w:r w:rsidRPr="00F02D52">
        <w:rPr>
          <w:rFonts w:eastAsiaTheme="minorEastAsia" w:cs="Arial"/>
        </w:rPr>
        <w:t>nt i per tal de comptar amb la seva participació i propostes.</w:t>
      </w:r>
      <w:bookmarkEnd w:id="190"/>
      <w:r w:rsidRPr="00F02D52">
        <w:rPr>
          <w:rFonts w:eastAsiaTheme="minorEastAsia" w:cs="Arial"/>
        </w:rPr>
        <w:t xml:space="preserve"> </w:t>
      </w:r>
    </w:p>
    <w:p w:rsidR="006A4109" w:rsidRPr="00F02D52" w:rsidRDefault="006A4109" w:rsidP="00E930B2">
      <w:pPr>
        <w:rPr>
          <w:rFonts w:eastAsiaTheme="minorEastAsia" w:cs="Arial"/>
        </w:rPr>
      </w:pPr>
      <w:bookmarkStart w:id="191" w:name="_Toc463743326"/>
      <w:r w:rsidRPr="00F02D52">
        <w:rPr>
          <w:rFonts w:eastAsiaTheme="minorEastAsia" w:cs="Arial"/>
        </w:rPr>
        <w:t>El PIT ha de complir els requeriments i orientacions que estableixen els serveis penitenciaris en relació a</w:t>
      </w:r>
      <w:r>
        <w:rPr>
          <w:rFonts w:eastAsiaTheme="minorEastAsia" w:cs="Arial"/>
        </w:rPr>
        <w:t>mb</w:t>
      </w:r>
      <w:r w:rsidRPr="00F02D52">
        <w:rPr>
          <w:rFonts w:eastAsiaTheme="minorEastAsia" w:cs="Arial"/>
        </w:rPr>
        <w:t xml:space="preserve"> les activitats recomanables a realitzar i els temps d’execució del compliment de pena, d’acord amb les variables individual</w:t>
      </w:r>
      <w:r>
        <w:rPr>
          <w:rFonts w:eastAsiaTheme="minorEastAsia" w:cs="Arial"/>
        </w:rPr>
        <w:t>s</w:t>
      </w:r>
      <w:r w:rsidRPr="00F02D52">
        <w:rPr>
          <w:rFonts w:eastAsiaTheme="minorEastAsia" w:cs="Arial"/>
        </w:rPr>
        <w:t xml:space="preserve"> de l’intern i les vicissituds del seu compliment de pena.</w:t>
      </w:r>
      <w:bookmarkEnd w:id="191"/>
    </w:p>
    <w:p w:rsidR="006A4109" w:rsidRPr="00F02D52" w:rsidRDefault="006A4109" w:rsidP="00E930B2">
      <w:pPr>
        <w:rPr>
          <w:rFonts w:eastAsiaTheme="minorEastAsia" w:cs="Arial"/>
        </w:rPr>
      </w:pPr>
      <w:bookmarkStart w:id="192" w:name="_Toc463743327"/>
      <w:r w:rsidRPr="00F02D52">
        <w:rPr>
          <w:rFonts w:eastAsiaTheme="minorEastAsia" w:cs="Arial"/>
        </w:rPr>
        <w:t xml:space="preserve">Un dels aspectes més rellevants incorporats darrerament és el compromís de l’organització de temporalitzar </w:t>
      </w:r>
      <w:r>
        <w:rPr>
          <w:rFonts w:eastAsiaTheme="minorEastAsia" w:cs="Arial"/>
        </w:rPr>
        <w:t>l’</w:t>
      </w:r>
      <w:r w:rsidRPr="00F02D52">
        <w:rPr>
          <w:rFonts w:eastAsiaTheme="minorEastAsia" w:cs="Arial"/>
        </w:rPr>
        <w:t>accés</w:t>
      </w:r>
      <w:r>
        <w:rPr>
          <w:rFonts w:eastAsiaTheme="minorEastAsia" w:cs="Arial"/>
        </w:rPr>
        <w:t xml:space="preserve"> a certs beneficis (permisos, 3r grau, etc.</w:t>
      </w:r>
      <w:r w:rsidRPr="00F02D52">
        <w:rPr>
          <w:rFonts w:eastAsiaTheme="minorEastAsia" w:cs="Arial"/>
        </w:rPr>
        <w:t>) en el supòsit que l’intern compleixi satisfactòriament els objectius i programes planificats. Per tant</w:t>
      </w:r>
      <w:r>
        <w:rPr>
          <w:rFonts w:eastAsiaTheme="minorEastAsia" w:cs="Arial"/>
        </w:rPr>
        <w:t>,</w:t>
      </w:r>
      <w:r w:rsidRPr="00F02D52">
        <w:rPr>
          <w:rFonts w:eastAsiaTheme="minorEastAsia" w:cs="Arial"/>
        </w:rPr>
        <w:t xml:space="preserve"> ens trobem amb una situ</w:t>
      </w:r>
      <w:r>
        <w:rPr>
          <w:rFonts w:eastAsiaTheme="minorEastAsia" w:cs="Arial"/>
        </w:rPr>
        <w:t>ació de compromís bidireccional</w:t>
      </w:r>
      <w:r w:rsidRPr="00F02D52">
        <w:rPr>
          <w:rFonts w:eastAsiaTheme="minorEastAsia" w:cs="Arial"/>
        </w:rPr>
        <w:t xml:space="preserve"> </w:t>
      </w:r>
      <w:r>
        <w:rPr>
          <w:rFonts w:eastAsiaTheme="minorEastAsia" w:cs="Arial"/>
        </w:rPr>
        <w:t>i s’estableix</w:t>
      </w:r>
      <w:r w:rsidRPr="00F02D52">
        <w:rPr>
          <w:rFonts w:eastAsiaTheme="minorEastAsia" w:cs="Arial"/>
        </w:rPr>
        <w:t xml:space="preserve"> un salt molt qualitatiu en l’oferta de qualitat de servei.</w:t>
      </w:r>
      <w:bookmarkEnd w:id="192"/>
    </w:p>
    <w:p w:rsidR="006A4109" w:rsidRPr="00F02D52" w:rsidRDefault="006A4109" w:rsidP="00E930B2">
      <w:pPr>
        <w:rPr>
          <w:rFonts w:eastAsiaTheme="minorEastAsia" w:cs="Arial"/>
        </w:rPr>
      </w:pPr>
      <w:bookmarkStart w:id="193" w:name="_Toc463743328"/>
      <w:r w:rsidRPr="00F02D52">
        <w:rPr>
          <w:rFonts w:eastAsiaTheme="minorEastAsia" w:cs="Arial"/>
        </w:rPr>
        <w:t>En aquest sentit</w:t>
      </w:r>
      <w:r>
        <w:rPr>
          <w:rFonts w:eastAsiaTheme="minorEastAsia" w:cs="Arial"/>
        </w:rPr>
        <w:t>,</w:t>
      </w:r>
      <w:r w:rsidRPr="00F02D52">
        <w:rPr>
          <w:rFonts w:eastAsiaTheme="minorEastAsia" w:cs="Arial"/>
        </w:rPr>
        <w:t xml:space="preserve"> el PMOC ha de present</w:t>
      </w:r>
      <w:r>
        <w:rPr>
          <w:rFonts w:eastAsiaTheme="minorEastAsia" w:cs="Arial"/>
        </w:rPr>
        <w:t>ar una oferta, carta de serveis</w:t>
      </w:r>
      <w:r w:rsidRPr="00F02D52">
        <w:rPr>
          <w:rFonts w:eastAsiaTheme="minorEastAsia" w:cs="Arial"/>
        </w:rPr>
        <w:t xml:space="preserve"> suficient i solvent</w:t>
      </w:r>
      <w:r>
        <w:rPr>
          <w:rFonts w:eastAsiaTheme="minorEastAsia" w:cs="Arial"/>
        </w:rPr>
        <w:t>,</w:t>
      </w:r>
      <w:r w:rsidRPr="00F02D52">
        <w:rPr>
          <w:rFonts w:eastAsiaTheme="minorEastAsia" w:cs="Arial"/>
        </w:rPr>
        <w:t xml:space="preserve"> </w:t>
      </w:r>
      <w:r>
        <w:rPr>
          <w:rFonts w:eastAsiaTheme="minorEastAsia" w:cs="Arial"/>
        </w:rPr>
        <w:t>a l’efecte</w:t>
      </w:r>
      <w:r w:rsidRPr="00F02D52">
        <w:rPr>
          <w:rFonts w:eastAsiaTheme="minorEastAsia" w:cs="Arial"/>
        </w:rPr>
        <w:t xml:space="preserve"> que variables organitzatives no endarrereixin l’acord planificat amb l’intern.</w:t>
      </w:r>
      <w:bookmarkEnd w:id="193"/>
      <w:r w:rsidRPr="00F02D52">
        <w:rPr>
          <w:rFonts w:eastAsiaTheme="minorEastAsia" w:cs="Arial"/>
        </w:rPr>
        <w:t xml:space="preserve"> </w:t>
      </w:r>
    </w:p>
    <w:p w:rsidR="006A4109" w:rsidRPr="00F02D52" w:rsidRDefault="006A4109" w:rsidP="00E930B2">
      <w:pPr>
        <w:rPr>
          <w:rFonts w:eastAsiaTheme="minorEastAsia" w:cs="Arial"/>
        </w:rPr>
      </w:pPr>
      <w:bookmarkStart w:id="194" w:name="_Toc463743329"/>
      <w:r w:rsidRPr="00F02D52">
        <w:rPr>
          <w:rFonts w:eastAsiaTheme="minorEastAsia" w:cs="Arial"/>
        </w:rPr>
        <w:t>D'acord amb els principis del model R-N-R, explicat més endavant, els equips multidisciplinar</w:t>
      </w:r>
      <w:r>
        <w:rPr>
          <w:rFonts w:eastAsiaTheme="minorEastAsia" w:cs="Arial"/>
        </w:rPr>
        <w:t>i</w:t>
      </w:r>
      <w:r w:rsidRPr="00F02D52">
        <w:rPr>
          <w:rFonts w:eastAsiaTheme="minorEastAsia" w:cs="Arial"/>
        </w:rPr>
        <w:t>s han de dimensionar la intensitat de la intervenció de forma eficient</w:t>
      </w:r>
      <w:r>
        <w:rPr>
          <w:rFonts w:eastAsiaTheme="minorEastAsia" w:cs="Arial"/>
        </w:rPr>
        <w:t>,</w:t>
      </w:r>
      <w:r w:rsidRPr="00F02D52">
        <w:rPr>
          <w:rFonts w:eastAsiaTheme="minorEastAsia" w:cs="Arial"/>
        </w:rPr>
        <w:t xml:space="preserve"> d'acord amb el nivell de risc i les necessitats de cada individu. Això comporta que la intervenció especialitzada ha</w:t>
      </w:r>
      <w:r>
        <w:rPr>
          <w:rFonts w:eastAsiaTheme="minorEastAsia" w:cs="Arial"/>
        </w:rPr>
        <w:t>gi</w:t>
      </w:r>
      <w:r w:rsidRPr="00F02D52">
        <w:rPr>
          <w:rFonts w:eastAsiaTheme="minorEastAsia" w:cs="Arial"/>
        </w:rPr>
        <w:t xml:space="preserve"> de ser més intensiva per </w:t>
      </w:r>
      <w:r>
        <w:rPr>
          <w:rFonts w:eastAsiaTheme="minorEastAsia" w:cs="Arial"/>
        </w:rPr>
        <w:t xml:space="preserve">a </w:t>
      </w:r>
      <w:r w:rsidRPr="00F02D52">
        <w:rPr>
          <w:rFonts w:eastAsiaTheme="minorEastAsia" w:cs="Arial"/>
        </w:rPr>
        <w:t>aquells interns que presenten un nivell de risc més elevat i d'acord amb els factors dinàmics vinculats al seu perfil de risc de reincidència. D'altra banda, els subj</w:t>
      </w:r>
      <w:r>
        <w:rPr>
          <w:rFonts w:eastAsiaTheme="minorEastAsia" w:cs="Arial"/>
        </w:rPr>
        <w:t>ectes amb un menor risc</w:t>
      </w:r>
      <w:r w:rsidRPr="00F02D52">
        <w:rPr>
          <w:rFonts w:eastAsiaTheme="minorEastAsia" w:cs="Arial"/>
        </w:rPr>
        <w:t xml:space="preserve"> han de tenir un PIT on els objectius </w:t>
      </w:r>
      <w:r>
        <w:rPr>
          <w:rFonts w:eastAsiaTheme="minorEastAsia" w:cs="Arial"/>
        </w:rPr>
        <w:t>vagin</w:t>
      </w:r>
      <w:r w:rsidRPr="00F02D52">
        <w:rPr>
          <w:rFonts w:eastAsiaTheme="minorEastAsia" w:cs="Arial"/>
        </w:rPr>
        <w:t xml:space="preserve"> més adreçats al manteniment dels seus recursos personals i a acompanyar el procés de compliment i de retorn al medi social en contextos institucionals amb condicions menors de supervisió i control.</w:t>
      </w:r>
      <w:bookmarkEnd w:id="194"/>
    </w:p>
    <w:p w:rsidR="006A4109" w:rsidRPr="00F02D52" w:rsidRDefault="006A4109" w:rsidP="00E930B2">
      <w:pPr>
        <w:rPr>
          <w:rFonts w:eastAsiaTheme="minorEastAsia" w:cs="Arial"/>
          <w:b/>
          <w:i/>
        </w:rPr>
      </w:pPr>
    </w:p>
    <w:p w:rsidR="007B2744" w:rsidRDefault="006A4109" w:rsidP="007B2744">
      <w:pPr>
        <w:keepNext/>
        <w:jc w:val="center"/>
      </w:pPr>
      <w:r w:rsidRPr="00F02D52">
        <w:rPr>
          <w:rFonts w:eastAsiaTheme="minorEastAsia" w:cs="Arial"/>
          <w:b/>
          <w:i/>
          <w:noProof/>
          <w:color w:val="4F81BD" w:themeColor="accent1"/>
          <w:lang w:eastAsia="ca-ES"/>
        </w:rPr>
        <w:drawing>
          <wp:inline distT="0" distB="0" distL="0" distR="0" wp14:anchorId="5DB3346F" wp14:editId="3EEF7B70">
            <wp:extent cx="2381250" cy="1381125"/>
            <wp:effectExtent l="0" t="0" r="0" b="9525"/>
            <wp:docPr id="12" name="Imat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81250" cy="1381125"/>
                    </a:xfrm>
                    <a:prstGeom prst="rect">
                      <a:avLst/>
                    </a:prstGeom>
                    <a:noFill/>
                  </pic:spPr>
                </pic:pic>
              </a:graphicData>
            </a:graphic>
          </wp:inline>
        </w:drawing>
      </w:r>
    </w:p>
    <w:p w:rsidR="006A4109" w:rsidRDefault="009A1F67" w:rsidP="007B2744">
      <w:pPr>
        <w:pStyle w:val="Llegenda"/>
        <w:jc w:val="center"/>
        <w:rPr>
          <w:rFonts w:eastAsiaTheme="minorEastAsia" w:cs="Arial"/>
          <w:b w:val="0"/>
          <w:i/>
          <w:color w:val="4F81BD" w:themeColor="accent1"/>
        </w:rPr>
      </w:pPr>
      <w:bookmarkStart w:id="195" w:name="_Toc465293824"/>
      <w:r>
        <w:t>Gràfic</w:t>
      </w:r>
      <w:r w:rsidR="007B2744">
        <w:t xml:space="preserve"> </w:t>
      </w:r>
      <w:r w:rsidR="00DB496B">
        <w:fldChar w:fldCharType="begin"/>
      </w:r>
      <w:r w:rsidR="00DB496B">
        <w:instrText xml:space="preserve"> SEQ Il·lustració \* ARABIC </w:instrText>
      </w:r>
      <w:r w:rsidR="00DB496B">
        <w:fldChar w:fldCharType="separate"/>
      </w:r>
      <w:r w:rsidR="00C952DF">
        <w:rPr>
          <w:noProof/>
        </w:rPr>
        <w:t>18</w:t>
      </w:r>
      <w:r w:rsidR="00DB496B">
        <w:rPr>
          <w:noProof/>
        </w:rPr>
        <w:fldChar w:fldCharType="end"/>
      </w:r>
      <w:r w:rsidR="007B2744">
        <w:t xml:space="preserve">. </w:t>
      </w:r>
      <w:r w:rsidR="007B2744" w:rsidRPr="00F95D8C">
        <w:t>Nivells d'intervenció i recursos segons el nivell de risc - necessitat de cada individu</w:t>
      </w:r>
      <w:bookmarkEnd w:id="195"/>
    </w:p>
    <w:p w:rsidR="006A4109" w:rsidRPr="00A65A34" w:rsidRDefault="006A4109" w:rsidP="00E930B2">
      <w:pPr>
        <w:jc w:val="center"/>
        <w:rPr>
          <w:rFonts w:eastAsiaTheme="minorEastAsia" w:cs="Arial"/>
          <w:b/>
          <w:color w:val="4F81BD" w:themeColor="accent1"/>
        </w:rPr>
      </w:pPr>
    </w:p>
    <w:p w:rsidR="006A4109" w:rsidRPr="00F02D52" w:rsidRDefault="006A4109" w:rsidP="00E930B2">
      <w:pPr>
        <w:rPr>
          <w:rFonts w:eastAsiaTheme="minorEastAsia" w:cs="Arial"/>
        </w:rPr>
      </w:pPr>
      <w:bookmarkStart w:id="196" w:name="_Toc463743330"/>
      <w:r w:rsidRPr="00F02D52">
        <w:rPr>
          <w:rFonts w:eastAsia="Times New Roman" w:cs="Arial"/>
          <w:lang w:eastAsia="ca-ES"/>
        </w:rPr>
        <w:t xml:space="preserve">Aquesta figura representa l'adequació dels objectius i la intensitat de la intervenció segons el nivell de risc i </w:t>
      </w:r>
      <w:r>
        <w:rPr>
          <w:rFonts w:eastAsia="Times New Roman" w:cs="Arial"/>
          <w:lang w:eastAsia="ca-ES"/>
        </w:rPr>
        <w:t xml:space="preserve">les </w:t>
      </w:r>
      <w:r w:rsidRPr="00F02D52">
        <w:rPr>
          <w:rFonts w:eastAsia="Times New Roman" w:cs="Arial"/>
          <w:lang w:eastAsia="ca-ES"/>
        </w:rPr>
        <w:t>necessitats de cada individu. Així, subjectes amb risc baix i poques necessitats requeriran actuacions adreçades</w:t>
      </w:r>
      <w:r>
        <w:rPr>
          <w:rFonts w:eastAsia="Times New Roman" w:cs="Arial"/>
          <w:lang w:eastAsia="ca-ES"/>
        </w:rPr>
        <w:t xml:space="preserve"> a</w:t>
      </w:r>
      <w:r w:rsidRPr="00F02D52">
        <w:rPr>
          <w:rFonts w:eastAsia="Times New Roman" w:cs="Arial"/>
          <w:lang w:eastAsia="ca-ES"/>
        </w:rPr>
        <w:t xml:space="preserve"> assegurar el compliment de la pena en </w:t>
      </w:r>
      <w:r w:rsidRPr="00F02D52">
        <w:rPr>
          <w:rFonts w:eastAsia="Times New Roman" w:cs="Arial"/>
          <w:lang w:eastAsia="ca-ES"/>
        </w:rPr>
        <w:lastRenderedPageBreak/>
        <w:t>condicions segures i de garantia de drets,</w:t>
      </w:r>
      <w:r>
        <w:rPr>
          <w:rFonts w:eastAsia="Times New Roman" w:cs="Arial"/>
          <w:lang w:eastAsia="ca-ES"/>
        </w:rPr>
        <w:t xml:space="preserve"> i,</w:t>
      </w:r>
      <w:r w:rsidRPr="00F02D52">
        <w:rPr>
          <w:rFonts w:eastAsia="Times New Roman" w:cs="Arial"/>
          <w:lang w:eastAsia="ca-ES"/>
        </w:rPr>
        <w:t xml:space="preserve"> a l'altre extrem, es trobaran els individus que presenten un alt risc de reincidència i un gran nombre de necessitats a atendre per prevenir la reincidència. En aquests casos, a més del compliment de la pena, els objectius seran el suport per cobrir algunes necessitat</w:t>
      </w:r>
      <w:r>
        <w:rPr>
          <w:rFonts w:eastAsia="Times New Roman" w:cs="Arial"/>
          <w:lang w:eastAsia="ca-ES"/>
        </w:rPr>
        <w:t>s</w:t>
      </w:r>
      <w:r w:rsidRPr="00F02D52">
        <w:rPr>
          <w:rFonts w:eastAsia="Times New Roman" w:cs="Arial"/>
          <w:lang w:eastAsia="ca-ES"/>
        </w:rPr>
        <w:t xml:space="preserve"> socials o personals, intervencions </w:t>
      </w:r>
      <w:r w:rsidRPr="00F02D52">
        <w:rPr>
          <w:rFonts w:eastAsiaTheme="minorEastAsia" w:cs="Arial"/>
        </w:rPr>
        <w:t xml:space="preserve">orientades </w:t>
      </w:r>
      <w:r>
        <w:rPr>
          <w:rFonts w:eastAsiaTheme="minorEastAsia" w:cs="Arial"/>
        </w:rPr>
        <w:t>al canvi en els factors de risc</w:t>
      </w:r>
      <w:r w:rsidRPr="00F02D52">
        <w:rPr>
          <w:rFonts w:eastAsiaTheme="minorEastAsia" w:cs="Arial"/>
        </w:rPr>
        <w:t xml:space="preserve"> i unes condicions de control </w:t>
      </w:r>
      <w:r>
        <w:rPr>
          <w:rFonts w:eastAsiaTheme="minorEastAsia" w:cs="Arial"/>
        </w:rPr>
        <w:t xml:space="preserve">més intenses </w:t>
      </w:r>
      <w:r w:rsidRPr="00F02D52">
        <w:rPr>
          <w:rFonts w:eastAsiaTheme="minorEastAsia" w:cs="Arial"/>
        </w:rPr>
        <w:t>durant l'internament i les sortides.</w:t>
      </w:r>
      <w:bookmarkEnd w:id="196"/>
    </w:p>
    <w:p w:rsidR="006A4109" w:rsidRPr="00F02D52" w:rsidRDefault="006A4109" w:rsidP="00E930B2">
      <w:pPr>
        <w:rPr>
          <w:rFonts w:eastAsiaTheme="minorEastAsia" w:cs="Arial"/>
        </w:rPr>
      </w:pPr>
    </w:p>
    <w:p w:rsidR="006A4109" w:rsidRPr="00F02D52" w:rsidRDefault="006A4109" w:rsidP="0070401F">
      <w:pPr>
        <w:pStyle w:val="Ttol3"/>
      </w:pPr>
      <w:bookmarkStart w:id="197" w:name="_Toc463867748"/>
      <w:bookmarkStart w:id="198" w:name="_Toc464685639"/>
      <w:bookmarkStart w:id="199" w:name="_Toc465293370"/>
      <w:r>
        <w:t>El Sistema d'avaluació i m</w:t>
      </w:r>
      <w:r w:rsidRPr="00F02D52">
        <w:t>otivació (SAM)</w:t>
      </w:r>
      <w:bookmarkEnd w:id="197"/>
      <w:bookmarkEnd w:id="198"/>
      <w:bookmarkEnd w:id="199"/>
    </w:p>
    <w:p w:rsidR="006A4109" w:rsidRPr="00F02D52" w:rsidRDefault="006A4109" w:rsidP="00E930B2">
      <w:pPr>
        <w:rPr>
          <w:rFonts w:eastAsiaTheme="minorEastAsia" w:cs="Arial"/>
        </w:rPr>
      </w:pPr>
      <w:r w:rsidRPr="00F02D52">
        <w:rPr>
          <w:rFonts w:eastAsiaTheme="minorEastAsia" w:cs="Arial"/>
        </w:rPr>
        <w:t xml:space="preserve">L'eliminació de la redempció de penes pel treball a partir del Codi penal de 1995 va fer desaparèixer una eina fonamental per incentivar la participació dels interns en les activitats de la presó i la conducta adaptada a les normes. A partir d'aquest moment, es va veure la necessitat de comptar amb una forma de reforçar la motivació dels interns. </w:t>
      </w:r>
    </w:p>
    <w:p w:rsidR="006A4109" w:rsidRPr="00F02D52" w:rsidRDefault="006A4109" w:rsidP="00E930B2">
      <w:pPr>
        <w:rPr>
          <w:rFonts w:eastAsiaTheme="minorEastAsia" w:cs="Arial"/>
        </w:rPr>
      </w:pPr>
      <w:r w:rsidRPr="00F02D52">
        <w:rPr>
          <w:rFonts w:eastAsiaTheme="minorEastAsia" w:cs="Arial"/>
        </w:rPr>
        <w:t>Aquesta eina va ser el SAM</w:t>
      </w:r>
      <w:r>
        <w:rPr>
          <w:rFonts w:eastAsiaTheme="minorEastAsia" w:cs="Arial"/>
        </w:rPr>
        <w:t>,</w:t>
      </w:r>
      <w:r w:rsidRPr="00F02D52">
        <w:rPr>
          <w:rFonts w:eastAsiaTheme="minorEastAsia" w:cs="Arial"/>
        </w:rPr>
        <w:t xml:space="preserve"> regulat per</w:t>
      </w:r>
      <w:r>
        <w:rPr>
          <w:rFonts w:eastAsiaTheme="minorEastAsia" w:cs="Arial"/>
        </w:rPr>
        <w:t xml:space="preserve"> la C</w:t>
      </w:r>
      <w:r w:rsidRPr="00F02D52">
        <w:rPr>
          <w:rFonts w:eastAsiaTheme="minorEastAsia" w:cs="Arial"/>
        </w:rPr>
        <w:t>ircular 1/99</w:t>
      </w:r>
      <w:r>
        <w:rPr>
          <w:rFonts w:eastAsiaTheme="minorEastAsia" w:cs="Arial"/>
        </w:rPr>
        <w:t>,</w:t>
      </w:r>
      <w:r w:rsidRPr="00F02D52">
        <w:rPr>
          <w:rFonts w:eastAsiaTheme="minorEastAsia" w:cs="Arial"/>
        </w:rPr>
        <w:t xml:space="preserve"> i po</w:t>
      </w:r>
      <w:r>
        <w:rPr>
          <w:rFonts w:eastAsiaTheme="minorEastAsia" w:cs="Arial"/>
        </w:rPr>
        <w:t>steriorment actualitzat amb la I</w:t>
      </w:r>
      <w:r w:rsidRPr="00F02D52">
        <w:rPr>
          <w:rFonts w:eastAsiaTheme="minorEastAsia" w:cs="Arial"/>
        </w:rPr>
        <w:t>nstrucció 1/2007 i una actualització d'aquesta l'any 2012. Aquest sistema estableix els criteris per avaluar la conducta dels interns i assignar crèdits d'acord amb el nivell de compliment d'objectius. En règim ordinari</w:t>
      </w:r>
      <w:r>
        <w:rPr>
          <w:rFonts w:eastAsiaTheme="minorEastAsia" w:cs="Arial"/>
        </w:rPr>
        <w:t>,</w:t>
      </w:r>
      <w:r w:rsidRPr="00F02D52">
        <w:rPr>
          <w:rFonts w:eastAsiaTheme="minorEastAsia" w:cs="Arial"/>
        </w:rPr>
        <w:t xml:space="preserve"> el sistema preveu l'avaluació trimestral de la conducta dels interns i l'assignació de diferents nivells (A, B, C o D) segons el compliment dels objectius relacionats amb el compliment de les normes de convivència, participació en activitats o aprofitament de les sortides. </w:t>
      </w:r>
    </w:p>
    <w:p w:rsidR="006A4109" w:rsidRPr="00F02D52" w:rsidRDefault="006A4109" w:rsidP="00E930B2">
      <w:pPr>
        <w:rPr>
          <w:rFonts w:eastAsiaTheme="minorEastAsia" w:cs="Arial"/>
        </w:rPr>
      </w:pPr>
      <w:r w:rsidRPr="00F02D52">
        <w:rPr>
          <w:rFonts w:eastAsiaTheme="minorEastAsia" w:cs="Arial"/>
        </w:rPr>
        <w:t>En règim obert, el sistema és més flexible pel que fa als períodes d'avaluació o als objectius a avaluar.</w:t>
      </w:r>
    </w:p>
    <w:p w:rsidR="006A4109" w:rsidRPr="00F02D52" w:rsidRDefault="006A4109" w:rsidP="00E930B2">
      <w:pPr>
        <w:rPr>
          <w:rFonts w:eastAsiaTheme="minorEastAsia" w:cs="Arial"/>
        </w:rPr>
      </w:pPr>
      <w:r>
        <w:rPr>
          <w:rFonts w:eastAsiaTheme="minorEastAsia" w:cs="Arial"/>
        </w:rPr>
        <w:t>El nivell obtingut dó</w:t>
      </w:r>
      <w:r w:rsidRPr="00F02D52">
        <w:rPr>
          <w:rFonts w:eastAsiaTheme="minorEastAsia" w:cs="Arial"/>
        </w:rPr>
        <w:t>na accés a diferents nivells de beneficis o millores en el règim penitenciari. Així, és necessari que l'intern obtingui nivells alts d'avaluació per obtenir permisos, disposar d'horaris més amplis de sortida en règim obert o accedir a l'avançament de la llibertat condicional.</w:t>
      </w:r>
    </w:p>
    <w:p w:rsidR="006A4109" w:rsidRPr="00F02D52" w:rsidRDefault="006A4109" w:rsidP="00E930B2">
      <w:pPr>
        <w:rPr>
          <w:rFonts w:eastAsiaTheme="minorEastAsia" w:cs="Arial"/>
          <w:i/>
        </w:rPr>
      </w:pPr>
    </w:p>
    <w:p w:rsidR="006A4109" w:rsidRPr="00F02D52" w:rsidRDefault="006A4109" w:rsidP="0070401F">
      <w:pPr>
        <w:pStyle w:val="Ttol3"/>
      </w:pPr>
      <w:bookmarkStart w:id="200" w:name="_Toc463867749"/>
      <w:bookmarkStart w:id="201" w:name="_Toc464685640"/>
      <w:bookmarkStart w:id="202" w:name="_Toc465293371"/>
      <w:r w:rsidRPr="00EB1B4D">
        <w:t>L'avaluació</w:t>
      </w:r>
      <w:r w:rsidRPr="00F02D52">
        <w:t xml:space="preserve"> i gestió de risc</w:t>
      </w:r>
      <w:bookmarkEnd w:id="200"/>
      <w:bookmarkEnd w:id="201"/>
      <w:bookmarkEnd w:id="202"/>
    </w:p>
    <w:p w:rsidR="006A4109" w:rsidRPr="00F02D52" w:rsidRDefault="006A4109" w:rsidP="00E930B2">
      <w:pPr>
        <w:rPr>
          <w:rFonts w:eastAsiaTheme="minorEastAsia" w:cs="Arial"/>
        </w:rPr>
      </w:pPr>
      <w:r w:rsidRPr="00F02D52">
        <w:rPr>
          <w:rFonts w:eastAsiaTheme="minorEastAsia" w:cs="Arial"/>
        </w:rPr>
        <w:t>El model de gestió de risc estableix que la intervenció s'ha de graduar d'acord amb el risc de reincidència que presenta cada individu; que els programes han de tenir com a objectiu aquelles necessitats (addiccions, autocontrol, salut mental, suport social</w:t>
      </w:r>
      <w:r>
        <w:rPr>
          <w:rFonts w:eastAsiaTheme="minorEastAsia" w:cs="Arial"/>
        </w:rPr>
        <w:t>, etc</w:t>
      </w:r>
      <w:r w:rsidRPr="00F02D52">
        <w:rPr>
          <w:rFonts w:eastAsiaTheme="minorEastAsia" w:cs="Arial"/>
        </w:rPr>
        <w:t xml:space="preserve">.) que en cada cas </w:t>
      </w:r>
      <w:r>
        <w:rPr>
          <w:rFonts w:eastAsiaTheme="minorEastAsia" w:cs="Arial"/>
        </w:rPr>
        <w:t>tinguin</w:t>
      </w:r>
      <w:r w:rsidRPr="00F02D52">
        <w:rPr>
          <w:rFonts w:eastAsiaTheme="minorEastAsia" w:cs="Arial"/>
        </w:rPr>
        <w:t xml:space="preserve"> una major rellevància en el seu perfil de risc; i que el format del programa s'ha d'adaptar a les capacitats d'aprenentatge dels seus destinataris. </w:t>
      </w:r>
    </w:p>
    <w:p w:rsidR="006A4109" w:rsidRPr="00F02D52" w:rsidRDefault="006A4109" w:rsidP="00E930B2">
      <w:pPr>
        <w:rPr>
          <w:rFonts w:eastAsiaTheme="minorEastAsia" w:cs="Arial"/>
        </w:rPr>
      </w:pPr>
      <w:r w:rsidRPr="00F02D52">
        <w:rPr>
          <w:rFonts w:eastAsiaTheme="minorEastAsia" w:cs="Arial"/>
        </w:rPr>
        <w:t>Du</w:t>
      </w:r>
      <w:r>
        <w:rPr>
          <w:rFonts w:eastAsiaTheme="minorEastAsia" w:cs="Arial"/>
        </w:rPr>
        <w:t>rant aquesta dècada, cada cop mé</w:t>
      </w:r>
      <w:r w:rsidRPr="00F02D52">
        <w:rPr>
          <w:rFonts w:eastAsiaTheme="minorEastAsia" w:cs="Arial"/>
        </w:rPr>
        <w:t>s sistemes d'execució penal (Canadà, Esta</w:t>
      </w:r>
      <w:r>
        <w:rPr>
          <w:rFonts w:eastAsiaTheme="minorEastAsia" w:cs="Arial"/>
        </w:rPr>
        <w:t>ts Units, Regne Unit, Holanda, etc.</w:t>
      </w:r>
      <w:r w:rsidRPr="00F02D52">
        <w:rPr>
          <w:rFonts w:eastAsiaTheme="minorEastAsia" w:cs="Arial"/>
        </w:rPr>
        <w:t xml:space="preserve">) han anat incorporant protocols d'avaluació del risc, que alhora ajuden a configurar les necessitats individuals de tractament </w:t>
      </w:r>
      <w:r>
        <w:rPr>
          <w:rFonts w:eastAsiaTheme="minorEastAsia" w:cs="Arial"/>
        </w:rPr>
        <w:t>per</w:t>
      </w:r>
      <w:r w:rsidRPr="00F02D52">
        <w:rPr>
          <w:rFonts w:eastAsiaTheme="minorEastAsia" w:cs="Arial"/>
        </w:rPr>
        <w:t xml:space="preserve"> poder planificar la intervenció. </w:t>
      </w:r>
    </w:p>
    <w:p w:rsidR="006A4109" w:rsidRPr="00F02D52" w:rsidRDefault="006A4109" w:rsidP="00E930B2">
      <w:pPr>
        <w:rPr>
          <w:rFonts w:eastAsiaTheme="minorEastAsia" w:cs="Arial"/>
        </w:rPr>
      </w:pPr>
      <w:r w:rsidRPr="00F02D52">
        <w:rPr>
          <w:rFonts w:eastAsiaTheme="minorEastAsia" w:cs="Arial"/>
        </w:rPr>
        <w:t xml:space="preserve">D'altra banda, com a resposta a la preocupació social per les possibilitats de reincidència dels delinqüents d'alt risc en el moment de la seva excarceració, el Departament de Justícia (Resolució JUS/2362/2007) va crear la Comissió per a l'Estudi de les Mesures de Prevenció de la Reincidència en Delictes Greus. Aquesta comissió, formada per un grup d'experts en matèria dels àmbits </w:t>
      </w:r>
      <w:r>
        <w:rPr>
          <w:rFonts w:eastAsiaTheme="minorEastAsia" w:cs="Arial"/>
        </w:rPr>
        <w:t xml:space="preserve">de dret penal, seguretat i </w:t>
      </w:r>
      <w:r w:rsidRPr="00F02D52">
        <w:rPr>
          <w:rFonts w:eastAsiaTheme="minorEastAsia" w:cs="Arial"/>
        </w:rPr>
        <w:t xml:space="preserve">execució penal, va presentar un catàleg de recomanacions per abordar aquesta problemàtica, entre les </w:t>
      </w:r>
      <w:r>
        <w:rPr>
          <w:rFonts w:eastAsiaTheme="minorEastAsia" w:cs="Arial"/>
        </w:rPr>
        <w:t>quals</w:t>
      </w:r>
      <w:r w:rsidRPr="00F02D52">
        <w:rPr>
          <w:rFonts w:eastAsiaTheme="minorEastAsia" w:cs="Arial"/>
        </w:rPr>
        <w:t xml:space="preserve"> destaquen: la necessitat de comptar amb un instrument unificat d'avaluació del risc de reincidència compartit entre els serveis públics directament implicats en la prevenció de la reincidència; la creació de protocols d'intercanvi d'i</w:t>
      </w:r>
      <w:r>
        <w:rPr>
          <w:rFonts w:eastAsiaTheme="minorEastAsia" w:cs="Arial"/>
        </w:rPr>
        <w:t>nformació entre aquests serveis,</w:t>
      </w:r>
      <w:r w:rsidRPr="00F02D52">
        <w:rPr>
          <w:rFonts w:eastAsiaTheme="minorEastAsia" w:cs="Arial"/>
        </w:rPr>
        <w:t xml:space="preserve"> i l'impuls a la investigació aplicada </w:t>
      </w:r>
      <w:r>
        <w:rPr>
          <w:rFonts w:eastAsiaTheme="minorEastAsia" w:cs="Arial"/>
        </w:rPr>
        <w:t>a</w:t>
      </w:r>
      <w:r w:rsidRPr="00F02D52">
        <w:rPr>
          <w:rFonts w:eastAsiaTheme="minorEastAsia" w:cs="Arial"/>
        </w:rPr>
        <w:t xml:space="preserve"> aquesta matèria. </w:t>
      </w:r>
    </w:p>
    <w:p w:rsidR="006A4109" w:rsidRPr="00F02D52" w:rsidRDefault="006A4109" w:rsidP="00E930B2">
      <w:pPr>
        <w:rPr>
          <w:rFonts w:eastAsiaTheme="minorEastAsia" w:cs="Arial"/>
        </w:rPr>
      </w:pPr>
      <w:r w:rsidRPr="00F02D52">
        <w:rPr>
          <w:rFonts w:eastAsiaTheme="minorEastAsia" w:cs="Arial"/>
        </w:rPr>
        <w:lastRenderedPageBreak/>
        <w:t xml:space="preserve">És en aquest context en el </w:t>
      </w:r>
      <w:r>
        <w:rPr>
          <w:rFonts w:eastAsiaTheme="minorEastAsia" w:cs="Arial"/>
        </w:rPr>
        <w:t>qual</w:t>
      </w:r>
      <w:r w:rsidRPr="00F02D52">
        <w:rPr>
          <w:rFonts w:eastAsiaTheme="minorEastAsia" w:cs="Arial"/>
        </w:rPr>
        <w:t xml:space="preserve"> es començà</w:t>
      </w:r>
      <w:r>
        <w:rPr>
          <w:rFonts w:eastAsiaTheme="minorEastAsia" w:cs="Arial"/>
        </w:rPr>
        <w:t>,</w:t>
      </w:r>
      <w:r w:rsidRPr="00F02D52">
        <w:rPr>
          <w:rFonts w:eastAsiaTheme="minorEastAsia" w:cs="Arial"/>
        </w:rPr>
        <w:t xml:space="preserve"> l'any 2006</w:t>
      </w:r>
      <w:r>
        <w:rPr>
          <w:rFonts w:eastAsiaTheme="minorEastAsia" w:cs="Arial"/>
        </w:rPr>
        <w:t>,</w:t>
      </w:r>
      <w:r w:rsidRPr="00F02D52">
        <w:rPr>
          <w:rFonts w:eastAsiaTheme="minorEastAsia" w:cs="Arial"/>
        </w:rPr>
        <w:t xml:space="preserve"> a elaborar el protocol d'avaluació de risc RisCanvi, en col·laboració entre la Direcció </w:t>
      </w:r>
      <w:r>
        <w:rPr>
          <w:rFonts w:eastAsiaTheme="minorEastAsia" w:cs="Arial"/>
        </w:rPr>
        <w:t xml:space="preserve">General </w:t>
      </w:r>
      <w:r w:rsidRPr="00F02D52">
        <w:rPr>
          <w:rFonts w:eastAsiaTheme="minorEastAsia" w:cs="Arial"/>
        </w:rPr>
        <w:t xml:space="preserve">de Serveis Penitenciaris i un equip de la Universitat de Barcelona. RisCanvi és actualment el protocol que utilitzen tots els equips per avaluar cada </w:t>
      </w:r>
      <w:r>
        <w:rPr>
          <w:rFonts w:eastAsiaTheme="minorEastAsia" w:cs="Arial"/>
        </w:rPr>
        <w:t>sis</w:t>
      </w:r>
      <w:r w:rsidRPr="00F02D52">
        <w:rPr>
          <w:rFonts w:eastAsiaTheme="minorEastAsia" w:cs="Arial"/>
        </w:rPr>
        <w:t xml:space="preserve"> mesos el risc que presenta cada intern de: reincidència violenta, trencament de condemna, conducta violenta dintre de la institució i trencament de condemna. A més, aquest protocol informa de la configuració individual de factors de risc que presenta cada individu i, per tant, de les seves necessitats d'intervenció. </w:t>
      </w:r>
    </w:p>
    <w:p w:rsidR="006A4109" w:rsidRPr="00F02D52" w:rsidRDefault="006A4109" w:rsidP="00E930B2">
      <w:pPr>
        <w:rPr>
          <w:rFonts w:eastAsiaTheme="minorEastAsia" w:cs="Arial"/>
        </w:rPr>
      </w:pPr>
      <w:r w:rsidRPr="00F02D52">
        <w:rPr>
          <w:rFonts w:eastAsiaTheme="minorEastAsia" w:cs="Arial"/>
        </w:rPr>
        <w:t>E</w:t>
      </w:r>
      <w:r>
        <w:rPr>
          <w:rFonts w:eastAsiaTheme="minorEastAsia" w:cs="Arial"/>
        </w:rPr>
        <w:t>n</w:t>
      </w:r>
      <w:r w:rsidRPr="00F02D52">
        <w:rPr>
          <w:rFonts w:eastAsiaTheme="minorEastAsia" w:cs="Arial"/>
        </w:rPr>
        <w:t xml:space="preserve"> la mateixa línia, es va est</w:t>
      </w:r>
      <w:r>
        <w:rPr>
          <w:rFonts w:eastAsiaTheme="minorEastAsia" w:cs="Arial"/>
        </w:rPr>
        <w:t>ablir l'any 2007 el Protocol d'e</w:t>
      </w:r>
      <w:r w:rsidRPr="00F02D52">
        <w:rPr>
          <w:rFonts w:eastAsiaTheme="minorEastAsia" w:cs="Arial"/>
        </w:rPr>
        <w:t>xcarceració d'interns d'alt risc de reincidència violenta. Aquest és un protocol d'avaluació i coordinació que comença amb l'avaluació que fan els equips d'aquells interns que tenen pròxima la seva llibertat i que presenten un alt risc d'aquest tipus, i comporta la coordinació de la informació amb les fiscalies provincials, les oficines d'atenció a la víctima i l'àrea</w:t>
      </w:r>
      <w:r>
        <w:rPr>
          <w:rFonts w:eastAsiaTheme="minorEastAsia" w:cs="Arial"/>
        </w:rPr>
        <w:t xml:space="preserve"> d'informació i seguretat dels serveis p</w:t>
      </w:r>
      <w:r w:rsidRPr="00F02D52">
        <w:rPr>
          <w:rFonts w:eastAsiaTheme="minorEastAsia" w:cs="Arial"/>
        </w:rPr>
        <w:t>enitenciaris.</w:t>
      </w:r>
    </w:p>
    <w:p w:rsidR="006A4109" w:rsidRPr="00F02D52" w:rsidRDefault="006A4109" w:rsidP="00E930B2">
      <w:pPr>
        <w:rPr>
          <w:rFonts w:eastAsiaTheme="minorEastAsia" w:cs="Arial"/>
          <w:b/>
          <w:i/>
          <w:color w:val="4F81BD" w:themeColor="accent1"/>
        </w:rPr>
      </w:pPr>
    </w:p>
    <w:p w:rsidR="006A4109" w:rsidRPr="00F02D52" w:rsidRDefault="006A4109" w:rsidP="00E930B2">
      <w:pPr>
        <w:rPr>
          <w:rFonts w:eastAsiaTheme="minorEastAsia" w:cs="Arial"/>
          <w:b/>
          <w:i/>
          <w:color w:val="4F81BD" w:themeColor="accent1"/>
        </w:rPr>
      </w:pPr>
      <w:r w:rsidRPr="00F02D52">
        <w:rPr>
          <w:rFonts w:eastAsiaTheme="minorEastAsia" w:cs="Arial"/>
          <w:b/>
          <w:i/>
          <w:color w:val="4F81BD" w:themeColor="accent1"/>
        </w:rPr>
        <w:br w:type="page"/>
      </w:r>
    </w:p>
    <w:p w:rsidR="006A4109" w:rsidRPr="00F02D52" w:rsidRDefault="006A4109" w:rsidP="0070401F">
      <w:pPr>
        <w:pStyle w:val="Ttol3"/>
      </w:pPr>
      <w:bookmarkStart w:id="203" w:name="_Toc463867750"/>
      <w:bookmarkStart w:id="204" w:name="_Toc464685641"/>
      <w:bookmarkStart w:id="205" w:name="_Toc465293372"/>
      <w:r w:rsidRPr="00EB1B4D">
        <w:lastRenderedPageBreak/>
        <w:t>Panorama</w:t>
      </w:r>
      <w:r w:rsidRPr="00F02D52">
        <w:t xml:space="preserve"> actual i reptes</w:t>
      </w:r>
      <w:bookmarkEnd w:id="203"/>
      <w:bookmarkEnd w:id="204"/>
      <w:bookmarkEnd w:id="205"/>
    </w:p>
    <w:p w:rsidR="006A4109" w:rsidRPr="00F02D52" w:rsidRDefault="006A4109" w:rsidP="00E930B2">
      <w:pPr>
        <w:rPr>
          <w:rFonts w:eastAsiaTheme="minorEastAsia" w:cs="Arial"/>
        </w:rPr>
      </w:pPr>
      <w:r w:rsidRPr="00F02D52">
        <w:rPr>
          <w:rFonts w:eastAsiaTheme="minorEastAsia" w:cs="Arial"/>
        </w:rPr>
        <w:t>Cal ajustar molt més la intervenció individualitzada als principis esmentats</w:t>
      </w:r>
      <w:r w:rsidRPr="00F02D52">
        <w:rPr>
          <w:rFonts w:eastAsiaTheme="minorEastAsia" w:cs="Arial"/>
          <w:b/>
          <w:i/>
        </w:rPr>
        <w:t xml:space="preserve"> </w:t>
      </w:r>
      <w:r w:rsidRPr="00F02D52">
        <w:rPr>
          <w:rFonts w:eastAsiaTheme="minorEastAsia" w:cs="Arial"/>
        </w:rPr>
        <w:t>anteriorment; els PIT han de ser més dinàmics per tal de diferenciar els objectius i les condicions de compliment segons l'evolució del nivell de risc al llarg de l'internament, les diferents fases de compliment de la condemna i els objectius assolits. Aquest ajust ha d'anar en la direcció que apunta la investigació sobre reincidència a Catalunya: la intervenció pot millorar per tal d'avançar el moment en qu</w:t>
      </w:r>
      <w:r>
        <w:rPr>
          <w:rFonts w:eastAsiaTheme="minorEastAsia" w:cs="Arial"/>
        </w:rPr>
        <w:t>è</w:t>
      </w:r>
      <w:r w:rsidRPr="00F02D52">
        <w:rPr>
          <w:rFonts w:eastAsiaTheme="minorEastAsia" w:cs="Arial"/>
        </w:rPr>
        <w:t xml:space="preserve"> els interns obtenen els permisos i </w:t>
      </w:r>
      <w:r>
        <w:rPr>
          <w:rFonts w:eastAsiaTheme="minorEastAsia" w:cs="Arial"/>
        </w:rPr>
        <w:t xml:space="preserve">el </w:t>
      </w:r>
      <w:r w:rsidRPr="00F02D52">
        <w:rPr>
          <w:rFonts w:eastAsiaTheme="minorEastAsia" w:cs="Arial"/>
        </w:rPr>
        <w:t xml:space="preserve">règim obert i </w:t>
      </w:r>
      <w:r>
        <w:rPr>
          <w:rFonts w:eastAsiaTheme="minorEastAsia" w:cs="Arial"/>
        </w:rPr>
        <w:t>perquè</w:t>
      </w:r>
      <w:r w:rsidRPr="00F02D52">
        <w:rPr>
          <w:rFonts w:eastAsiaTheme="minorEastAsia" w:cs="Arial"/>
        </w:rPr>
        <w:t xml:space="preserve"> més interns puguin complir una part de la seva condemna prèvia a la finalització de la pena en condicions de semillibertat. Actualment, un 21,8 </w:t>
      </w:r>
      <w:r>
        <w:rPr>
          <w:rFonts w:eastAsiaTheme="minorEastAsia" w:cs="Arial"/>
        </w:rPr>
        <w:t xml:space="preserve">% </w:t>
      </w:r>
      <w:r w:rsidRPr="00F02D52">
        <w:rPr>
          <w:rFonts w:eastAsiaTheme="minorEastAsia" w:cs="Arial"/>
        </w:rPr>
        <w:t>dels interns classificats es troben en tercer grau i un 12</w:t>
      </w:r>
      <w:r>
        <w:rPr>
          <w:rFonts w:eastAsiaTheme="minorEastAsia" w:cs="Arial"/>
        </w:rPr>
        <w:t xml:space="preserve"> </w:t>
      </w:r>
      <w:r w:rsidRPr="00F02D52">
        <w:rPr>
          <w:rFonts w:eastAsiaTheme="minorEastAsia" w:cs="Arial"/>
        </w:rPr>
        <w:t>% dels condemnats</w:t>
      </w:r>
      <w:r>
        <w:rPr>
          <w:rFonts w:eastAsiaTheme="minorEastAsia" w:cs="Arial"/>
        </w:rPr>
        <w:t>,</w:t>
      </w:r>
      <w:r w:rsidRPr="00F02D52">
        <w:rPr>
          <w:rFonts w:eastAsiaTheme="minorEastAsia" w:cs="Arial"/>
        </w:rPr>
        <w:t xml:space="preserve"> en llibertat condicional. L'evidència disponible sobre el nostre sistema i la investigació a Catalunya i en altres països d</w:t>
      </w:r>
      <w:r>
        <w:rPr>
          <w:rFonts w:eastAsiaTheme="minorEastAsia" w:cs="Arial"/>
        </w:rPr>
        <w:t>ó</w:t>
      </w:r>
      <w:r w:rsidRPr="00F02D52">
        <w:rPr>
          <w:rFonts w:eastAsiaTheme="minorEastAsia" w:cs="Arial"/>
        </w:rPr>
        <w:t xml:space="preserve">na prou elements per preveure una situació futura en la </w:t>
      </w:r>
      <w:r>
        <w:rPr>
          <w:rFonts w:eastAsiaTheme="minorEastAsia" w:cs="Arial"/>
        </w:rPr>
        <w:t>qual</w:t>
      </w:r>
      <w:r w:rsidRPr="00F02D52">
        <w:rPr>
          <w:rFonts w:eastAsiaTheme="minorEastAsia" w:cs="Arial"/>
        </w:rPr>
        <w:t xml:space="preserve"> augmentin aquests marges</w:t>
      </w:r>
      <w:r>
        <w:rPr>
          <w:rFonts w:eastAsiaTheme="minorEastAsia" w:cs="Arial"/>
        </w:rPr>
        <w:t>,</w:t>
      </w:r>
      <w:r w:rsidRPr="00F02D52">
        <w:rPr>
          <w:rFonts w:eastAsiaTheme="minorEastAsia" w:cs="Arial"/>
        </w:rPr>
        <w:t xml:space="preserve"> mantenint unes condicions iguals o millors que les actuals pel que fa</w:t>
      </w:r>
      <w:r>
        <w:rPr>
          <w:rFonts w:eastAsiaTheme="minorEastAsia" w:cs="Arial"/>
        </w:rPr>
        <w:t xml:space="preserve"> a la reincidència i trencament</w:t>
      </w:r>
      <w:r w:rsidRPr="00F02D52">
        <w:rPr>
          <w:rFonts w:eastAsiaTheme="minorEastAsia" w:cs="Arial"/>
        </w:rPr>
        <w:t xml:space="preserve"> de condemna.</w:t>
      </w:r>
    </w:p>
    <w:p w:rsidR="006A4109" w:rsidRPr="00F02D52" w:rsidRDefault="006A4109" w:rsidP="00E930B2">
      <w:pPr>
        <w:rPr>
          <w:rFonts w:eastAsiaTheme="minorEastAsia" w:cs="Arial"/>
        </w:rPr>
      </w:pPr>
      <w:r w:rsidRPr="00F02D52">
        <w:rPr>
          <w:rFonts w:eastAsiaTheme="minorEastAsia" w:cs="Arial"/>
        </w:rPr>
        <w:t xml:space="preserve">RisCanvi és una eina relativament jove que encara pot aportar moltes millores al funcionament dels serveis penitenciaris. Cal </w:t>
      </w:r>
      <w:r>
        <w:rPr>
          <w:rFonts w:eastAsiaTheme="minorEastAsia" w:cs="Arial"/>
        </w:rPr>
        <w:t>continuar</w:t>
      </w:r>
      <w:r w:rsidRPr="00F02D52">
        <w:rPr>
          <w:rFonts w:eastAsiaTheme="minorEastAsia" w:cs="Arial"/>
        </w:rPr>
        <w:t xml:space="preserve"> treballant per aconseguir que sigui un instrument integrador de la gestió de la rehabilitació i la seguretat, útil per </w:t>
      </w:r>
      <w:r>
        <w:rPr>
          <w:rFonts w:eastAsiaTheme="minorEastAsia" w:cs="Arial"/>
        </w:rPr>
        <w:t xml:space="preserve">a </w:t>
      </w:r>
      <w:r w:rsidRPr="00F02D52">
        <w:rPr>
          <w:rFonts w:eastAsiaTheme="minorEastAsia" w:cs="Arial"/>
        </w:rPr>
        <w:t>tots els àmbits professionals dels centres</w:t>
      </w:r>
      <w:r>
        <w:rPr>
          <w:rFonts w:eastAsiaTheme="minorEastAsia" w:cs="Arial"/>
        </w:rPr>
        <w:t xml:space="preserve"> i, al mateix temps,</w:t>
      </w:r>
      <w:r w:rsidRPr="00F02D52">
        <w:rPr>
          <w:rFonts w:eastAsiaTheme="minorEastAsia" w:cs="Arial"/>
        </w:rPr>
        <w:t xml:space="preserve"> sensible als canvis que es donen en l'intern i el seu entorn. La concepció del protocol RisCanvi respon al principi que l'avaluació de</w:t>
      </w:r>
      <w:r>
        <w:rPr>
          <w:rFonts w:eastAsiaTheme="minorEastAsia" w:cs="Arial"/>
        </w:rPr>
        <w:t>l risc i la intervenció s'han d’</w:t>
      </w:r>
      <w:r w:rsidRPr="00F02D52">
        <w:rPr>
          <w:rFonts w:eastAsiaTheme="minorEastAsia" w:cs="Arial"/>
        </w:rPr>
        <w:t>influir recíprocament</w:t>
      </w:r>
      <w:r>
        <w:rPr>
          <w:rFonts w:eastAsiaTheme="minorEastAsia" w:cs="Arial"/>
        </w:rPr>
        <w:t>,</w:t>
      </w:r>
      <w:r w:rsidRPr="00F02D52">
        <w:rPr>
          <w:rFonts w:eastAsiaTheme="minorEastAsia" w:cs="Arial"/>
        </w:rPr>
        <w:t xml:space="preserve"> de manera que una valoració de risc alt ha de condicionar la intervenció per disminuir aquest i també les condicions de supervisió, evitant que es converteixi en un sistema classificatori que freni l'accés</w:t>
      </w:r>
      <w:r>
        <w:rPr>
          <w:rFonts w:eastAsiaTheme="minorEastAsia" w:cs="Arial"/>
        </w:rPr>
        <w:t xml:space="preserve"> progressiu</w:t>
      </w:r>
      <w:r w:rsidRPr="00F02D52">
        <w:rPr>
          <w:rFonts w:eastAsiaTheme="minorEastAsia" w:cs="Arial"/>
        </w:rPr>
        <w:t xml:space="preserve"> dels interns a l'entorn social. </w:t>
      </w:r>
    </w:p>
    <w:p w:rsidR="006A4109" w:rsidRPr="00F02D52" w:rsidRDefault="006A4109" w:rsidP="00E930B2">
      <w:pPr>
        <w:rPr>
          <w:rFonts w:eastAsiaTheme="minorEastAsia" w:cs="Arial"/>
        </w:rPr>
      </w:pPr>
      <w:r w:rsidRPr="00F02D52">
        <w:rPr>
          <w:rFonts w:eastAsiaTheme="minorEastAsia" w:cs="Arial"/>
        </w:rPr>
        <w:t>Actualment, el tutor informa l'intern sobre el PIT i li demana que manifesti el seu acord amb aquest. Cal treballar més en el futur per</w:t>
      </w:r>
      <w:r>
        <w:rPr>
          <w:rFonts w:eastAsiaTheme="minorEastAsia" w:cs="Arial"/>
        </w:rPr>
        <w:t>què</w:t>
      </w:r>
      <w:r w:rsidRPr="00F02D52">
        <w:rPr>
          <w:rFonts w:eastAsiaTheme="minorEastAsia" w:cs="Arial"/>
        </w:rPr>
        <w:t xml:space="preserve"> els objectius individualitzats siguin accessibles als interessos i comprensió de l'individu. També cal estructurar un protocol d'atenció individualitzada que doni més prioritat als aspectes motivacionals, mitjançant la intervenció que fan els tutors.</w:t>
      </w:r>
    </w:p>
    <w:p w:rsidR="006A4109" w:rsidRPr="00F02D52" w:rsidRDefault="006A4109" w:rsidP="00E930B2">
      <w:pPr>
        <w:rPr>
          <w:rFonts w:eastAsiaTheme="minorEastAsia" w:cs="Arial"/>
        </w:rPr>
      </w:pPr>
    </w:p>
    <w:p w:rsidR="006A4109" w:rsidRPr="00F02D52" w:rsidRDefault="006A4109" w:rsidP="00E930B2">
      <w:pPr>
        <w:rPr>
          <w:rFonts w:eastAsiaTheme="minorEastAsia" w:cs="Arial"/>
          <w:b/>
          <w:i/>
          <w:color w:val="4F81BD" w:themeColor="accent1"/>
        </w:rPr>
      </w:pPr>
      <w:r w:rsidRPr="00F02D52">
        <w:rPr>
          <w:rFonts w:eastAsiaTheme="minorEastAsia" w:cs="Arial"/>
          <w:b/>
          <w:i/>
          <w:color w:val="4F81BD" w:themeColor="accent1"/>
        </w:rPr>
        <w:br w:type="page"/>
      </w:r>
    </w:p>
    <w:p w:rsidR="006A4109" w:rsidRPr="00F02D52" w:rsidRDefault="006A4109" w:rsidP="0070401F">
      <w:pPr>
        <w:pStyle w:val="Ttol2"/>
      </w:pPr>
      <w:bookmarkStart w:id="206" w:name="_Toc463867751"/>
      <w:bookmarkStart w:id="207" w:name="_Toc464685642"/>
      <w:bookmarkStart w:id="208" w:name="_Toc465293373"/>
      <w:r w:rsidRPr="00F02D52">
        <w:lastRenderedPageBreak/>
        <w:t xml:space="preserve">Els </w:t>
      </w:r>
      <w:r w:rsidRPr="00EB1B4D">
        <w:t>programes</w:t>
      </w:r>
      <w:r w:rsidRPr="00F02D52">
        <w:t xml:space="preserve"> d'intervenció especialitzada</w:t>
      </w:r>
      <w:bookmarkEnd w:id="206"/>
      <w:bookmarkEnd w:id="207"/>
      <w:bookmarkEnd w:id="208"/>
    </w:p>
    <w:p w:rsidR="006A4109" w:rsidRPr="00F02D52" w:rsidRDefault="006A4109" w:rsidP="00E930B2">
      <w:pPr>
        <w:rPr>
          <w:rFonts w:eastAsiaTheme="minorEastAsia" w:cs="Arial"/>
        </w:rPr>
      </w:pPr>
      <w:r w:rsidRPr="00F02D52">
        <w:rPr>
          <w:rFonts w:eastAsiaTheme="minorEastAsia" w:cs="Arial"/>
        </w:rPr>
        <w:t>En el curs del temps s'han anat establint programes d’intervenció dirigits al tractament d'aquells factors de la població penada que tenen una relació més directa amb l'activitat delictiva. L'evolució de la delinqüència</w:t>
      </w:r>
      <w:r>
        <w:rPr>
          <w:rFonts w:eastAsiaTheme="minorEastAsia" w:cs="Arial"/>
        </w:rPr>
        <w:t>,</w:t>
      </w:r>
      <w:r w:rsidRPr="00F02D52">
        <w:rPr>
          <w:rFonts w:eastAsiaTheme="minorEastAsia" w:cs="Arial"/>
        </w:rPr>
        <w:t xml:space="preserve"> així com els avenços en les ciències socials i de la conducta</w:t>
      </w:r>
      <w:r>
        <w:rPr>
          <w:rFonts w:eastAsiaTheme="minorEastAsia" w:cs="Arial"/>
        </w:rPr>
        <w:t>,</w:t>
      </w:r>
      <w:r w:rsidRPr="00F02D52">
        <w:rPr>
          <w:rFonts w:eastAsiaTheme="minorEastAsia" w:cs="Arial"/>
        </w:rPr>
        <w:t xml:space="preserve"> han anat configurant aquest desenvolupament. Aquests programes aborden en profunditat, amb caràcter individual i dinàmiques de grup, els factors etiològics més habituals vinculats a la conducta delictiva,</w:t>
      </w:r>
      <w:r>
        <w:rPr>
          <w:rFonts w:eastAsiaTheme="minorEastAsia" w:cs="Arial"/>
        </w:rPr>
        <w:t xml:space="preserve"> per provocar i mantenir canvis</w:t>
      </w:r>
      <w:r w:rsidRPr="00F02D52">
        <w:rPr>
          <w:rFonts w:eastAsiaTheme="minorEastAsia" w:cs="Arial"/>
        </w:rPr>
        <w:t xml:space="preserve"> que ens permetin prevenir i/o reduir el risc de reincidència.</w:t>
      </w:r>
    </w:p>
    <w:p w:rsidR="006A4109" w:rsidRPr="00F02D52" w:rsidRDefault="006A4109" w:rsidP="00E930B2">
      <w:pPr>
        <w:rPr>
          <w:rFonts w:eastAsiaTheme="minorEastAsia" w:cs="Arial"/>
        </w:rPr>
      </w:pPr>
    </w:p>
    <w:p w:rsidR="006A4109" w:rsidRPr="00F02D52" w:rsidRDefault="006A4109" w:rsidP="0070401F">
      <w:pPr>
        <w:pStyle w:val="Ttol3"/>
      </w:pPr>
      <w:bookmarkStart w:id="209" w:name="_Toc463867752"/>
      <w:bookmarkStart w:id="210" w:name="_Toc464685643"/>
      <w:bookmarkStart w:id="211" w:name="_Toc465293374"/>
      <w:r w:rsidRPr="00EB1B4D">
        <w:t>Tractament</w:t>
      </w:r>
      <w:r w:rsidRPr="00F02D52">
        <w:t xml:space="preserve"> de les conductes addictives</w:t>
      </w:r>
      <w:bookmarkEnd w:id="209"/>
      <w:bookmarkEnd w:id="210"/>
      <w:bookmarkEnd w:id="211"/>
      <w:r w:rsidRPr="00F02D52">
        <w:t xml:space="preserve"> </w:t>
      </w:r>
    </w:p>
    <w:p w:rsidR="006A4109" w:rsidRPr="00F02D52" w:rsidRDefault="006A4109" w:rsidP="00E930B2">
      <w:pPr>
        <w:rPr>
          <w:rFonts w:eastAsiaTheme="minorEastAsia" w:cs="Arial"/>
        </w:rPr>
      </w:pPr>
      <w:r w:rsidRPr="00F02D52">
        <w:rPr>
          <w:rFonts w:eastAsiaTheme="minorEastAsia" w:cs="Arial"/>
        </w:rPr>
        <w:t>A finals dels anys 80 del segle passat, l'addicció a les drogues era un dels factors més prevalents en la població de les presons. Era un factor determinant de la conducta delictiva i de les possibilitats de reinserció</w:t>
      </w:r>
      <w:r>
        <w:rPr>
          <w:rFonts w:eastAsiaTheme="minorEastAsia" w:cs="Arial"/>
        </w:rPr>
        <w:t>,</w:t>
      </w:r>
      <w:r w:rsidRPr="00F02D52">
        <w:rPr>
          <w:rFonts w:eastAsiaTheme="minorEastAsia" w:cs="Arial"/>
        </w:rPr>
        <w:t xml:space="preserve"> i especialment contaminant del clima ambiental. Paral·lelament, el consum de drogues afectava de forma dramàtica la salut i la vida de les persones: durant molts anys la infecció pel VIH i altres malalties com l'hepatitis C van afectar una part important dels interns. </w:t>
      </w:r>
    </w:p>
    <w:p w:rsidR="006A4109" w:rsidRPr="00F02D52" w:rsidRDefault="006A4109" w:rsidP="00E930B2">
      <w:pPr>
        <w:rPr>
          <w:rFonts w:eastAsiaTheme="minorEastAsia" w:cs="Arial"/>
        </w:rPr>
      </w:pPr>
      <w:r w:rsidRPr="00F02D52">
        <w:rPr>
          <w:rFonts w:eastAsiaTheme="minorEastAsia" w:cs="Arial"/>
        </w:rPr>
        <w:t>A principis de la dècada de 1990 es van desenvolupar els primers programes de tractament de les drogodependències a les presons de Catalunya. Aquest programa es caracteritza per:</w:t>
      </w:r>
    </w:p>
    <w:p w:rsidR="006A4109" w:rsidRPr="00F02D52" w:rsidRDefault="006A4109" w:rsidP="00E930B2">
      <w:pPr>
        <w:rPr>
          <w:rFonts w:eastAsiaTheme="minorEastAsia" w:cs="Arial"/>
        </w:rPr>
      </w:pPr>
      <w:r>
        <w:rPr>
          <w:rFonts w:eastAsiaTheme="minorEastAsia" w:cs="Arial"/>
        </w:rPr>
        <w:t>U</w:t>
      </w:r>
      <w:r w:rsidRPr="00F02D52">
        <w:rPr>
          <w:rFonts w:eastAsiaTheme="minorEastAsia" w:cs="Arial"/>
        </w:rPr>
        <w:t>n abordatge multidisciplinari per part de professionals de</w:t>
      </w:r>
      <w:r>
        <w:rPr>
          <w:rFonts w:eastAsiaTheme="minorEastAsia" w:cs="Arial"/>
        </w:rPr>
        <w:t xml:space="preserve"> la</w:t>
      </w:r>
      <w:r w:rsidRPr="00F02D52">
        <w:rPr>
          <w:rFonts w:eastAsiaTheme="minorEastAsia" w:cs="Arial"/>
        </w:rPr>
        <w:t xml:space="preserve"> salut i </w:t>
      </w:r>
      <w:r>
        <w:rPr>
          <w:rFonts w:eastAsiaTheme="minorEastAsia" w:cs="Arial"/>
        </w:rPr>
        <w:t>la</w:t>
      </w:r>
      <w:r w:rsidRPr="00F02D52">
        <w:rPr>
          <w:rFonts w:eastAsiaTheme="minorEastAsia" w:cs="Arial"/>
        </w:rPr>
        <w:t xml:space="preserve"> rehabilitació dels centres penitenciaris</w:t>
      </w:r>
      <w:r>
        <w:rPr>
          <w:rFonts w:eastAsiaTheme="minorEastAsia" w:cs="Arial"/>
        </w:rPr>
        <w:t>.</w:t>
      </w:r>
    </w:p>
    <w:p w:rsidR="006A4109" w:rsidRPr="00F02D52" w:rsidRDefault="006A4109" w:rsidP="00E930B2">
      <w:pPr>
        <w:rPr>
          <w:rFonts w:eastAsiaTheme="minorEastAsia" w:cs="Arial"/>
        </w:rPr>
      </w:pPr>
      <w:r>
        <w:rPr>
          <w:rFonts w:eastAsiaTheme="minorEastAsia" w:cs="Arial"/>
        </w:rPr>
        <w:t>L</w:t>
      </w:r>
      <w:r w:rsidRPr="00F02D52">
        <w:rPr>
          <w:rFonts w:eastAsiaTheme="minorEastAsia" w:cs="Arial"/>
        </w:rPr>
        <w:t xml:space="preserve">a diferenciació de </w:t>
      </w:r>
      <w:r>
        <w:rPr>
          <w:rFonts w:eastAsiaTheme="minorEastAsia" w:cs="Arial"/>
        </w:rPr>
        <w:t>diversos</w:t>
      </w:r>
      <w:r w:rsidRPr="00F02D52">
        <w:rPr>
          <w:rFonts w:eastAsiaTheme="minorEastAsia" w:cs="Arial"/>
        </w:rPr>
        <w:t xml:space="preserve"> nivells d'intervenció: motivacional, intensiu i de seguiment. D'aquesta manera, el període intensiu s'adreça a la deshabituació dintre de la presó, </w:t>
      </w:r>
      <w:r>
        <w:rPr>
          <w:rFonts w:eastAsiaTheme="minorEastAsia" w:cs="Arial"/>
        </w:rPr>
        <w:t>amb la introducció d’</w:t>
      </w:r>
      <w:r w:rsidRPr="00F02D52">
        <w:rPr>
          <w:rFonts w:eastAsiaTheme="minorEastAsia" w:cs="Arial"/>
        </w:rPr>
        <w:t>intervencions grupals i individuals com l'educació per</w:t>
      </w:r>
      <w:r>
        <w:rPr>
          <w:rFonts w:eastAsiaTheme="minorEastAsia" w:cs="Arial"/>
        </w:rPr>
        <w:t xml:space="preserve"> a la salut, la prà</w:t>
      </w:r>
      <w:r w:rsidRPr="00F02D52">
        <w:rPr>
          <w:rFonts w:eastAsiaTheme="minorEastAsia" w:cs="Arial"/>
        </w:rPr>
        <w:t>ctica d'hàbits alternatius al consum i el suport a l'abstinència mitjançant la prevenció de recaigudes o altres competències d'autocontro</w:t>
      </w:r>
      <w:r>
        <w:rPr>
          <w:rFonts w:eastAsiaTheme="minorEastAsia" w:cs="Arial"/>
        </w:rPr>
        <w:t>l. Sempre que és possible, es dó</w:t>
      </w:r>
      <w:r w:rsidRPr="00F02D52">
        <w:rPr>
          <w:rFonts w:eastAsiaTheme="minorEastAsia" w:cs="Arial"/>
        </w:rPr>
        <w:t xml:space="preserve">na continuïtat al tractament mitjançant la vinculació a recursos externs i especialitzats, ja sigui dintre de la presó o fora, fent ús de les possibilitats que donen els permisos o sortides programades, o el règim obert. Cal destacar, en aquest sentit, l'establiment del programa PID al CP </w:t>
      </w:r>
      <w:r>
        <w:rPr>
          <w:rFonts w:eastAsiaTheme="minorEastAsia" w:cs="Arial"/>
        </w:rPr>
        <w:t>d’</w:t>
      </w:r>
      <w:r w:rsidRPr="00F02D52">
        <w:rPr>
          <w:rFonts w:eastAsiaTheme="minorEastAsia" w:cs="Arial"/>
        </w:rPr>
        <w:t xml:space="preserve">Homes de Barcelona </w:t>
      </w:r>
      <w:r>
        <w:rPr>
          <w:rFonts w:eastAsiaTheme="minorEastAsia" w:cs="Arial"/>
        </w:rPr>
        <w:t>l'any 1990, gestionat de forma í</w:t>
      </w:r>
      <w:r w:rsidRPr="00F02D52">
        <w:rPr>
          <w:rFonts w:eastAsiaTheme="minorEastAsia" w:cs="Arial"/>
        </w:rPr>
        <w:t>ntegra per una entitat externa especialitzada, que continua en funcionament en l'actualitat.</w:t>
      </w:r>
    </w:p>
    <w:p w:rsidR="006A4109" w:rsidRPr="00F02D52" w:rsidRDefault="006A4109" w:rsidP="00E930B2">
      <w:pPr>
        <w:rPr>
          <w:rFonts w:eastAsiaTheme="minorEastAsia" w:cs="Arial"/>
        </w:rPr>
      </w:pPr>
      <w:r>
        <w:rPr>
          <w:rFonts w:eastAsiaTheme="minorEastAsia" w:cs="Arial"/>
        </w:rPr>
        <w:t>L</w:t>
      </w:r>
      <w:r w:rsidRPr="00F02D52">
        <w:rPr>
          <w:rFonts w:eastAsiaTheme="minorEastAsia" w:cs="Arial"/>
        </w:rPr>
        <w:t xml:space="preserve">'aplicació de mesures </w:t>
      </w:r>
      <w:r>
        <w:rPr>
          <w:rFonts w:eastAsiaTheme="minorEastAsia" w:cs="Arial"/>
        </w:rPr>
        <w:t xml:space="preserve">de </w:t>
      </w:r>
      <w:r w:rsidRPr="00F02D52">
        <w:rPr>
          <w:rFonts w:eastAsiaTheme="minorEastAsia" w:cs="Arial"/>
        </w:rPr>
        <w:t>reducció de danys com una part essencial o complementària del tractament. A partir de 1990 es van generalitzar els programes de</w:t>
      </w:r>
      <w:r>
        <w:rPr>
          <w:rFonts w:eastAsiaTheme="minorEastAsia" w:cs="Arial"/>
        </w:rPr>
        <w:t xml:space="preserve"> manteniment amb metadona (PMM)</w:t>
      </w:r>
      <w:r w:rsidRPr="00F02D52">
        <w:rPr>
          <w:rFonts w:eastAsiaTheme="minorEastAsia" w:cs="Arial"/>
        </w:rPr>
        <w:t xml:space="preserve"> i, més recentment, el programa d'intercanvi de xeringues (PIX)</w:t>
      </w:r>
      <w:r>
        <w:rPr>
          <w:rFonts w:eastAsiaTheme="minorEastAsia" w:cs="Arial"/>
        </w:rPr>
        <w:t>,</w:t>
      </w:r>
      <w:r w:rsidRPr="00F02D52">
        <w:rPr>
          <w:rFonts w:eastAsiaTheme="minorEastAsia" w:cs="Arial"/>
        </w:rPr>
        <w:t xml:space="preserve"> segons </w:t>
      </w:r>
      <w:r>
        <w:rPr>
          <w:rFonts w:eastAsiaTheme="minorEastAsia" w:cs="Arial"/>
        </w:rPr>
        <w:t>la I</w:t>
      </w:r>
      <w:r w:rsidRPr="00F02D52">
        <w:rPr>
          <w:rFonts w:eastAsiaTheme="minorEastAsia" w:cs="Arial"/>
        </w:rPr>
        <w:t>nstrucció 1/2003.</w:t>
      </w:r>
    </w:p>
    <w:p w:rsidR="006A4109" w:rsidRPr="003D68F1" w:rsidRDefault="006A4109" w:rsidP="00E930B2">
      <w:pPr>
        <w:rPr>
          <w:rFonts w:eastAsiaTheme="minorEastAsia" w:cs="Arial"/>
          <w:spacing w:val="-2"/>
        </w:rPr>
      </w:pPr>
      <w:r w:rsidRPr="003D68F1">
        <w:rPr>
          <w:rFonts w:eastAsiaTheme="minorEastAsia" w:cs="Arial"/>
          <w:spacing w:val="-2"/>
        </w:rPr>
        <w:t>L'establiment de dispositius especialitzats de tractament a les presons, com són els centres d'atenció i seguiment (CAS) als centres penitenciaris Brians 1 i Brians 2, que segueixen el model de la xarxa pública de drogodependències, o els departaments d'atenció especialitzada (DAE) al CP Ponent, o, en el seu moment, als centres Quatre Camins, Brians 1 (per a dones) o Brians 2.</w:t>
      </w:r>
    </w:p>
    <w:p w:rsidR="006A4109" w:rsidRPr="00F02D52" w:rsidRDefault="006A4109" w:rsidP="00E930B2">
      <w:pPr>
        <w:rPr>
          <w:rFonts w:eastAsiaTheme="minorEastAsia" w:cs="Arial"/>
        </w:rPr>
      </w:pPr>
    </w:p>
    <w:p w:rsidR="006A4109" w:rsidRPr="00F02D52" w:rsidRDefault="006A4109" w:rsidP="0070401F">
      <w:pPr>
        <w:pStyle w:val="Ttol3"/>
      </w:pPr>
      <w:bookmarkStart w:id="212" w:name="_Toc463867753"/>
      <w:bookmarkStart w:id="213" w:name="_Toc464685644"/>
      <w:bookmarkStart w:id="214" w:name="_Toc465293375"/>
      <w:r w:rsidRPr="00F02D52">
        <w:t xml:space="preserve">Programa de </w:t>
      </w:r>
      <w:r w:rsidRPr="00EB1B4D">
        <w:t>control</w:t>
      </w:r>
      <w:r>
        <w:t xml:space="preserve"> de l'agressió s</w:t>
      </w:r>
      <w:r w:rsidRPr="00F02D52">
        <w:t>exual (SAC)</w:t>
      </w:r>
      <w:bookmarkEnd w:id="212"/>
      <w:bookmarkEnd w:id="213"/>
      <w:bookmarkEnd w:id="214"/>
    </w:p>
    <w:p w:rsidR="006A4109" w:rsidRPr="00F02D52" w:rsidRDefault="006A4109" w:rsidP="00E930B2">
      <w:pPr>
        <w:rPr>
          <w:rFonts w:eastAsiaTheme="minorEastAsia" w:cs="Arial"/>
        </w:rPr>
      </w:pPr>
      <w:r w:rsidRPr="00F02D52">
        <w:rPr>
          <w:rFonts w:eastAsiaTheme="minorEastAsia" w:cs="Arial"/>
        </w:rPr>
        <w:t xml:space="preserve">A principis dels anys 90, com a resposta a una preocupació social creixent per la delinqüència violenta, l'Administració </w:t>
      </w:r>
      <w:r>
        <w:rPr>
          <w:rFonts w:eastAsiaTheme="minorEastAsia" w:cs="Arial"/>
        </w:rPr>
        <w:t>penitenciària</w:t>
      </w:r>
      <w:r w:rsidRPr="00F02D52">
        <w:rPr>
          <w:rFonts w:eastAsiaTheme="minorEastAsia" w:cs="Arial"/>
        </w:rPr>
        <w:t xml:space="preserve"> i el CEJFE van impulsar la investigació aplicada sobre les possibilitats de tractament dels delinqüents sexuals a les presons. </w:t>
      </w:r>
      <w:r>
        <w:rPr>
          <w:rFonts w:eastAsiaTheme="minorEastAsia" w:cs="Arial"/>
        </w:rPr>
        <w:t>D’acord amb</w:t>
      </w:r>
      <w:r w:rsidRPr="00F02D52">
        <w:rPr>
          <w:rFonts w:eastAsiaTheme="minorEastAsia" w:cs="Arial"/>
        </w:rPr>
        <w:t xml:space="preserve"> un estudi sobre aquest tipus de població </w:t>
      </w:r>
      <w:r>
        <w:rPr>
          <w:rFonts w:eastAsiaTheme="minorEastAsia" w:cs="Arial"/>
        </w:rPr>
        <w:t>penitenciària</w:t>
      </w:r>
      <w:r w:rsidRPr="00F02D52">
        <w:rPr>
          <w:rFonts w:eastAsiaTheme="minorEastAsia" w:cs="Arial"/>
        </w:rPr>
        <w:t xml:space="preserve"> (Garrido et al. 1995) i una adaptació dels programes que s'aplicaven en altres països (Garrido i Beneyto, 1996), es </w:t>
      </w:r>
      <w:r w:rsidRPr="00F02D52">
        <w:rPr>
          <w:rFonts w:eastAsiaTheme="minorEastAsia" w:cs="Arial"/>
        </w:rPr>
        <w:lastRenderedPageBreak/>
        <w:t xml:space="preserve">van implementar els primers programes de control de l'agressió sexual (SAC) a les presons de Quatre Camins i Brians 1 a partir de l'any 1996. </w:t>
      </w:r>
    </w:p>
    <w:p w:rsidR="006A4109" w:rsidRPr="00F02D52" w:rsidRDefault="006A4109" w:rsidP="00E930B2">
      <w:pPr>
        <w:rPr>
          <w:rFonts w:eastAsiaTheme="minorEastAsia" w:cs="Arial"/>
        </w:rPr>
      </w:pPr>
      <w:r w:rsidRPr="00F02D52">
        <w:rPr>
          <w:rFonts w:eastAsiaTheme="minorEastAsia" w:cs="Arial"/>
        </w:rPr>
        <w:t>Aquest programa, posteriorment generalitzat a tots els centres de compliment, té com a objectiu la modificació dels factors més influents en aquest tipus de conducta violenta</w:t>
      </w:r>
      <w:r>
        <w:rPr>
          <w:rFonts w:eastAsiaTheme="minorEastAsia" w:cs="Arial"/>
        </w:rPr>
        <w:t>,</w:t>
      </w:r>
      <w:r w:rsidRPr="00F02D52">
        <w:rPr>
          <w:rFonts w:eastAsiaTheme="minorEastAsia" w:cs="Arial"/>
        </w:rPr>
        <w:t xml:space="preserve"> com són els mecanismes de defensa i distorsions de pensament, el control de les emocions, la empatia amb la víctima, l'estil de vida positiu i la prevenció de recaigudes. </w:t>
      </w:r>
    </w:p>
    <w:p w:rsidR="006A4109" w:rsidRPr="00F02D52" w:rsidRDefault="006A4109" w:rsidP="00E930B2">
      <w:pPr>
        <w:rPr>
          <w:rFonts w:eastAsiaTheme="minorEastAsia" w:cs="Arial"/>
        </w:rPr>
      </w:pPr>
      <w:r w:rsidRPr="00F02D52">
        <w:rPr>
          <w:rFonts w:eastAsiaTheme="minorEastAsia" w:cs="Arial"/>
        </w:rPr>
        <w:t xml:space="preserve">El tractament s'aplica en sessions de grup on els participants treballen aquests aspectes dirigits per un o dos professionals, expressament formats en el programa i també en sessions individuals. És un programa intensiu, en el sentit que es duu a terme durant un període aproximat de </w:t>
      </w:r>
      <w:r>
        <w:rPr>
          <w:rFonts w:eastAsiaTheme="minorEastAsia" w:cs="Arial"/>
        </w:rPr>
        <w:t>sis</w:t>
      </w:r>
      <w:r w:rsidRPr="00F02D52">
        <w:rPr>
          <w:rFonts w:eastAsiaTheme="minorEastAsia" w:cs="Arial"/>
        </w:rPr>
        <w:t xml:space="preserve"> mesos i </w:t>
      </w:r>
      <w:r>
        <w:rPr>
          <w:rFonts w:eastAsiaTheme="minorEastAsia" w:cs="Arial"/>
        </w:rPr>
        <w:t>amb diverses</w:t>
      </w:r>
      <w:r w:rsidRPr="00F02D52">
        <w:rPr>
          <w:rFonts w:eastAsiaTheme="minorEastAsia" w:cs="Arial"/>
        </w:rPr>
        <w:t xml:space="preserve"> sessions per setmana. Un estudi realitzat sobre el programa aplicat al centre Brians 1 (Redondo et al., 2005) va constatar la seva eficàcia per </w:t>
      </w:r>
      <w:r>
        <w:rPr>
          <w:rFonts w:eastAsiaTheme="minorEastAsia" w:cs="Arial"/>
        </w:rPr>
        <w:t xml:space="preserve">a </w:t>
      </w:r>
      <w:r w:rsidRPr="00F02D52">
        <w:rPr>
          <w:rFonts w:eastAsiaTheme="minorEastAsia" w:cs="Arial"/>
        </w:rPr>
        <w:t>la prevenció de la reincidència en aquest tipus de delictes.</w:t>
      </w:r>
    </w:p>
    <w:p w:rsidR="006A4109" w:rsidRPr="00F02D52" w:rsidRDefault="006A4109" w:rsidP="00E930B2">
      <w:pPr>
        <w:rPr>
          <w:rFonts w:eastAsiaTheme="minorEastAsia" w:cs="Arial"/>
        </w:rPr>
      </w:pPr>
    </w:p>
    <w:p w:rsidR="006A4109" w:rsidRPr="00F02D52" w:rsidRDefault="006A4109" w:rsidP="0070401F">
      <w:pPr>
        <w:pStyle w:val="Ttol3"/>
      </w:pPr>
      <w:bookmarkStart w:id="215" w:name="_Toc463867754"/>
      <w:bookmarkStart w:id="216" w:name="_Toc464685645"/>
      <w:bookmarkStart w:id="217" w:name="_Toc465293376"/>
      <w:r w:rsidRPr="00F02D52">
        <w:t>Programes de tractament de la conducta violenta: DEVI i VIGE</w:t>
      </w:r>
      <w:bookmarkEnd w:id="215"/>
      <w:bookmarkEnd w:id="216"/>
      <w:bookmarkEnd w:id="217"/>
    </w:p>
    <w:p w:rsidR="006A4109" w:rsidRPr="00F02D52" w:rsidRDefault="006A4109" w:rsidP="00E930B2">
      <w:pPr>
        <w:rPr>
          <w:rFonts w:eastAsiaTheme="minorEastAsia" w:cs="Arial"/>
        </w:rPr>
      </w:pPr>
      <w:r w:rsidRPr="00F02D52">
        <w:rPr>
          <w:rFonts w:eastAsiaTheme="minorEastAsia" w:cs="Arial"/>
        </w:rPr>
        <w:t>Seguint els mateixos principis pel que fa al format d'aplicació i el fonament en la investigació i l'adaptació dels programes internacionals més rellevants, com ens</w:t>
      </w:r>
      <w:r>
        <w:rPr>
          <w:rFonts w:eastAsiaTheme="minorEastAsia" w:cs="Arial"/>
        </w:rPr>
        <w:t xml:space="preserve"> hi</w:t>
      </w:r>
      <w:r w:rsidRPr="00F02D52">
        <w:rPr>
          <w:rFonts w:eastAsiaTheme="minorEastAsia" w:cs="Arial"/>
        </w:rPr>
        <w:t xml:space="preserve"> hem referit anteriorment, es van implementar amb posterioritat els programes DEVI, per </w:t>
      </w:r>
      <w:r>
        <w:rPr>
          <w:rFonts w:eastAsiaTheme="minorEastAsia" w:cs="Arial"/>
        </w:rPr>
        <w:t xml:space="preserve">a </w:t>
      </w:r>
      <w:r w:rsidRPr="00F02D52">
        <w:rPr>
          <w:rFonts w:eastAsiaTheme="minorEastAsia" w:cs="Arial"/>
        </w:rPr>
        <w:t>autors de delictes violents com homicidis o lesions, i el programa VIGE</w:t>
      </w:r>
      <w:r>
        <w:rPr>
          <w:rFonts w:eastAsiaTheme="minorEastAsia" w:cs="Arial"/>
        </w:rPr>
        <w:t>,</w:t>
      </w:r>
      <w:r w:rsidRPr="00F02D52">
        <w:rPr>
          <w:rFonts w:eastAsiaTheme="minorEastAsia" w:cs="Arial"/>
        </w:rPr>
        <w:t xml:space="preserve"> </w:t>
      </w:r>
      <w:r>
        <w:rPr>
          <w:rFonts w:eastAsiaTheme="minorEastAsia" w:cs="Arial"/>
        </w:rPr>
        <w:t>per a</w:t>
      </w:r>
      <w:r w:rsidRPr="00F02D52">
        <w:rPr>
          <w:rFonts w:eastAsiaTheme="minorEastAsia" w:cs="Arial"/>
        </w:rPr>
        <w:t xml:space="preserve"> autors de delictes de violència de gènere, a tots els centres penitenciaris.</w:t>
      </w:r>
    </w:p>
    <w:p w:rsidR="006A4109" w:rsidRPr="00F02D52" w:rsidRDefault="006A4109" w:rsidP="00E930B2">
      <w:pPr>
        <w:rPr>
          <w:rFonts w:eastAsiaTheme="minorEastAsia" w:cs="Arial"/>
        </w:rPr>
      </w:pPr>
    </w:p>
    <w:p w:rsidR="006A4109" w:rsidRPr="00F02D52" w:rsidRDefault="006A4109" w:rsidP="0070401F">
      <w:pPr>
        <w:pStyle w:val="Ttol3"/>
      </w:pPr>
      <w:bookmarkStart w:id="218" w:name="_Toc463867755"/>
      <w:bookmarkStart w:id="219" w:name="_Toc464685646"/>
      <w:bookmarkStart w:id="220" w:name="_Toc465293377"/>
      <w:r w:rsidRPr="00EB1B4D">
        <w:t>Programa</w:t>
      </w:r>
      <w:r w:rsidRPr="00F02D52">
        <w:t xml:space="preserve"> de tractament per delictes de trànsit</w:t>
      </w:r>
      <w:bookmarkEnd w:id="218"/>
      <w:bookmarkEnd w:id="219"/>
      <w:bookmarkEnd w:id="220"/>
      <w:r w:rsidRPr="00F02D52">
        <w:t xml:space="preserve"> </w:t>
      </w:r>
    </w:p>
    <w:p w:rsidR="006A4109" w:rsidRPr="00F02D52" w:rsidRDefault="006A4109" w:rsidP="00E930B2">
      <w:pPr>
        <w:rPr>
          <w:rFonts w:eastAsiaTheme="minorEastAsia" w:cs="Arial"/>
        </w:rPr>
      </w:pPr>
      <w:r w:rsidRPr="00F02D52">
        <w:rPr>
          <w:rFonts w:eastAsiaTheme="minorEastAsia" w:cs="Arial"/>
        </w:rPr>
        <w:t xml:space="preserve">Els canvis en la penalització de les infraccions greus de trànsit ha donat lloc durant els últims anys a un augment creixent de les persones empresonades per aquest tipus de delictes. Com a resposta a aquesta realitat, a partir de 2009 s'ha anat desenvolupant un model de tractament específic per </w:t>
      </w:r>
      <w:r>
        <w:rPr>
          <w:rFonts w:eastAsiaTheme="minorEastAsia" w:cs="Arial"/>
        </w:rPr>
        <w:t xml:space="preserve">a </w:t>
      </w:r>
      <w:r w:rsidRPr="00F02D52">
        <w:rPr>
          <w:rFonts w:eastAsiaTheme="minorEastAsia" w:cs="Arial"/>
        </w:rPr>
        <w:t>aquesta problemàtica. Cal destacar que les primeres elaboracions del programa es van fer per iniciativa d'un grup de professionals organitzats mitjançant  la comunitat de pràctiques dels educadors socials</w:t>
      </w:r>
      <w:r w:rsidRPr="00F02D52">
        <w:rPr>
          <w:rFonts w:eastAsiaTheme="minorEastAsia" w:cs="Arial"/>
          <w:vertAlign w:val="superscript"/>
        </w:rPr>
        <w:footnoteReference w:id="10"/>
      </w:r>
      <w:r w:rsidRPr="00F02D52">
        <w:rPr>
          <w:rFonts w:eastAsiaTheme="minorEastAsia" w:cs="Arial"/>
        </w:rPr>
        <w:t>. També, l'any 2010, es va publicar una investigació, amb el suport del CEJFE, que analitza i descriu els programes de tractament més rellevants (Herraiz, 2010).</w:t>
      </w:r>
    </w:p>
    <w:p w:rsidR="006A4109" w:rsidRPr="00F02D52" w:rsidRDefault="006A4109" w:rsidP="00E930B2">
      <w:pPr>
        <w:rPr>
          <w:rFonts w:eastAsiaTheme="minorEastAsia" w:cs="Arial"/>
        </w:rPr>
      </w:pPr>
    </w:p>
    <w:p w:rsidR="006A4109" w:rsidRPr="00F02D52" w:rsidRDefault="006A4109" w:rsidP="0070401F">
      <w:pPr>
        <w:pStyle w:val="Ttol3"/>
      </w:pPr>
      <w:bookmarkStart w:id="221" w:name="_Toc463867756"/>
      <w:bookmarkStart w:id="222" w:name="_Toc464685647"/>
      <w:bookmarkStart w:id="223" w:name="_Toc465293378"/>
      <w:r>
        <w:t xml:space="preserve">Els </w:t>
      </w:r>
      <w:r w:rsidRPr="00EB1B4D">
        <w:t>departaments</w:t>
      </w:r>
      <w:r>
        <w:t xml:space="preserve"> d'atenció e</w:t>
      </w:r>
      <w:r w:rsidRPr="00F02D52">
        <w:t>specialitzada (DAE).Comunitat terapèutica</w:t>
      </w:r>
      <w:bookmarkEnd w:id="221"/>
      <w:bookmarkEnd w:id="222"/>
      <w:bookmarkEnd w:id="223"/>
    </w:p>
    <w:p w:rsidR="006A4109" w:rsidRPr="00D843CD" w:rsidRDefault="006A4109" w:rsidP="00E930B2">
      <w:pPr>
        <w:rPr>
          <w:rFonts w:eastAsiaTheme="minorEastAsia" w:cs="Arial"/>
          <w:spacing w:val="-4"/>
        </w:rPr>
      </w:pPr>
      <w:r w:rsidRPr="00D843CD">
        <w:rPr>
          <w:rFonts w:eastAsiaTheme="minorEastAsia" w:cs="Arial"/>
          <w:spacing w:val="-4"/>
        </w:rPr>
        <w:t xml:space="preserve">L'any 1990 es va crear al Centre Penitenciari Quatre Camins el primer DAE. Aquest departament es va configurar com una comunitat terapèutica dintre d'una presó per al tractament intensiu d'interns amb una problemàtica greu de drogodependència. El DAE, amb un equip especialitzat propi i unes instal·lacions separades de la resta, va suposar una alternativa per a aquells interns que, pels seus antecedents i les seves dificultats per respondre als itineraris de tractament comuns, requereixen una intervenció més especialitzada. </w:t>
      </w:r>
    </w:p>
    <w:p w:rsidR="006A4109" w:rsidRPr="00F02D52" w:rsidRDefault="006A4109" w:rsidP="00E930B2">
      <w:pPr>
        <w:rPr>
          <w:rFonts w:eastAsiaTheme="minorEastAsia" w:cs="Arial"/>
        </w:rPr>
      </w:pPr>
      <w:r w:rsidRPr="00F02D52">
        <w:rPr>
          <w:rFonts w:eastAsiaTheme="minorEastAsia" w:cs="Arial"/>
        </w:rPr>
        <w:t>L'any 1995 es va obrir el DAE de Brians 1 per</w:t>
      </w:r>
      <w:r>
        <w:rPr>
          <w:rFonts w:eastAsiaTheme="minorEastAsia" w:cs="Arial"/>
        </w:rPr>
        <w:t xml:space="preserve"> a</w:t>
      </w:r>
      <w:r w:rsidRPr="00F02D52">
        <w:rPr>
          <w:rFonts w:eastAsiaTheme="minorEastAsia" w:cs="Arial"/>
        </w:rPr>
        <w:t xml:space="preserve"> </w:t>
      </w:r>
      <w:r>
        <w:rPr>
          <w:rFonts w:eastAsiaTheme="minorEastAsia" w:cs="Arial"/>
        </w:rPr>
        <w:t>internes</w:t>
      </w:r>
      <w:r w:rsidRPr="00F02D52">
        <w:rPr>
          <w:rFonts w:eastAsiaTheme="minorEastAsia" w:cs="Arial"/>
        </w:rPr>
        <w:t xml:space="preserve"> amb problemes d'addiccions i l'any 2007 es va posar en funcionament el DAE de Brians 2 per </w:t>
      </w:r>
      <w:r>
        <w:rPr>
          <w:rFonts w:eastAsiaTheme="minorEastAsia" w:cs="Arial"/>
        </w:rPr>
        <w:t xml:space="preserve">a </w:t>
      </w:r>
      <w:r w:rsidRPr="00F02D52">
        <w:rPr>
          <w:rFonts w:eastAsiaTheme="minorEastAsia" w:cs="Arial"/>
        </w:rPr>
        <w:t xml:space="preserve">interns també amb problemes de drogodependències. </w:t>
      </w:r>
    </w:p>
    <w:p w:rsidR="006A4109" w:rsidRPr="00F02D52" w:rsidRDefault="006A4109" w:rsidP="00E930B2">
      <w:pPr>
        <w:rPr>
          <w:rFonts w:eastAsiaTheme="minorEastAsia" w:cs="Arial"/>
        </w:rPr>
      </w:pPr>
      <w:r w:rsidRPr="00F02D52">
        <w:rPr>
          <w:rFonts w:eastAsiaTheme="minorEastAsia" w:cs="Arial"/>
        </w:rPr>
        <w:lastRenderedPageBreak/>
        <w:t xml:space="preserve">Amb posterioritat, els canvis en els perfils de la població </w:t>
      </w:r>
      <w:r>
        <w:rPr>
          <w:rFonts w:eastAsiaTheme="minorEastAsia" w:cs="Arial"/>
        </w:rPr>
        <w:t>penitenciària</w:t>
      </w:r>
      <w:r w:rsidRPr="00F02D52">
        <w:rPr>
          <w:rFonts w:eastAsiaTheme="minorEastAsia" w:cs="Arial"/>
        </w:rPr>
        <w:t xml:space="preserve"> han fet necessari reorientar la funcionalitat d'aquests departaments. Així, l'any 2013 es va modificar el programa del DAE de Quatre Camins </w:t>
      </w:r>
      <w:r>
        <w:rPr>
          <w:rFonts w:eastAsiaTheme="minorEastAsia" w:cs="Arial"/>
        </w:rPr>
        <w:t>i es va adreçar</w:t>
      </w:r>
      <w:r w:rsidRPr="00F02D52">
        <w:rPr>
          <w:rFonts w:eastAsiaTheme="minorEastAsia" w:cs="Arial"/>
        </w:rPr>
        <w:t xml:space="preserve"> a interns</w:t>
      </w:r>
      <w:r>
        <w:rPr>
          <w:rFonts w:eastAsiaTheme="minorEastAsia" w:cs="Arial"/>
        </w:rPr>
        <w:t xml:space="preserve"> amb discapacitat intel·lectual</w:t>
      </w:r>
      <w:r w:rsidRPr="00F02D52">
        <w:rPr>
          <w:rFonts w:eastAsiaTheme="minorEastAsia" w:cs="Arial"/>
        </w:rPr>
        <w:t xml:space="preserve"> i del desenvolupament. Durant </w:t>
      </w:r>
      <w:r>
        <w:rPr>
          <w:rFonts w:eastAsiaTheme="minorEastAsia" w:cs="Arial"/>
        </w:rPr>
        <w:t>els anys 2015</w:t>
      </w:r>
      <w:r w:rsidRPr="00F02D52">
        <w:rPr>
          <w:rFonts w:eastAsiaTheme="minorEastAsia" w:cs="Arial"/>
        </w:rPr>
        <w:t>-2016 s'està transformant el DAE de Brians 2 per atendre les necessitats d'intervenció d'interns amb mancances personals i socials per accedir als permisos i règim obert, tant si presenten addiccions com si no. I durant</w:t>
      </w:r>
      <w:r>
        <w:rPr>
          <w:rFonts w:eastAsiaTheme="minorEastAsia" w:cs="Arial"/>
        </w:rPr>
        <w:t xml:space="preserve"> el</w:t>
      </w:r>
      <w:r w:rsidRPr="00F02D52">
        <w:rPr>
          <w:rFonts w:eastAsiaTheme="minorEastAsia" w:cs="Arial"/>
        </w:rPr>
        <w:t xml:space="preserve"> 2016 s'ha iniciat la transformació del DAE de Brians 1 per atendre </w:t>
      </w:r>
      <w:r>
        <w:rPr>
          <w:rFonts w:eastAsiaTheme="minorEastAsia" w:cs="Arial"/>
        </w:rPr>
        <w:t>internes</w:t>
      </w:r>
      <w:r w:rsidRPr="00F02D52">
        <w:rPr>
          <w:rFonts w:eastAsiaTheme="minorEastAsia" w:cs="Arial"/>
        </w:rPr>
        <w:t xml:space="preserve"> amb trastorn límit de la personalitat (TLP)</w:t>
      </w:r>
      <w:r>
        <w:rPr>
          <w:rFonts w:eastAsiaTheme="minorEastAsia" w:cs="Arial"/>
        </w:rPr>
        <w:t>,</w:t>
      </w:r>
      <w:r w:rsidRPr="00F02D52">
        <w:rPr>
          <w:rFonts w:eastAsiaTheme="minorEastAsia" w:cs="Arial"/>
        </w:rPr>
        <w:t xml:space="preserve"> a més </w:t>
      </w:r>
      <w:r>
        <w:rPr>
          <w:rFonts w:eastAsiaTheme="minorEastAsia" w:cs="Arial"/>
        </w:rPr>
        <w:t>d’internes</w:t>
      </w:r>
      <w:r w:rsidRPr="00F02D52">
        <w:rPr>
          <w:rFonts w:eastAsiaTheme="minorEastAsia" w:cs="Arial"/>
        </w:rPr>
        <w:t xml:space="preserve"> amb drogodependències. </w:t>
      </w:r>
    </w:p>
    <w:p w:rsidR="006A4109" w:rsidRPr="00F02D52" w:rsidRDefault="006A4109" w:rsidP="00E930B2">
      <w:pPr>
        <w:rPr>
          <w:rFonts w:eastAsiaTheme="minorEastAsia" w:cs="Arial"/>
        </w:rPr>
      </w:pPr>
    </w:p>
    <w:p w:rsidR="006A4109" w:rsidRPr="00F02D52" w:rsidRDefault="006A4109" w:rsidP="0070401F">
      <w:pPr>
        <w:pStyle w:val="Ttol3"/>
      </w:pPr>
      <w:bookmarkStart w:id="224" w:name="_Toc463867757"/>
      <w:bookmarkStart w:id="225" w:name="_Toc464685648"/>
      <w:bookmarkStart w:id="226" w:name="_Toc465293379"/>
      <w:r>
        <w:t xml:space="preserve">Els </w:t>
      </w:r>
      <w:r w:rsidRPr="00EB1B4D">
        <w:t>departaments</w:t>
      </w:r>
      <w:r>
        <w:t xml:space="preserve"> especials de règim t</w:t>
      </w:r>
      <w:r w:rsidRPr="00F02D52">
        <w:t>ancat (DERT)</w:t>
      </w:r>
      <w:bookmarkEnd w:id="224"/>
      <w:bookmarkEnd w:id="225"/>
      <w:bookmarkEnd w:id="226"/>
    </w:p>
    <w:p w:rsidR="006A4109" w:rsidRPr="00F02D52" w:rsidRDefault="006A4109" w:rsidP="00E930B2">
      <w:pPr>
        <w:rPr>
          <w:rFonts w:eastAsiaTheme="minorEastAsia" w:cs="Arial"/>
        </w:rPr>
      </w:pPr>
      <w:r w:rsidRPr="006D4B63">
        <w:rPr>
          <w:rFonts w:eastAsiaTheme="minorEastAsia" w:cs="Arial"/>
        </w:rPr>
        <w:t>Els interns que manifesten perillositat extrema o inadaptació al règim ordinari o obert</w:t>
      </w:r>
      <w:r w:rsidRPr="00F02D52">
        <w:rPr>
          <w:rFonts w:eastAsiaTheme="minorEastAsia" w:cs="Arial"/>
          <w:b/>
          <w:i/>
        </w:rPr>
        <w:t xml:space="preserve"> </w:t>
      </w:r>
      <w:r>
        <w:rPr>
          <w:rFonts w:eastAsiaTheme="minorEastAsia" w:cs="Arial"/>
        </w:rPr>
        <w:t>só</w:t>
      </w:r>
      <w:r w:rsidRPr="00F02D52">
        <w:rPr>
          <w:rFonts w:eastAsiaTheme="minorEastAsia" w:cs="Arial"/>
        </w:rPr>
        <w:t xml:space="preserve">n destinats als DERT, d'acord amb l'article 10 de la Llei orgànica general </w:t>
      </w:r>
      <w:r>
        <w:rPr>
          <w:rFonts w:eastAsiaTheme="minorEastAsia" w:cs="Arial"/>
        </w:rPr>
        <w:t>penitenciària</w:t>
      </w:r>
      <w:r w:rsidRPr="00F02D52">
        <w:rPr>
          <w:rFonts w:eastAsiaTheme="minorEastAsia" w:cs="Arial"/>
        </w:rPr>
        <w:t>. A Catalunya, la proporció d'interns que es troben en aquesta situació està al voltant del 2</w:t>
      </w:r>
      <w:r>
        <w:rPr>
          <w:rFonts w:eastAsiaTheme="minorEastAsia" w:cs="Arial"/>
        </w:rPr>
        <w:t xml:space="preserve"> </w:t>
      </w:r>
      <w:r w:rsidRPr="00F02D52">
        <w:rPr>
          <w:rFonts w:eastAsiaTheme="minorEastAsia" w:cs="Arial"/>
        </w:rPr>
        <w:t>% sense que s'hagin produït grans variacions en els darrers anys. Aquesta és una problemàtica que afecta tant la seguretat dels centres com les possibilitats de rehabilitació dels interns. Per això</w:t>
      </w:r>
      <w:r>
        <w:rPr>
          <w:rFonts w:eastAsiaTheme="minorEastAsia" w:cs="Arial"/>
        </w:rPr>
        <w:t>,</w:t>
      </w:r>
      <w:r w:rsidRPr="00F02D52">
        <w:rPr>
          <w:rFonts w:eastAsiaTheme="minorEastAsia" w:cs="Arial"/>
        </w:rPr>
        <w:t xml:space="preserve"> els objectius de la intervenció amb aquest grup de població i en els departaments van adreçats a reduir la seva incidència, mantenint condicions adequades de seguretat i convivència en els DERT</w:t>
      </w:r>
      <w:r>
        <w:rPr>
          <w:rFonts w:eastAsiaTheme="minorEastAsia" w:cs="Arial"/>
        </w:rPr>
        <w:t>,</w:t>
      </w:r>
      <w:r w:rsidRPr="00F02D52">
        <w:rPr>
          <w:rFonts w:eastAsiaTheme="minorEastAsia" w:cs="Arial"/>
        </w:rPr>
        <w:t xml:space="preserve"> com</w:t>
      </w:r>
      <w:r>
        <w:rPr>
          <w:rFonts w:eastAsiaTheme="minorEastAsia" w:cs="Arial"/>
        </w:rPr>
        <w:t xml:space="preserve"> també</w:t>
      </w:r>
      <w:r w:rsidRPr="00F02D52">
        <w:rPr>
          <w:rFonts w:eastAsiaTheme="minorEastAsia" w:cs="Arial"/>
        </w:rPr>
        <w:t xml:space="preserve"> afavorint canvis en els interns per</w:t>
      </w:r>
      <w:r>
        <w:rPr>
          <w:rFonts w:eastAsiaTheme="minorEastAsia" w:cs="Arial"/>
        </w:rPr>
        <w:t xml:space="preserve"> a</w:t>
      </w:r>
      <w:r w:rsidRPr="00F02D52">
        <w:rPr>
          <w:rFonts w:eastAsiaTheme="minorEastAsia" w:cs="Arial"/>
        </w:rPr>
        <w:t xml:space="preserve"> la seva reincorporació i adaptació al règim ordinari. </w:t>
      </w:r>
    </w:p>
    <w:p w:rsidR="006A4109" w:rsidRPr="00F02D52" w:rsidRDefault="006A4109" w:rsidP="00E930B2">
      <w:pPr>
        <w:rPr>
          <w:rFonts w:eastAsiaTheme="minorEastAsia" w:cs="Arial"/>
        </w:rPr>
      </w:pPr>
      <w:r>
        <w:rPr>
          <w:rFonts w:eastAsiaTheme="minorEastAsia" w:cs="Arial"/>
        </w:rPr>
        <w:t>La C</w:t>
      </w:r>
      <w:r w:rsidRPr="00F02D52">
        <w:rPr>
          <w:rFonts w:eastAsiaTheme="minorEastAsia" w:cs="Arial"/>
        </w:rPr>
        <w:t>ircular 5/2001</w:t>
      </w:r>
      <w:r>
        <w:rPr>
          <w:rFonts w:eastAsiaTheme="minorEastAsia" w:cs="Arial"/>
        </w:rPr>
        <w:t>,</w:t>
      </w:r>
      <w:r w:rsidRPr="00F02D52">
        <w:rPr>
          <w:rFonts w:eastAsiaTheme="minorEastAsia" w:cs="Arial"/>
        </w:rPr>
        <w:t xml:space="preserve"> de la Direcció General de Serveis Penitenciaris</w:t>
      </w:r>
      <w:r>
        <w:rPr>
          <w:rFonts w:eastAsiaTheme="minorEastAsia" w:cs="Arial"/>
        </w:rPr>
        <w:t>,</w:t>
      </w:r>
      <w:r w:rsidRPr="00F02D52">
        <w:rPr>
          <w:rFonts w:eastAsiaTheme="minorEastAsia" w:cs="Arial"/>
        </w:rPr>
        <w:t xml:space="preserve"> regula la intervenció en aquest àmbit</w:t>
      </w:r>
      <w:r>
        <w:rPr>
          <w:rFonts w:eastAsiaTheme="minorEastAsia" w:cs="Arial"/>
        </w:rPr>
        <w:t>,</w:t>
      </w:r>
      <w:r w:rsidRPr="00F02D52">
        <w:rPr>
          <w:rFonts w:eastAsiaTheme="minorEastAsia" w:cs="Arial"/>
        </w:rPr>
        <w:t xml:space="preserve"> prenent en consideració els aspectes organitzatius, ambientals i d'intervenció especialitzada que responen als objectius esmentats. Així, la intervenció en el règim tancat s'organitza a partir dels elements</w:t>
      </w:r>
      <w:r w:rsidRPr="006D4B63">
        <w:rPr>
          <w:rFonts w:eastAsiaTheme="minorEastAsia" w:cs="Arial"/>
        </w:rPr>
        <w:t xml:space="preserve"> </w:t>
      </w:r>
      <w:r w:rsidRPr="00F02D52">
        <w:rPr>
          <w:rFonts w:eastAsiaTheme="minorEastAsia" w:cs="Arial"/>
        </w:rPr>
        <w:t>següents:</w:t>
      </w:r>
    </w:p>
    <w:p w:rsidR="006A4109" w:rsidRPr="00F02D52" w:rsidRDefault="006A4109" w:rsidP="00E930B2">
      <w:pPr>
        <w:rPr>
          <w:rFonts w:eastAsiaTheme="minorEastAsia" w:cs="Arial"/>
        </w:rPr>
      </w:pPr>
      <w:r w:rsidRPr="00F02D52">
        <w:rPr>
          <w:rFonts w:eastAsiaTheme="minorEastAsia" w:cs="Arial"/>
        </w:rPr>
        <w:t>Es delimiten els criteris per</w:t>
      </w:r>
      <w:r>
        <w:rPr>
          <w:rFonts w:eastAsiaTheme="minorEastAsia" w:cs="Arial"/>
        </w:rPr>
        <w:t xml:space="preserve"> a</w:t>
      </w:r>
      <w:r w:rsidRPr="00F02D52">
        <w:rPr>
          <w:rFonts w:eastAsiaTheme="minorEastAsia" w:cs="Arial"/>
        </w:rPr>
        <w:t xml:space="preserve"> l'aplicació del règim tancat als interns i per </w:t>
      </w:r>
      <w:r>
        <w:rPr>
          <w:rFonts w:eastAsiaTheme="minorEastAsia" w:cs="Arial"/>
        </w:rPr>
        <w:t xml:space="preserve">a </w:t>
      </w:r>
      <w:r w:rsidRPr="00F02D52">
        <w:rPr>
          <w:rFonts w:eastAsiaTheme="minorEastAsia" w:cs="Arial"/>
        </w:rPr>
        <w:t>la sortida d'aquest règim.</w:t>
      </w:r>
    </w:p>
    <w:p w:rsidR="006A4109" w:rsidRPr="00F02D52" w:rsidRDefault="006A4109" w:rsidP="00E930B2">
      <w:pPr>
        <w:rPr>
          <w:rFonts w:eastAsiaTheme="minorEastAsia" w:cs="Arial"/>
        </w:rPr>
      </w:pPr>
      <w:r w:rsidRPr="00F02D52">
        <w:rPr>
          <w:rFonts w:eastAsiaTheme="minorEastAsia" w:cs="Arial"/>
        </w:rPr>
        <w:t xml:space="preserve">Es regulen les condicions del règim de vida que assegurin uns horaris suficients de vida en comú i activitats, l'atenció i seguiment sanitari, així com els procediments </w:t>
      </w:r>
      <w:r>
        <w:rPr>
          <w:rFonts w:eastAsiaTheme="minorEastAsia" w:cs="Arial"/>
        </w:rPr>
        <w:t>per al</w:t>
      </w:r>
      <w:r w:rsidRPr="00F02D52">
        <w:rPr>
          <w:rFonts w:eastAsiaTheme="minorEastAsia" w:cs="Arial"/>
        </w:rPr>
        <w:t xml:space="preserve"> manteniment de la seguretat al departament.</w:t>
      </w:r>
    </w:p>
    <w:p w:rsidR="006A4109" w:rsidRPr="00F02D52" w:rsidRDefault="006A4109" w:rsidP="00E930B2">
      <w:pPr>
        <w:rPr>
          <w:rFonts w:eastAsiaTheme="minorEastAsia" w:cs="Arial"/>
        </w:rPr>
      </w:pPr>
      <w:r w:rsidRPr="00F02D52">
        <w:rPr>
          <w:rFonts w:eastAsiaTheme="minorEastAsia" w:cs="Arial"/>
        </w:rPr>
        <w:t>Es defineixen els programes d'intervenció adreça</w:t>
      </w:r>
      <w:r>
        <w:rPr>
          <w:rFonts w:eastAsiaTheme="minorEastAsia" w:cs="Arial"/>
        </w:rPr>
        <w:t>ts tant a les conductes problemàtiques</w:t>
      </w:r>
      <w:r w:rsidRPr="00F02D52">
        <w:rPr>
          <w:rFonts w:eastAsiaTheme="minorEastAsia" w:cs="Arial"/>
        </w:rPr>
        <w:t xml:space="preserve"> que motiv</w:t>
      </w:r>
      <w:r>
        <w:rPr>
          <w:rFonts w:eastAsiaTheme="minorEastAsia" w:cs="Arial"/>
        </w:rPr>
        <w:t>en l'aplicació del règim tancat</w:t>
      </w:r>
      <w:r w:rsidRPr="00F02D52">
        <w:rPr>
          <w:rFonts w:eastAsiaTheme="minorEastAsia" w:cs="Arial"/>
        </w:rPr>
        <w:t xml:space="preserve"> com a</w:t>
      </w:r>
      <w:r>
        <w:rPr>
          <w:rFonts w:eastAsiaTheme="minorEastAsia" w:cs="Arial"/>
        </w:rPr>
        <w:t>l manteniment d’</w:t>
      </w:r>
      <w:r w:rsidRPr="00F02D52">
        <w:rPr>
          <w:rFonts w:eastAsiaTheme="minorEastAsia" w:cs="Arial"/>
        </w:rPr>
        <w:t xml:space="preserve">un nivell adequat d'activitat física i </w:t>
      </w:r>
      <w:r>
        <w:rPr>
          <w:rFonts w:eastAsiaTheme="minorEastAsia" w:cs="Arial"/>
        </w:rPr>
        <w:t>a la compensació d</w:t>
      </w:r>
      <w:r w:rsidRPr="00F02D52">
        <w:rPr>
          <w:rFonts w:eastAsiaTheme="minorEastAsia" w:cs="Arial"/>
        </w:rPr>
        <w:t>els dèficits educatius dels interns.</w:t>
      </w:r>
    </w:p>
    <w:p w:rsidR="006A4109" w:rsidRPr="00F02D52" w:rsidRDefault="006A4109" w:rsidP="00E930B2">
      <w:pPr>
        <w:rPr>
          <w:rFonts w:eastAsiaTheme="minorEastAsia" w:cs="Arial"/>
        </w:rPr>
      </w:pPr>
      <w:r w:rsidRPr="00F02D52">
        <w:rPr>
          <w:rFonts w:eastAsiaTheme="minorEastAsia" w:cs="Arial"/>
        </w:rPr>
        <w:t>Es regula l'atenció individualitzada als interns per intervenir en les conductes problem</w:t>
      </w:r>
      <w:r>
        <w:rPr>
          <w:rFonts w:eastAsiaTheme="minorEastAsia" w:cs="Arial"/>
        </w:rPr>
        <w:t>àtiques</w:t>
      </w:r>
      <w:r w:rsidRPr="00F02D52">
        <w:rPr>
          <w:rFonts w:eastAsiaTheme="minorEastAsia" w:cs="Arial"/>
        </w:rPr>
        <w:t xml:space="preserve"> i definir els itinera</w:t>
      </w:r>
      <w:r>
        <w:rPr>
          <w:rFonts w:eastAsiaTheme="minorEastAsia" w:cs="Arial"/>
        </w:rPr>
        <w:t>ris de retorn al règim ordinari.</w:t>
      </w:r>
    </w:p>
    <w:p w:rsidR="006A4109" w:rsidRPr="00F02D52" w:rsidRDefault="006A4109" w:rsidP="00E930B2">
      <w:pPr>
        <w:rPr>
          <w:rFonts w:eastAsiaTheme="minorEastAsia" w:cs="Arial"/>
        </w:rPr>
      </w:pPr>
      <w:r w:rsidRPr="00F02D52">
        <w:rPr>
          <w:rFonts w:eastAsiaTheme="minorEastAsia" w:cs="Arial"/>
        </w:rPr>
        <w:t xml:space="preserve">S'estableix un sistema progressiu de fases per incentivar la millora de la conducta dels interns i garantir l'adequat seguiment per part dels equips. </w:t>
      </w:r>
    </w:p>
    <w:p w:rsidR="006A4109" w:rsidRPr="00F02D52" w:rsidRDefault="006A4109" w:rsidP="00E930B2">
      <w:pPr>
        <w:rPr>
          <w:rFonts w:eastAsiaTheme="minorEastAsia" w:cs="Arial"/>
        </w:rPr>
      </w:pPr>
      <w:r w:rsidRPr="00F02D52">
        <w:rPr>
          <w:rFonts w:eastAsiaTheme="minorEastAsia" w:cs="Arial"/>
        </w:rPr>
        <w:t>Es prescriu l'aplicació del règim flexible regulat a l'article 100.2 del Reglament penitenciari per tal de facilitar la reintegració al règim ordinari.</w:t>
      </w:r>
    </w:p>
    <w:p w:rsidR="006A4109" w:rsidRPr="00F02D52" w:rsidRDefault="006A4109" w:rsidP="00E930B2">
      <w:pPr>
        <w:rPr>
          <w:rFonts w:eastAsiaTheme="minorEastAsia" w:cs="Arial"/>
        </w:rPr>
      </w:pPr>
      <w:r w:rsidRPr="00F02D52">
        <w:rPr>
          <w:rFonts w:eastAsiaTheme="minorEastAsia" w:cs="Arial"/>
        </w:rPr>
        <w:t>Es donen criteris generals per</w:t>
      </w:r>
      <w:r>
        <w:rPr>
          <w:rFonts w:eastAsiaTheme="minorEastAsia" w:cs="Arial"/>
        </w:rPr>
        <w:t>què</w:t>
      </w:r>
      <w:r w:rsidRPr="00F02D52">
        <w:rPr>
          <w:rFonts w:eastAsiaTheme="minorEastAsia" w:cs="Arial"/>
        </w:rPr>
        <w:t xml:space="preserve"> cada departament compti amb una normativa clara i definida que reguli els aspectes més importants del règim de vida. </w:t>
      </w:r>
    </w:p>
    <w:p w:rsidR="006A4109" w:rsidRPr="00F02D52" w:rsidRDefault="006A4109" w:rsidP="00E930B2">
      <w:pPr>
        <w:rPr>
          <w:rFonts w:eastAsiaTheme="minorEastAsia" w:cs="Arial"/>
        </w:rPr>
      </w:pPr>
      <w:r w:rsidRPr="00F02D52">
        <w:rPr>
          <w:rFonts w:eastAsiaTheme="minorEastAsia" w:cs="Arial"/>
        </w:rPr>
        <w:t xml:space="preserve">Tota la intervenció en els DERT s'organitza mitjançant un equip multidisciplinari integrat per comandaments i personal de servei interior i rehabilitació amb funcions definides i complementàries. El nivell d'intervenció exigit en aquests departaments requereix la dotació de personal suficient que </w:t>
      </w:r>
      <w:r>
        <w:rPr>
          <w:rFonts w:eastAsiaTheme="minorEastAsia" w:cs="Arial"/>
        </w:rPr>
        <w:t>queda dimensionat a la mateixa C</w:t>
      </w:r>
      <w:r w:rsidRPr="00F02D52">
        <w:rPr>
          <w:rFonts w:eastAsiaTheme="minorEastAsia" w:cs="Arial"/>
        </w:rPr>
        <w:t>ircular.</w:t>
      </w:r>
    </w:p>
    <w:p w:rsidR="006A4109" w:rsidRPr="00F02D52" w:rsidRDefault="006A4109" w:rsidP="00E930B2">
      <w:pPr>
        <w:rPr>
          <w:rFonts w:eastAsiaTheme="minorEastAsia" w:cs="Arial"/>
        </w:rPr>
      </w:pPr>
      <w:r w:rsidRPr="00F02D52">
        <w:rPr>
          <w:rFonts w:eastAsiaTheme="minorEastAsia" w:cs="Arial"/>
        </w:rPr>
        <w:t>En l'actualitat, s'ha iniciat un procés d'avaluació i millora del funcionament d'aquests departaments. El primer pas ha estat una avaluació de cada departament duta a terme pel servei d'Inspecció</w:t>
      </w:r>
      <w:r>
        <w:rPr>
          <w:rFonts w:eastAsiaTheme="minorEastAsia" w:cs="Arial"/>
        </w:rPr>
        <w:t>,</w:t>
      </w:r>
      <w:r w:rsidRPr="00F02D52">
        <w:rPr>
          <w:rFonts w:eastAsiaTheme="minorEastAsia" w:cs="Arial"/>
        </w:rPr>
        <w:t xml:space="preserve"> al </w:t>
      </w:r>
      <w:r>
        <w:rPr>
          <w:rFonts w:eastAsiaTheme="minorEastAsia" w:cs="Arial"/>
        </w:rPr>
        <w:t>qual</w:t>
      </w:r>
      <w:r w:rsidRPr="00F02D52">
        <w:rPr>
          <w:rFonts w:eastAsiaTheme="minorEastAsia" w:cs="Arial"/>
        </w:rPr>
        <w:t xml:space="preserve"> s</w:t>
      </w:r>
      <w:r>
        <w:rPr>
          <w:rFonts w:eastAsiaTheme="minorEastAsia" w:cs="Arial"/>
        </w:rPr>
        <w:t>eguirà una actualització de la C</w:t>
      </w:r>
      <w:r w:rsidRPr="00F02D52">
        <w:rPr>
          <w:rFonts w:eastAsiaTheme="minorEastAsia" w:cs="Arial"/>
        </w:rPr>
        <w:t xml:space="preserve">ircular i </w:t>
      </w:r>
      <w:r>
        <w:rPr>
          <w:rFonts w:eastAsiaTheme="minorEastAsia" w:cs="Arial"/>
        </w:rPr>
        <w:t>d</w:t>
      </w:r>
      <w:r w:rsidRPr="00F02D52">
        <w:rPr>
          <w:rFonts w:eastAsiaTheme="minorEastAsia" w:cs="Arial"/>
        </w:rPr>
        <w:t xml:space="preserve">els criteris d'intervenció, </w:t>
      </w:r>
      <w:r w:rsidRPr="00F02D52">
        <w:rPr>
          <w:rFonts w:eastAsiaTheme="minorEastAsia" w:cs="Arial"/>
        </w:rPr>
        <w:lastRenderedPageBreak/>
        <w:t>així com la implementació de millores en cada departament per adequar-</w:t>
      </w:r>
      <w:r>
        <w:rPr>
          <w:rFonts w:eastAsiaTheme="minorEastAsia" w:cs="Arial"/>
        </w:rPr>
        <w:t>los</w:t>
      </w:r>
      <w:r w:rsidRPr="00F02D52">
        <w:rPr>
          <w:rFonts w:eastAsiaTheme="minorEastAsia" w:cs="Arial"/>
        </w:rPr>
        <w:t xml:space="preserve"> a les condicions de funcionament establertes. </w:t>
      </w:r>
    </w:p>
    <w:p w:rsidR="006A4109" w:rsidRPr="00F02D52" w:rsidRDefault="006A4109" w:rsidP="00E930B2">
      <w:pPr>
        <w:rPr>
          <w:rFonts w:eastAsiaTheme="minorEastAsia" w:cs="Arial"/>
        </w:rPr>
      </w:pPr>
    </w:p>
    <w:p w:rsidR="006A4109" w:rsidRPr="00F02D52" w:rsidRDefault="006A4109" w:rsidP="0070401F">
      <w:pPr>
        <w:pStyle w:val="Ttol3"/>
      </w:pPr>
      <w:bookmarkStart w:id="227" w:name="_Toc463867758"/>
      <w:bookmarkStart w:id="228" w:name="_Toc464685649"/>
      <w:bookmarkStart w:id="229" w:name="_Toc465293380"/>
      <w:r w:rsidRPr="00F02D52">
        <w:t>Panorama actual i reptes</w:t>
      </w:r>
      <w:bookmarkEnd w:id="227"/>
      <w:bookmarkEnd w:id="228"/>
      <w:bookmarkEnd w:id="229"/>
    </w:p>
    <w:p w:rsidR="006A4109" w:rsidRPr="00F02D52" w:rsidRDefault="006A4109" w:rsidP="00E930B2">
      <w:pPr>
        <w:rPr>
          <w:rFonts w:eastAsiaTheme="minorEastAsia" w:cs="Arial"/>
        </w:rPr>
      </w:pPr>
      <w:r>
        <w:rPr>
          <w:rFonts w:eastAsiaTheme="minorEastAsia" w:cs="Arial"/>
        </w:rPr>
        <w:t>Actualment, l'oferta d’</w:t>
      </w:r>
      <w:r w:rsidRPr="00F02D52">
        <w:rPr>
          <w:rFonts w:eastAsiaTheme="minorEastAsia" w:cs="Arial"/>
        </w:rPr>
        <w:t xml:space="preserve">intervenció especialitzada està desplegada </w:t>
      </w:r>
      <w:r>
        <w:rPr>
          <w:rFonts w:eastAsiaTheme="minorEastAsia" w:cs="Arial"/>
        </w:rPr>
        <w:t>en</w:t>
      </w:r>
      <w:r w:rsidRPr="00F02D52">
        <w:rPr>
          <w:rFonts w:eastAsiaTheme="minorEastAsia" w:cs="Arial"/>
        </w:rPr>
        <w:t xml:space="preserve"> tots els centres de compliment (penats) i arriba a la pràctica totalitat dels interns que presenten aquest tipus de necessitats. Els programes d'intervenció especialitzada estan integrats en el PIT</w:t>
      </w:r>
      <w:r>
        <w:rPr>
          <w:rFonts w:eastAsiaTheme="minorEastAsia" w:cs="Arial"/>
        </w:rPr>
        <w:t>,</w:t>
      </w:r>
      <w:r w:rsidRPr="00F02D52">
        <w:rPr>
          <w:rFonts w:eastAsiaTheme="minorEastAsia" w:cs="Arial"/>
        </w:rPr>
        <w:t xml:space="preserve"> de forma que la participació en el programa és un objectiu que ha d’assolir el penat per poder arribar a estadis avançats del compliment</w:t>
      </w:r>
      <w:r>
        <w:rPr>
          <w:rFonts w:eastAsiaTheme="minorEastAsia" w:cs="Arial"/>
        </w:rPr>
        <w:t>,</w:t>
      </w:r>
      <w:r w:rsidRPr="00F02D52">
        <w:rPr>
          <w:rFonts w:eastAsiaTheme="minorEastAsia" w:cs="Arial"/>
        </w:rPr>
        <w:t xml:space="preserve"> on pot gaudir de sortides, permisos</w:t>
      </w:r>
      <w:r>
        <w:rPr>
          <w:rFonts w:eastAsiaTheme="minorEastAsia" w:cs="Arial"/>
        </w:rPr>
        <w:t>,</w:t>
      </w:r>
      <w:r w:rsidRPr="00F02D52">
        <w:rPr>
          <w:rFonts w:eastAsiaTheme="minorEastAsia" w:cs="Arial"/>
        </w:rPr>
        <w:t xml:space="preserve"> o </w:t>
      </w:r>
      <w:r>
        <w:rPr>
          <w:rFonts w:eastAsiaTheme="minorEastAsia" w:cs="Arial"/>
        </w:rPr>
        <w:t>d</w:t>
      </w:r>
      <w:r w:rsidRPr="00F02D52">
        <w:rPr>
          <w:rFonts w:eastAsiaTheme="minorEastAsia" w:cs="Arial"/>
        </w:rPr>
        <w:t>el règim obert.</w:t>
      </w:r>
    </w:p>
    <w:p w:rsidR="006A4109" w:rsidRPr="00F02D52" w:rsidRDefault="006A4109" w:rsidP="00E930B2">
      <w:pPr>
        <w:rPr>
          <w:rFonts w:eastAsiaTheme="minorEastAsia" w:cs="Arial"/>
        </w:rPr>
      </w:pPr>
      <w:r w:rsidRPr="00F02D52">
        <w:rPr>
          <w:rFonts w:eastAsiaTheme="minorEastAsia" w:cs="Arial"/>
        </w:rPr>
        <w:t xml:space="preserve">L'any 2015 es va iniciar un procés de revisió i actualització d'alguns d'aquests programes gràcies al PNUD (Programa de les Nacions Unides </w:t>
      </w:r>
      <w:r>
        <w:rPr>
          <w:rFonts w:eastAsiaTheme="minorEastAsia" w:cs="Arial"/>
        </w:rPr>
        <w:t>per al</w:t>
      </w:r>
      <w:r w:rsidRPr="00F02D52">
        <w:rPr>
          <w:rFonts w:eastAsiaTheme="minorEastAsia" w:cs="Arial"/>
        </w:rPr>
        <w:t xml:space="preserve"> Desenvolupament) de cooperació amb l'Administració </w:t>
      </w:r>
      <w:r>
        <w:rPr>
          <w:rFonts w:eastAsiaTheme="minorEastAsia" w:cs="Arial"/>
        </w:rPr>
        <w:t>penitenciària</w:t>
      </w:r>
      <w:r w:rsidRPr="00F02D52">
        <w:rPr>
          <w:rFonts w:eastAsiaTheme="minorEastAsia" w:cs="Arial"/>
        </w:rPr>
        <w:t xml:space="preserve"> d'Algèria. Aquest programa, en el </w:t>
      </w:r>
      <w:r>
        <w:rPr>
          <w:rFonts w:eastAsiaTheme="minorEastAsia" w:cs="Arial"/>
        </w:rPr>
        <w:t>qual</w:t>
      </w:r>
      <w:r w:rsidRPr="00F02D52">
        <w:rPr>
          <w:rFonts w:eastAsiaTheme="minorEastAsia" w:cs="Arial"/>
        </w:rPr>
        <w:t xml:space="preserve"> participen la DGSP, el CEJFE i l'Agència Catalana de Cooperació al Desenvolupament, té com a finalitat fer formació a personal especialitz</w:t>
      </w:r>
      <w:r>
        <w:rPr>
          <w:rFonts w:eastAsiaTheme="minorEastAsia" w:cs="Arial"/>
        </w:rPr>
        <w:t>at de les presons d'Algèria perquè</w:t>
      </w:r>
      <w:r w:rsidRPr="00F02D52">
        <w:rPr>
          <w:rFonts w:eastAsiaTheme="minorEastAsia" w:cs="Arial"/>
        </w:rPr>
        <w:t xml:space="preserve"> puguin fer intervencions especialitzades en drogodependències, tractament de la conducta violenta, prevenció de la reincidència i també atenció integral d</w:t>
      </w:r>
      <w:r>
        <w:rPr>
          <w:rFonts w:eastAsiaTheme="minorEastAsia" w:cs="Arial"/>
        </w:rPr>
        <w:t>e les dones a presó. Gràcies al</w:t>
      </w:r>
      <w:r w:rsidRPr="00F02D52">
        <w:rPr>
          <w:rFonts w:eastAsiaTheme="minorEastAsia" w:cs="Arial"/>
        </w:rPr>
        <w:t xml:space="preserve"> finançament obtingut del PNU</w:t>
      </w:r>
      <w:r>
        <w:rPr>
          <w:rFonts w:eastAsiaTheme="minorEastAsia" w:cs="Arial"/>
        </w:rPr>
        <w:t>D, s'han constituït equips mixto</w:t>
      </w:r>
      <w:r w:rsidRPr="00F02D52">
        <w:rPr>
          <w:rFonts w:eastAsiaTheme="minorEastAsia" w:cs="Arial"/>
        </w:rPr>
        <w:t>s integrats per tècnics de la Direcció General, tècnics de centres penitenciaris i personal de la Universitat de Barcelona, que tenen l’encàrrec d'actualitzar el programa i preparar un manual per a la formació a Algèria</w:t>
      </w:r>
      <w:r>
        <w:rPr>
          <w:rFonts w:eastAsiaTheme="minorEastAsia" w:cs="Arial"/>
        </w:rPr>
        <w:t>,</w:t>
      </w:r>
      <w:r w:rsidRPr="00F02D52">
        <w:rPr>
          <w:rFonts w:eastAsiaTheme="minorEastAsia" w:cs="Arial"/>
        </w:rPr>
        <w:t xml:space="preserve"> que serà utilitzat amb posterioritat per elaborar els manu</w:t>
      </w:r>
      <w:r>
        <w:rPr>
          <w:rFonts w:eastAsiaTheme="minorEastAsia" w:cs="Arial"/>
        </w:rPr>
        <w:t>als revisats d'intervenció als serveis p</w:t>
      </w:r>
      <w:r w:rsidRPr="00F02D52">
        <w:rPr>
          <w:rFonts w:eastAsiaTheme="minorEastAsia" w:cs="Arial"/>
        </w:rPr>
        <w:t xml:space="preserve">enitenciaris de Catalunya. Aquesta metodologia de treball obre una línia de futur </w:t>
      </w:r>
      <w:r>
        <w:rPr>
          <w:rFonts w:eastAsiaTheme="minorEastAsia" w:cs="Arial"/>
        </w:rPr>
        <w:t>per al</w:t>
      </w:r>
      <w:r w:rsidRPr="00F02D52">
        <w:rPr>
          <w:rFonts w:eastAsiaTheme="minorEastAsia" w:cs="Arial"/>
        </w:rPr>
        <w:t xml:space="preserve"> desenvolupament de programes d'intervenció. A més del valor de la cooperació internacional, aporta finançament sense cost per</w:t>
      </w:r>
      <w:r>
        <w:rPr>
          <w:rFonts w:eastAsiaTheme="minorEastAsia" w:cs="Arial"/>
        </w:rPr>
        <w:t xml:space="preserve"> a l'Administració i la sine</w:t>
      </w:r>
      <w:r w:rsidRPr="00F02D52">
        <w:rPr>
          <w:rFonts w:eastAsiaTheme="minorEastAsia" w:cs="Arial"/>
        </w:rPr>
        <w:t>rgia entre els coneixements dels serveis centrals, del personal que aplica els programes i e</w:t>
      </w:r>
      <w:r>
        <w:rPr>
          <w:rFonts w:eastAsiaTheme="minorEastAsia" w:cs="Arial"/>
        </w:rPr>
        <w:t>ls equips d'investigació del mó</w:t>
      </w:r>
      <w:r w:rsidRPr="00F02D52">
        <w:rPr>
          <w:rFonts w:eastAsiaTheme="minorEastAsia" w:cs="Arial"/>
        </w:rPr>
        <w:t xml:space="preserve">n universitari. </w:t>
      </w:r>
    </w:p>
    <w:p w:rsidR="006A4109" w:rsidRPr="00F02D52" w:rsidRDefault="006A4109" w:rsidP="00E930B2">
      <w:pPr>
        <w:rPr>
          <w:rFonts w:eastAsiaTheme="minorEastAsia" w:cs="Arial"/>
        </w:rPr>
      </w:pPr>
      <w:r w:rsidRPr="00F02D52">
        <w:rPr>
          <w:rFonts w:eastAsiaTheme="minorEastAsia" w:cs="Arial"/>
        </w:rPr>
        <w:t>L'establiment d'un mètode</w:t>
      </w:r>
      <w:r>
        <w:rPr>
          <w:rFonts w:eastAsiaTheme="minorEastAsia" w:cs="Arial"/>
        </w:rPr>
        <w:t xml:space="preserve"> d'actualització i millora contí</w:t>
      </w:r>
      <w:r w:rsidRPr="00F02D52">
        <w:rPr>
          <w:rFonts w:eastAsiaTheme="minorEastAsia" w:cs="Arial"/>
        </w:rPr>
        <w:t>nua dels programes de tractament és un dels aspectes en els qu</w:t>
      </w:r>
      <w:r>
        <w:rPr>
          <w:rFonts w:eastAsiaTheme="minorEastAsia" w:cs="Arial"/>
        </w:rPr>
        <w:t>als</w:t>
      </w:r>
      <w:r w:rsidRPr="00F02D52">
        <w:rPr>
          <w:rFonts w:eastAsiaTheme="minorEastAsia" w:cs="Arial"/>
        </w:rPr>
        <w:t xml:space="preserve"> cal millorar en el futur el model d'intervenció. Els avenços en els coneixements criminològics i els canvis en els perfils de població </w:t>
      </w:r>
      <w:r>
        <w:rPr>
          <w:rFonts w:eastAsiaTheme="minorEastAsia" w:cs="Arial"/>
        </w:rPr>
        <w:t>penitenciària</w:t>
      </w:r>
      <w:r w:rsidRPr="00F02D52">
        <w:rPr>
          <w:rFonts w:eastAsiaTheme="minorEastAsia" w:cs="Arial"/>
        </w:rPr>
        <w:t xml:space="preserve"> plantegen també altres reptes:</w:t>
      </w:r>
    </w:p>
    <w:p w:rsidR="006A4109" w:rsidRPr="00F02D52" w:rsidRDefault="006A4109" w:rsidP="00E930B2">
      <w:pPr>
        <w:rPr>
          <w:rFonts w:eastAsiaTheme="minorEastAsia" w:cs="Arial"/>
        </w:rPr>
      </w:pPr>
      <w:r w:rsidRPr="00F02D52">
        <w:rPr>
          <w:rFonts w:eastAsiaTheme="minorEastAsia" w:cs="Arial"/>
        </w:rPr>
        <w:t xml:space="preserve">S'han de dissenyar intervencions de durada més curta i més diversa adaptats, no tant al tipus de delicte </w:t>
      </w:r>
      <w:r>
        <w:rPr>
          <w:rFonts w:eastAsiaTheme="minorEastAsia" w:cs="Arial"/>
        </w:rPr>
        <w:t>com</w:t>
      </w:r>
      <w:r w:rsidRPr="00F02D52">
        <w:rPr>
          <w:rFonts w:eastAsiaTheme="minorEastAsia" w:cs="Arial"/>
        </w:rPr>
        <w:t xml:space="preserve"> a les necessitats específiques de cada individu en diferents moments del compliment de la condemna.</w:t>
      </w:r>
    </w:p>
    <w:p w:rsidR="006A4109" w:rsidRPr="00F02D52" w:rsidRDefault="006A4109" w:rsidP="00E930B2">
      <w:pPr>
        <w:rPr>
          <w:rFonts w:eastAsiaTheme="minorEastAsia" w:cs="Arial"/>
        </w:rPr>
      </w:pPr>
      <w:r w:rsidRPr="00F02D52">
        <w:rPr>
          <w:rFonts w:eastAsiaTheme="minorEastAsia" w:cs="Arial"/>
        </w:rPr>
        <w:t xml:space="preserve">En l'àmbit del tractament de les drogodependències cal una revisió de la intervenció per adaptar-la als perfils de la població que presenta aquesta problemàtica en l'actualitat. També cal adequar l'organització </w:t>
      </w:r>
      <w:r>
        <w:rPr>
          <w:rFonts w:eastAsiaTheme="minorEastAsia" w:cs="Arial"/>
        </w:rPr>
        <w:t>penitenciària</w:t>
      </w:r>
      <w:r w:rsidRPr="00F02D52">
        <w:rPr>
          <w:rFonts w:eastAsiaTheme="minorEastAsia" w:cs="Arial"/>
        </w:rPr>
        <w:t xml:space="preserve"> per tal de potenciar la intervenció coordinada entre els àmbits de rehabilitació, salut i seguretat, i per seguir millorant l'oferta de reducció de danys en paral·lel a com s'aborda aquesta qüestió fora de la presó.</w:t>
      </w:r>
    </w:p>
    <w:p w:rsidR="006A4109" w:rsidRPr="00F02D52" w:rsidRDefault="006A4109" w:rsidP="00E930B2">
      <w:pPr>
        <w:rPr>
          <w:rFonts w:eastAsiaTheme="minorEastAsia" w:cs="Arial"/>
        </w:rPr>
      </w:pPr>
      <w:r w:rsidRPr="00F02D52">
        <w:rPr>
          <w:rFonts w:eastAsiaTheme="minorEastAsia" w:cs="Arial"/>
        </w:rPr>
        <w:t>Cal desenvolupar nous programes específics d’intervenció adreçats a col·lectius delinqüencials que actualment disposen d’una oferta de tractament comuna</w:t>
      </w:r>
      <w:r>
        <w:rPr>
          <w:rFonts w:eastAsiaTheme="minorEastAsia" w:cs="Arial"/>
        </w:rPr>
        <w:t>, però no especialitzada;</w:t>
      </w:r>
      <w:r w:rsidRPr="00F02D52">
        <w:rPr>
          <w:rFonts w:eastAsiaTheme="minorEastAsia" w:cs="Arial"/>
        </w:rPr>
        <w:t xml:space="preserve"> ens referim a delictes contra el medi ambient, econòmics, contra </w:t>
      </w:r>
      <w:r>
        <w:rPr>
          <w:rFonts w:eastAsiaTheme="minorEastAsia" w:cs="Arial"/>
        </w:rPr>
        <w:t>la salut pública, corrupció, etc.</w:t>
      </w:r>
    </w:p>
    <w:p w:rsidR="006A4109" w:rsidRPr="00F02D52" w:rsidRDefault="006A4109" w:rsidP="00E930B2">
      <w:pPr>
        <w:rPr>
          <w:rFonts w:eastAsiaTheme="minorEastAsia" w:cs="Arial"/>
        </w:rPr>
      </w:pPr>
      <w:r w:rsidRPr="00F02D52">
        <w:rPr>
          <w:rFonts w:eastAsiaTheme="minorEastAsia" w:cs="Arial"/>
        </w:rPr>
        <w:t>Cal aprofundir en models d'intervenció especialitzada que donin continuïtat en el medi obert i el context comunitari als programes que es duen a terme en el règim ordinari.</w:t>
      </w:r>
    </w:p>
    <w:p w:rsidR="006A4109" w:rsidRPr="00F02D52" w:rsidRDefault="006A4109" w:rsidP="00E930B2">
      <w:pPr>
        <w:rPr>
          <w:rFonts w:eastAsiaTheme="minorEastAsia" w:cs="Arial"/>
        </w:rPr>
      </w:pPr>
      <w:r w:rsidRPr="00F02D52">
        <w:rPr>
          <w:rFonts w:eastAsiaTheme="minorEastAsia" w:cs="Arial"/>
        </w:rPr>
        <w:t>Queda pendent la consolidació de procediments de qualitat que permetin acreditar que la intervenció que es duu a terme s'ajusta als estàndards del programa</w:t>
      </w:r>
      <w:r>
        <w:rPr>
          <w:rFonts w:eastAsiaTheme="minorEastAsia" w:cs="Arial"/>
        </w:rPr>
        <w:t>,</w:t>
      </w:r>
      <w:r w:rsidRPr="00F02D52">
        <w:rPr>
          <w:rFonts w:eastAsiaTheme="minorEastAsia" w:cs="Arial"/>
        </w:rPr>
        <w:t xml:space="preserve"> i també avaluar la seva eficàcia.</w:t>
      </w:r>
    </w:p>
    <w:p w:rsidR="006A4109" w:rsidRPr="00F02D52" w:rsidRDefault="006A4109" w:rsidP="00E930B2">
      <w:pPr>
        <w:rPr>
          <w:rFonts w:eastAsiaTheme="minorEastAsia" w:cs="Arial"/>
          <w:b/>
          <w:i/>
        </w:rPr>
      </w:pPr>
    </w:p>
    <w:p w:rsidR="006A4109" w:rsidRPr="00F02D52" w:rsidRDefault="006A4109" w:rsidP="0070401F">
      <w:pPr>
        <w:pStyle w:val="Ttol2"/>
      </w:pPr>
      <w:bookmarkStart w:id="230" w:name="_Toc463867759"/>
      <w:bookmarkStart w:id="231" w:name="_Toc464685650"/>
      <w:bookmarkStart w:id="232" w:name="_Toc465293381"/>
      <w:r w:rsidRPr="00F02D52">
        <w:lastRenderedPageBreak/>
        <w:t>La intervenció ambiental</w:t>
      </w:r>
      <w:bookmarkEnd w:id="230"/>
      <w:bookmarkEnd w:id="231"/>
      <w:bookmarkEnd w:id="232"/>
    </w:p>
    <w:p w:rsidR="006A4109" w:rsidRPr="00064125" w:rsidRDefault="006A4109" w:rsidP="00AE0A20">
      <w:pPr>
        <w:pStyle w:val="Pargrafdellista"/>
        <w:numPr>
          <w:ilvl w:val="0"/>
          <w:numId w:val="20"/>
        </w:numPr>
        <w:rPr>
          <w:b/>
        </w:rPr>
      </w:pPr>
      <w:bookmarkStart w:id="233" w:name="_Toc463867287"/>
      <w:bookmarkStart w:id="234" w:name="_Toc463867760"/>
      <w:r w:rsidRPr="00073193">
        <w:t>Les teories ambientalistes i els paradigmes pedagògics defensen la importància de l’entorn en la influència sobre els models de conducta i de pensament. La bibliografia científica sobre les organitzacions i l’ecologia avalen que l’àmbit penitenciari controla en un grau molt elevat el comportament dels interns i del seu personal. En aquest sentit</w:t>
      </w:r>
      <w:r>
        <w:t>, é</w:t>
      </w:r>
      <w:r w:rsidRPr="00073193">
        <w:t xml:space="preserve">s possible introduir canvis i millores mitjançant una interpretació </w:t>
      </w:r>
      <w:r w:rsidRPr="00064125">
        <w:rPr>
          <w:i/>
        </w:rPr>
        <w:t>ambientalista</w:t>
      </w:r>
      <w:r w:rsidRPr="00073193">
        <w:t xml:space="preserve"> de les causes de les problemàtiques existent</w:t>
      </w:r>
      <w:r>
        <w:t>s</w:t>
      </w:r>
      <w:r w:rsidRPr="00073193">
        <w:t xml:space="preserve"> reestructurant funcionalment l’ambient penitenciari.</w:t>
      </w:r>
      <w:bookmarkEnd w:id="233"/>
      <w:bookmarkEnd w:id="234"/>
    </w:p>
    <w:p w:rsidR="006A4109" w:rsidRPr="00064125" w:rsidRDefault="006A4109" w:rsidP="00AE0A20">
      <w:pPr>
        <w:pStyle w:val="Pargrafdellista"/>
        <w:numPr>
          <w:ilvl w:val="0"/>
          <w:numId w:val="20"/>
        </w:numPr>
        <w:rPr>
          <w:b/>
        </w:rPr>
      </w:pPr>
      <w:bookmarkStart w:id="235" w:name="_Toc463867288"/>
      <w:bookmarkStart w:id="236" w:name="_Toc463867761"/>
      <w:r w:rsidRPr="00073193">
        <w:t xml:space="preserve">Els dissenys funcionals dels centres pautats mitjançant els models d’intervenció i els protocols de seguretat i convivència, a partir de principis de professionalització, objectivitat i valors democràtics, contribueixen a la millora del clima ambiental i la unificació de la cultura de l’organització. El disseny </w:t>
      </w:r>
      <w:r>
        <w:t xml:space="preserve">funcional ha de coadjuvar amb </w:t>
      </w:r>
      <w:r w:rsidRPr="00073193">
        <w:t>altres processos d’intervenció a partir del disseny d’un entorn prosocial, cívic, equitatiu i transparent, però alhora exigent, rigorós, conegut i validat pel conjunt d’actors que intervenen.</w:t>
      </w:r>
      <w:bookmarkEnd w:id="235"/>
      <w:bookmarkEnd w:id="236"/>
    </w:p>
    <w:p w:rsidR="006A4109" w:rsidRPr="00064125" w:rsidRDefault="006A4109" w:rsidP="00AE0A20">
      <w:pPr>
        <w:pStyle w:val="Pargrafdellista"/>
        <w:numPr>
          <w:ilvl w:val="0"/>
          <w:numId w:val="20"/>
        </w:numPr>
        <w:rPr>
          <w:b/>
        </w:rPr>
      </w:pPr>
      <w:bookmarkStart w:id="237" w:name="_Toc463867289"/>
      <w:bookmarkStart w:id="238" w:name="_Toc463867762"/>
      <w:r w:rsidRPr="00073193">
        <w:t>La intervenció ambi</w:t>
      </w:r>
      <w:r>
        <w:t>ental en l’àmbit penitenciari –</w:t>
      </w:r>
      <w:r w:rsidRPr="00073193">
        <w:t>condicionada en moltes ocasions pel disseny arquitectònic i la qualitat de la prestació dels serveis bàsics</w:t>
      </w:r>
      <w:r>
        <w:t>–</w:t>
      </w:r>
      <w:r w:rsidRPr="00073193">
        <w:t xml:space="preserve"> aglutina el conjunt de mesures d’organització. És a dir</w:t>
      </w:r>
      <w:r>
        <w:t>,</w:t>
      </w:r>
      <w:r w:rsidRPr="00073193">
        <w:t xml:space="preserve"> les normes de funcionament, l’oferta d’intervenció, els criteris de distribució residencial, els protocols d’actuació i els estils de relació respecte </w:t>
      </w:r>
      <w:r>
        <w:t>d</w:t>
      </w:r>
      <w:r w:rsidRPr="00073193">
        <w:t>el manteniment de l’ordre i la convivència, els sistemes de comunicació i par</w:t>
      </w:r>
      <w:r>
        <w:t>ticipació dels usuaris, etc., só</w:t>
      </w:r>
      <w:r w:rsidRPr="00073193">
        <w:t>n les que finalment han de conduir i generar un clima de convivència i una cultura de l’organització desitjable, entenent que condiciona, dignifica i modela la conducta dels individus i del conjunt de la població internada.</w:t>
      </w:r>
      <w:bookmarkEnd w:id="237"/>
      <w:bookmarkEnd w:id="238"/>
    </w:p>
    <w:p w:rsidR="006A4109" w:rsidRPr="00064125" w:rsidRDefault="006A4109" w:rsidP="00AE0A20">
      <w:pPr>
        <w:pStyle w:val="Pargrafdellista"/>
        <w:numPr>
          <w:ilvl w:val="0"/>
          <w:numId w:val="20"/>
        </w:numPr>
        <w:rPr>
          <w:b/>
        </w:rPr>
      </w:pPr>
      <w:bookmarkStart w:id="239" w:name="_Toc463867290"/>
      <w:bookmarkStart w:id="240" w:name="_Toc463867763"/>
      <w:r w:rsidRPr="00073193">
        <w:t>Per contribuir a la millora d’aquest objectiu</w:t>
      </w:r>
      <w:r>
        <w:t>,</w:t>
      </w:r>
      <w:r w:rsidRPr="00073193">
        <w:t xml:space="preserve"> el sistema penitenciari català està en condicions de progressar, introduint sistemes d’organització, gestió dels recursos i de la intervenció innovadors, amb un principi de compromís bilateral amb l’intern respecte</w:t>
      </w:r>
      <w:r>
        <w:t xml:space="preserve"> </w:t>
      </w:r>
      <w:r w:rsidRPr="00073193">
        <w:t xml:space="preserve">als beneficis penitenciaris, </w:t>
      </w:r>
      <w:r>
        <w:t>la seguretat personal, la seguretat jurídica, el principi de confiança, el rigor professional, etc.,</w:t>
      </w:r>
      <w:r w:rsidRPr="00073193">
        <w:t xml:space="preserve"> així com </w:t>
      </w:r>
      <w:r>
        <w:t>d’</w:t>
      </w:r>
      <w:r w:rsidRPr="00073193">
        <w:t>incorporar una nova cultura de participació dels interns com definirem en aquest capítol.</w:t>
      </w:r>
      <w:bookmarkEnd w:id="239"/>
      <w:bookmarkEnd w:id="240"/>
    </w:p>
    <w:p w:rsidR="006A4109" w:rsidRPr="00F02D52" w:rsidRDefault="006A4109" w:rsidP="0070401F">
      <w:pPr>
        <w:pStyle w:val="Ttol3"/>
      </w:pPr>
      <w:bookmarkStart w:id="241" w:name="_Toc463867764"/>
      <w:bookmarkStart w:id="242" w:name="_Toc464685651"/>
      <w:bookmarkStart w:id="243" w:name="_Toc465293382"/>
      <w:r w:rsidRPr="00F02D52">
        <w:t xml:space="preserve">La </w:t>
      </w:r>
      <w:r w:rsidRPr="00EB1B4D">
        <w:t>classificació</w:t>
      </w:r>
      <w:r w:rsidRPr="00F02D52">
        <w:t xml:space="preserve"> interior comuna</w:t>
      </w:r>
      <w:bookmarkEnd w:id="241"/>
      <w:bookmarkEnd w:id="242"/>
      <w:bookmarkEnd w:id="243"/>
      <w:r w:rsidRPr="00F02D52">
        <w:t xml:space="preserve"> </w:t>
      </w:r>
    </w:p>
    <w:p w:rsidR="006A4109" w:rsidRPr="00F02D52" w:rsidRDefault="006A4109" w:rsidP="00E930B2">
      <w:pPr>
        <w:rPr>
          <w:rFonts w:eastAsiaTheme="minorEastAsia" w:cs="Arial"/>
        </w:rPr>
      </w:pPr>
      <w:r w:rsidRPr="00F02D52">
        <w:rPr>
          <w:rFonts w:eastAsiaTheme="minorEastAsia" w:cs="Arial"/>
        </w:rPr>
        <w:t xml:space="preserve">Com ja s'ha indicat anteriorment, l'organització de l'ambient penitenciari és un dels eixos fonamentals de la intervenció </w:t>
      </w:r>
      <w:r>
        <w:rPr>
          <w:rFonts w:eastAsiaTheme="minorEastAsia" w:cs="Arial"/>
        </w:rPr>
        <w:t>penitenciària. El model d'equipament</w:t>
      </w:r>
      <w:r w:rsidRPr="00F02D52">
        <w:rPr>
          <w:rFonts w:eastAsiaTheme="minorEastAsia" w:cs="Arial"/>
        </w:rPr>
        <w:t xml:space="preserve"> penitenciari desplegat els darrers anys configura els centres de capacitat mitjana eficient (Model CP500), estructurats mitjançant unitats (mòduls) que tinguin una dimensió abordable per les unitats de treball (al voltant de 100 places)</w:t>
      </w:r>
      <w:r>
        <w:rPr>
          <w:rFonts w:eastAsiaTheme="minorEastAsia" w:cs="Arial"/>
        </w:rPr>
        <w:t>,</w:t>
      </w:r>
      <w:r w:rsidRPr="00F02D52">
        <w:rPr>
          <w:rFonts w:eastAsiaTheme="minorEastAsia" w:cs="Arial"/>
        </w:rPr>
        <w:t xml:space="preserve"> la qual permet una atenció més individualitzada als interns i l'establiment de dinàmiques de convivència que conjuminin les necessitats de manteniment de la convivència amb les de socialització. </w:t>
      </w:r>
    </w:p>
    <w:p w:rsidR="006A4109" w:rsidRPr="00F02D52" w:rsidRDefault="006A4109" w:rsidP="00E930B2">
      <w:pPr>
        <w:rPr>
          <w:rFonts w:eastAsiaTheme="minorEastAsia" w:cs="Arial"/>
        </w:rPr>
      </w:pPr>
      <w:r w:rsidRPr="00F02D52">
        <w:rPr>
          <w:rFonts w:eastAsiaTheme="minorEastAsia" w:cs="Arial"/>
        </w:rPr>
        <w:t>D'altra banda, l'any 2006 el Reglament d'organització i funcionament dels serveis d’execució penal a Catalunya</w:t>
      </w:r>
      <w:r>
        <w:rPr>
          <w:rFonts w:eastAsiaTheme="minorEastAsia" w:cs="Arial"/>
        </w:rPr>
        <w:t xml:space="preserve"> va</w:t>
      </w:r>
      <w:r w:rsidRPr="00F02D52">
        <w:rPr>
          <w:rFonts w:eastAsiaTheme="minorEastAsia" w:cs="Arial"/>
        </w:rPr>
        <w:t xml:space="preserve"> estructura</w:t>
      </w:r>
      <w:r>
        <w:rPr>
          <w:rFonts w:eastAsiaTheme="minorEastAsia" w:cs="Arial"/>
        </w:rPr>
        <w:t>r</w:t>
      </w:r>
      <w:r w:rsidRPr="00F02D52">
        <w:rPr>
          <w:rFonts w:eastAsiaTheme="minorEastAsia" w:cs="Arial"/>
        </w:rPr>
        <w:t xml:space="preserve"> la intervenció als centres mitjançant els equips multidisciplinaris</w:t>
      </w:r>
      <w:r>
        <w:rPr>
          <w:rFonts w:eastAsiaTheme="minorEastAsia" w:cs="Arial"/>
        </w:rPr>
        <w:t>,</w:t>
      </w:r>
      <w:r w:rsidRPr="00F02D52">
        <w:rPr>
          <w:rFonts w:eastAsiaTheme="minorEastAsia" w:cs="Arial"/>
        </w:rPr>
        <w:t xml:space="preserve"> que, coordinats per un cap de programes o el coordinador d'equips multidisciplinaris</w:t>
      </w:r>
      <w:r>
        <w:rPr>
          <w:rFonts w:eastAsiaTheme="minorEastAsia" w:cs="Arial"/>
        </w:rPr>
        <w:t>,</w:t>
      </w:r>
      <w:r w:rsidRPr="00F02D52">
        <w:rPr>
          <w:rFonts w:eastAsiaTheme="minorEastAsia" w:cs="Arial"/>
        </w:rPr>
        <w:t xml:space="preserve"> i amb la participació de personal de servei </w:t>
      </w:r>
      <w:r>
        <w:rPr>
          <w:rFonts w:eastAsiaTheme="minorEastAsia" w:cs="Arial"/>
        </w:rPr>
        <w:t>d’</w:t>
      </w:r>
      <w:r w:rsidRPr="00F02D52">
        <w:rPr>
          <w:rFonts w:eastAsiaTheme="minorEastAsia" w:cs="Arial"/>
        </w:rPr>
        <w:t xml:space="preserve">interior i rehabilitació, organitza i executa tota la intervenció en aquestes unitats, alhora que </w:t>
      </w:r>
      <w:r>
        <w:rPr>
          <w:rFonts w:eastAsiaTheme="minorEastAsia" w:cs="Arial"/>
        </w:rPr>
        <w:t>s’ocupa</w:t>
      </w:r>
      <w:r w:rsidRPr="00F02D52">
        <w:rPr>
          <w:rFonts w:eastAsiaTheme="minorEastAsia" w:cs="Arial"/>
        </w:rPr>
        <w:t xml:space="preserve"> de l'avaluació dels interns i de fer propostes als òrgans superiors. Així doncs, una part important de la vida quotidiana i</w:t>
      </w:r>
      <w:r>
        <w:rPr>
          <w:rFonts w:eastAsiaTheme="minorEastAsia" w:cs="Arial"/>
        </w:rPr>
        <w:t xml:space="preserve"> la intervenció es dó</w:t>
      </w:r>
      <w:r w:rsidRPr="00F02D52">
        <w:rPr>
          <w:rFonts w:eastAsiaTheme="minorEastAsia" w:cs="Arial"/>
        </w:rPr>
        <w:t xml:space="preserve">na en aquestes unitats residencials. </w:t>
      </w:r>
    </w:p>
    <w:p w:rsidR="006A4109" w:rsidRPr="00F02D52" w:rsidRDefault="006A4109" w:rsidP="00E930B2">
      <w:pPr>
        <w:rPr>
          <w:rFonts w:eastAsiaTheme="minorEastAsia" w:cs="Arial"/>
        </w:rPr>
      </w:pPr>
      <w:r w:rsidRPr="00F02D52">
        <w:rPr>
          <w:rFonts w:eastAsiaTheme="minorEastAsia" w:cs="Arial"/>
        </w:rPr>
        <w:t>No obstant</w:t>
      </w:r>
      <w:r>
        <w:rPr>
          <w:rFonts w:eastAsiaTheme="minorEastAsia" w:cs="Arial"/>
        </w:rPr>
        <w:t xml:space="preserve"> això</w:t>
      </w:r>
      <w:r w:rsidRPr="00F02D52">
        <w:rPr>
          <w:rFonts w:eastAsiaTheme="minorEastAsia" w:cs="Arial"/>
        </w:rPr>
        <w:t>, els centres compten també amb serveis comuns com poliesportiu, teatre, sala d’actes, escola i infermeria</w:t>
      </w:r>
      <w:r>
        <w:rPr>
          <w:rFonts w:eastAsiaTheme="minorEastAsia" w:cs="Arial"/>
        </w:rPr>
        <w:t>,</w:t>
      </w:r>
      <w:r w:rsidRPr="00F02D52">
        <w:rPr>
          <w:rFonts w:eastAsiaTheme="minorEastAsia" w:cs="Arial"/>
        </w:rPr>
        <w:t xml:space="preserve"> que permeten atendre necessitats comunes a la població de forma especialitzada i centralitzada.</w:t>
      </w:r>
    </w:p>
    <w:p w:rsidR="006A4109" w:rsidRPr="00F02D52" w:rsidRDefault="006A4109" w:rsidP="00E930B2">
      <w:pPr>
        <w:rPr>
          <w:rFonts w:eastAsiaTheme="minorEastAsia" w:cs="Arial"/>
        </w:rPr>
      </w:pPr>
      <w:r w:rsidRPr="00F02D52">
        <w:rPr>
          <w:rFonts w:eastAsiaTheme="minorEastAsia" w:cs="Arial"/>
        </w:rPr>
        <w:t xml:space="preserve">A partir de la </w:t>
      </w:r>
      <w:r>
        <w:rPr>
          <w:rFonts w:eastAsiaTheme="minorEastAsia" w:cs="Arial"/>
        </w:rPr>
        <w:t>posada</w:t>
      </w:r>
      <w:r w:rsidRPr="00F02D52">
        <w:rPr>
          <w:rFonts w:eastAsiaTheme="minorEastAsia" w:cs="Arial"/>
        </w:rPr>
        <w:t xml:space="preserve"> en funcionament del CP Brians 2, l'any 2007, s’inicia un nou model de</w:t>
      </w:r>
      <w:r>
        <w:rPr>
          <w:rFonts w:eastAsiaTheme="minorEastAsia" w:cs="Arial"/>
        </w:rPr>
        <w:t xml:space="preserve"> classificació interior on es dó</w:t>
      </w:r>
      <w:r w:rsidRPr="00F02D52">
        <w:rPr>
          <w:rFonts w:eastAsiaTheme="minorEastAsia" w:cs="Arial"/>
        </w:rPr>
        <w:t xml:space="preserve">na prioritat a les diferents necessitats de la població i no tant a </w:t>
      </w:r>
      <w:r w:rsidRPr="00F02D52">
        <w:rPr>
          <w:rFonts w:eastAsiaTheme="minorEastAsia" w:cs="Arial"/>
        </w:rPr>
        <w:lastRenderedPageBreak/>
        <w:t xml:space="preserve">l'assignació a mòduls segons la conducta o la situació penal. S’està en condicions d’afavorir l’estabilitat de l’intern en una unitat de vida, amb un equip professional que l’atendrà, en el seu programa, amb possibilitats de </w:t>
      </w:r>
      <w:r>
        <w:rPr>
          <w:rFonts w:eastAsiaTheme="minorEastAsia" w:cs="Arial"/>
        </w:rPr>
        <w:t>seguir</w:t>
      </w:r>
      <w:r w:rsidRPr="00F02D52">
        <w:rPr>
          <w:rFonts w:eastAsiaTheme="minorEastAsia" w:cs="Arial"/>
        </w:rPr>
        <w:t xml:space="preserve"> el seu itinerari en el mateix mòdul fins a la progressió de grau.</w:t>
      </w:r>
    </w:p>
    <w:p w:rsidR="006A4109" w:rsidRPr="00F02D52" w:rsidRDefault="006A4109" w:rsidP="00E930B2">
      <w:pPr>
        <w:rPr>
          <w:rFonts w:eastAsiaTheme="minorEastAsia" w:cs="Arial"/>
        </w:rPr>
      </w:pPr>
      <w:r w:rsidRPr="00F02D52">
        <w:rPr>
          <w:rFonts w:eastAsiaTheme="minorEastAsia" w:cs="Arial"/>
        </w:rPr>
        <w:t xml:space="preserve">Entenem també que la diversitat de perfils d’interns dins d’un mateix mòdul, majoritàriament motivats per la millora personal i el benestar del mòdul, facilitarà els processos de modelatge i aprenentatge vicari per </w:t>
      </w:r>
      <w:r>
        <w:rPr>
          <w:rFonts w:eastAsiaTheme="minorEastAsia" w:cs="Arial"/>
        </w:rPr>
        <w:t xml:space="preserve">a </w:t>
      </w:r>
      <w:r w:rsidRPr="00F02D52">
        <w:rPr>
          <w:rFonts w:eastAsiaTheme="minorEastAsia" w:cs="Arial"/>
        </w:rPr>
        <w:t>aquells interns residents amb menors rendiments en els seus programes, incrementant també</w:t>
      </w:r>
      <w:r>
        <w:rPr>
          <w:rFonts w:eastAsiaTheme="minorEastAsia" w:cs="Arial"/>
        </w:rPr>
        <w:t>,</w:t>
      </w:r>
      <w:r w:rsidRPr="00F02D52">
        <w:rPr>
          <w:rFonts w:eastAsiaTheme="minorEastAsia" w:cs="Arial"/>
        </w:rPr>
        <w:t xml:space="preserve"> conse</w:t>
      </w:r>
      <w:r>
        <w:rPr>
          <w:rFonts w:eastAsiaTheme="minorEastAsia" w:cs="Arial"/>
        </w:rPr>
        <w:t>g</w:t>
      </w:r>
      <w:r w:rsidRPr="00F02D52">
        <w:rPr>
          <w:rFonts w:eastAsiaTheme="minorEastAsia" w:cs="Arial"/>
        </w:rPr>
        <w:t>üentment</w:t>
      </w:r>
      <w:r>
        <w:rPr>
          <w:rFonts w:eastAsiaTheme="minorEastAsia" w:cs="Arial"/>
        </w:rPr>
        <w:t>,</w:t>
      </w:r>
      <w:r w:rsidRPr="00F02D52">
        <w:rPr>
          <w:rFonts w:eastAsiaTheme="minorEastAsia" w:cs="Arial"/>
        </w:rPr>
        <w:t xml:space="preserve"> la millora de la convivència en el mòdul.</w:t>
      </w:r>
    </w:p>
    <w:p w:rsidR="006A4109" w:rsidRPr="00F02D52" w:rsidRDefault="006A4109" w:rsidP="00E930B2">
      <w:pPr>
        <w:rPr>
          <w:rFonts w:eastAsiaTheme="minorEastAsia" w:cs="Arial"/>
        </w:rPr>
      </w:pPr>
      <w:r w:rsidRPr="00F02D52">
        <w:rPr>
          <w:rFonts w:eastAsiaTheme="minorEastAsia" w:cs="Arial"/>
        </w:rPr>
        <w:t>Els plans funcionals dels nous centres (Joves i Lledoners e</w:t>
      </w:r>
      <w:r>
        <w:rPr>
          <w:rFonts w:eastAsiaTheme="minorEastAsia" w:cs="Arial"/>
        </w:rPr>
        <w:t>l 2007; Puig de les Basses el</w:t>
      </w:r>
      <w:r w:rsidRPr="00F02D52">
        <w:rPr>
          <w:rFonts w:eastAsiaTheme="minorEastAsia" w:cs="Arial"/>
        </w:rPr>
        <w:t xml:space="preserve"> 2014</w:t>
      </w:r>
      <w:r>
        <w:rPr>
          <w:rFonts w:eastAsiaTheme="minorEastAsia" w:cs="Arial"/>
        </w:rPr>
        <w:t>,</w:t>
      </w:r>
      <w:r w:rsidRPr="00F02D52">
        <w:rPr>
          <w:rFonts w:eastAsiaTheme="minorEastAsia" w:cs="Arial"/>
        </w:rPr>
        <w:t xml:space="preserve"> i Mas </w:t>
      </w:r>
      <w:r>
        <w:rPr>
          <w:rFonts w:eastAsiaTheme="minorEastAsia" w:cs="Arial"/>
        </w:rPr>
        <w:t>d’Enric el</w:t>
      </w:r>
      <w:r w:rsidRPr="00F02D52">
        <w:rPr>
          <w:rFonts w:eastAsiaTheme="minorEastAsia" w:cs="Arial"/>
        </w:rPr>
        <w:t xml:space="preserve"> 2015) </w:t>
      </w:r>
      <w:r>
        <w:rPr>
          <w:rFonts w:eastAsiaTheme="minorEastAsia" w:cs="Arial"/>
        </w:rPr>
        <w:t>preveuen</w:t>
      </w:r>
      <w:r w:rsidRPr="00F02D52">
        <w:rPr>
          <w:rFonts w:eastAsiaTheme="minorEastAsia" w:cs="Arial"/>
        </w:rPr>
        <w:t>, com a norma general, les següents àrees</w:t>
      </w:r>
      <w:r>
        <w:rPr>
          <w:rFonts w:eastAsiaTheme="minorEastAsia" w:cs="Arial"/>
        </w:rPr>
        <w:t>,</w:t>
      </w:r>
      <w:r w:rsidRPr="00F02D52">
        <w:rPr>
          <w:rFonts w:eastAsiaTheme="minorEastAsia" w:cs="Arial"/>
        </w:rPr>
        <w:t xml:space="preserve"> que donen criteri a la classificació interior i que permeten l'especialització dels equips i l'estabilitat dels interns en la seva ubicació: estabilització conductual, conductes violentes, conductes addi</w:t>
      </w:r>
      <w:r>
        <w:rPr>
          <w:rFonts w:eastAsiaTheme="minorEastAsia" w:cs="Arial"/>
        </w:rPr>
        <w:t>ctives, salut mental i orgànica</w:t>
      </w:r>
      <w:r w:rsidRPr="00F02D52">
        <w:rPr>
          <w:rFonts w:eastAsiaTheme="minorEastAsia" w:cs="Arial"/>
        </w:rPr>
        <w:t xml:space="preserve"> i preparació per </w:t>
      </w:r>
      <w:r>
        <w:rPr>
          <w:rFonts w:eastAsiaTheme="minorEastAsia" w:cs="Arial"/>
        </w:rPr>
        <w:t xml:space="preserve">a </w:t>
      </w:r>
      <w:r w:rsidRPr="00F02D52">
        <w:rPr>
          <w:rFonts w:eastAsiaTheme="minorEastAsia" w:cs="Arial"/>
        </w:rPr>
        <w:t>la vida en llibertat.</w:t>
      </w:r>
    </w:p>
    <w:p w:rsidR="006A4109" w:rsidRPr="00F02D52" w:rsidRDefault="006A4109" w:rsidP="00E930B2">
      <w:pPr>
        <w:rPr>
          <w:rFonts w:eastAsiaTheme="minorEastAsia" w:cs="Arial"/>
        </w:rPr>
      </w:pPr>
      <w:r w:rsidRPr="00F02D52">
        <w:rPr>
          <w:rFonts w:eastAsiaTheme="minorEastAsia" w:cs="Arial"/>
        </w:rPr>
        <w:t xml:space="preserve">Aquest canvi qualitatiu posa en evidència, especialment en els centres nous, la capacitat del domini ambiental i </w:t>
      </w:r>
      <w:r>
        <w:rPr>
          <w:rFonts w:eastAsiaTheme="minorEastAsia" w:cs="Arial"/>
        </w:rPr>
        <w:t xml:space="preserve">la </w:t>
      </w:r>
      <w:r w:rsidRPr="00F02D52">
        <w:rPr>
          <w:rFonts w:eastAsiaTheme="minorEastAsia" w:cs="Arial"/>
        </w:rPr>
        <w:t xml:space="preserve">seguretat general a </w:t>
      </w:r>
      <w:r>
        <w:rPr>
          <w:rFonts w:eastAsiaTheme="minorEastAsia" w:cs="Arial"/>
        </w:rPr>
        <w:t>què</w:t>
      </w:r>
      <w:r w:rsidRPr="00F02D52">
        <w:rPr>
          <w:rFonts w:eastAsiaTheme="minorEastAsia" w:cs="Arial"/>
        </w:rPr>
        <w:t xml:space="preserve"> ha arribat el sistema penitenciari. Hem superat les fases progressives per aprofundir en la capacitat que presenta de prioritzar les necessitats d’intervenció de l’intern, en un espai especialitzat i estable, independentment de la problemàtica conductual </w:t>
      </w:r>
      <w:r>
        <w:rPr>
          <w:rFonts w:eastAsiaTheme="minorEastAsia" w:cs="Arial"/>
        </w:rPr>
        <w:t>penitenciària</w:t>
      </w:r>
      <w:r w:rsidRPr="00F02D52">
        <w:rPr>
          <w:rFonts w:eastAsiaTheme="minorEastAsia" w:cs="Arial"/>
        </w:rPr>
        <w:t xml:space="preserve"> que presenti.</w:t>
      </w:r>
    </w:p>
    <w:p w:rsidR="006A4109" w:rsidRPr="00F02D52" w:rsidRDefault="006A4109" w:rsidP="00E930B2">
      <w:pPr>
        <w:rPr>
          <w:rFonts w:eastAsiaTheme="minorEastAsia" w:cs="Arial"/>
        </w:rPr>
      </w:pPr>
      <w:r w:rsidRPr="00F02D52">
        <w:rPr>
          <w:rFonts w:eastAsiaTheme="minorEastAsia" w:cs="Arial"/>
        </w:rPr>
        <w:t xml:space="preserve">La motxilla de beneficis i limitacions personals de l’intern en l’àmbit motivacional no depèn de la ubicació sinó de la trajectòria </w:t>
      </w:r>
      <w:r>
        <w:rPr>
          <w:rFonts w:eastAsiaTheme="minorEastAsia" w:cs="Arial"/>
        </w:rPr>
        <w:t>de cada</w:t>
      </w:r>
      <w:r w:rsidRPr="00F02D52">
        <w:rPr>
          <w:rFonts w:eastAsiaTheme="minorEastAsia" w:cs="Arial"/>
        </w:rPr>
        <w:t xml:space="preserve"> individu.</w:t>
      </w:r>
    </w:p>
    <w:p w:rsidR="006A4109" w:rsidRPr="00F02D52" w:rsidRDefault="006A4109" w:rsidP="00E930B2">
      <w:pPr>
        <w:rPr>
          <w:rFonts w:eastAsiaTheme="minorEastAsia" w:cs="Arial"/>
        </w:rPr>
      </w:pPr>
    </w:p>
    <w:p w:rsidR="006A4109" w:rsidRPr="00F02D52" w:rsidRDefault="006A4109" w:rsidP="0070401F">
      <w:pPr>
        <w:pStyle w:val="Ttol3"/>
      </w:pPr>
      <w:bookmarkStart w:id="244" w:name="_Toc463867765"/>
      <w:bookmarkStart w:id="245" w:name="_Toc464685652"/>
      <w:bookmarkStart w:id="246" w:name="_Toc465293383"/>
      <w:r w:rsidRPr="00F02D52">
        <w:t xml:space="preserve">Els equips </w:t>
      </w:r>
      <w:r w:rsidRPr="00EB1B4D">
        <w:t>multidisciplinaris</w:t>
      </w:r>
      <w:r w:rsidRPr="00F02D52">
        <w:t xml:space="preserve"> (EMD)</w:t>
      </w:r>
      <w:bookmarkEnd w:id="244"/>
      <w:bookmarkEnd w:id="245"/>
      <w:bookmarkEnd w:id="246"/>
      <w:r w:rsidRPr="00F02D52">
        <w:t xml:space="preserve"> </w:t>
      </w:r>
    </w:p>
    <w:p w:rsidR="006A4109" w:rsidRPr="00F02D52" w:rsidRDefault="006A4109" w:rsidP="00E930B2">
      <w:pPr>
        <w:rPr>
          <w:rFonts w:eastAsiaTheme="minorEastAsia" w:cs="Arial"/>
        </w:rPr>
      </w:pPr>
      <w:r w:rsidRPr="00F02D52">
        <w:rPr>
          <w:rFonts w:eastAsiaTheme="minorEastAsia" w:cs="Arial"/>
        </w:rPr>
        <w:t xml:space="preserve">La configuració actual de la classificació interior mitjançant unitats de vida i àrees d'intervenció fa necessària l'existència d'equips estables, especialitzats i alhora conformats per professionals de diferents disciplines que vertebrin tant l'organització de l'ambient de la unitat com la intervenció individualitzada. </w:t>
      </w:r>
    </w:p>
    <w:p w:rsidR="006A4109" w:rsidRPr="00F02D52" w:rsidRDefault="006A4109" w:rsidP="00E930B2">
      <w:pPr>
        <w:rPr>
          <w:rFonts w:eastAsiaTheme="minorEastAsia" w:cs="Arial"/>
        </w:rPr>
      </w:pPr>
      <w:r w:rsidRPr="00F02D52">
        <w:rPr>
          <w:rFonts w:eastAsiaTheme="minorEastAsia" w:cs="Arial"/>
        </w:rPr>
        <w:t>La composició i funcions d'aquests equips</w:t>
      </w:r>
      <w:r>
        <w:rPr>
          <w:rFonts w:eastAsiaTheme="minorEastAsia" w:cs="Arial"/>
        </w:rPr>
        <w:t xml:space="preserve"> apareixen definides</w:t>
      </w:r>
      <w:r w:rsidRPr="00F02D52">
        <w:rPr>
          <w:rFonts w:eastAsiaTheme="minorEastAsia" w:cs="Arial"/>
        </w:rPr>
        <w:t xml:space="preserve"> l'any 2006 </w:t>
      </w:r>
      <w:r>
        <w:rPr>
          <w:rFonts w:eastAsiaTheme="minorEastAsia" w:cs="Arial"/>
        </w:rPr>
        <w:t>en e</w:t>
      </w:r>
      <w:r w:rsidRPr="00F02D52">
        <w:rPr>
          <w:rFonts w:eastAsiaTheme="minorEastAsia" w:cs="Arial"/>
        </w:rPr>
        <w:t>l Reglament d’organització i funcionament dels serveis d’execució penal a Catalunya. En formen part tots els professionals de l'àmbit de rehabilitació assignats al mòdul o unitat</w:t>
      </w:r>
      <w:r>
        <w:rPr>
          <w:rFonts w:eastAsiaTheme="minorEastAsia" w:cs="Arial"/>
        </w:rPr>
        <w:t>,</w:t>
      </w:r>
      <w:r w:rsidRPr="00F02D52">
        <w:rPr>
          <w:rFonts w:eastAsiaTheme="minorEastAsia" w:cs="Arial"/>
        </w:rPr>
        <w:t xml:space="preserve"> així com altres professionals de l'àmbit del règim interior i de la salut. L'EMD té un paper rellevant en la configuració de l'ambient de la unitat; és l'encarregat de programar i executar les activitats del mòdul i pot fer propostes sobre altres aspectes organitzatius als òrgans superiors del centre. </w:t>
      </w:r>
    </w:p>
    <w:p w:rsidR="006A4109" w:rsidRPr="00F02D52" w:rsidRDefault="006A4109" w:rsidP="00E930B2">
      <w:pPr>
        <w:rPr>
          <w:rFonts w:eastAsiaTheme="minorEastAsia" w:cs="Arial"/>
        </w:rPr>
      </w:pPr>
      <w:r w:rsidRPr="00F02D52">
        <w:rPr>
          <w:rFonts w:eastAsiaTheme="minorEastAsia" w:cs="Arial"/>
        </w:rPr>
        <w:t xml:space="preserve">Aquest equip és, a més, l'eix del model de participació i convivència, responsable de programar i dur a terme els processos d'acollida, els mitjans de participació dels interns o la gestió de la informació. D'aquesta manera, es crea un entorn que promou la conducta prosocial dels interns i ofereix oportunitats d'aprenentatge social i de participació activa en el tractament. </w:t>
      </w:r>
    </w:p>
    <w:p w:rsidR="006A4109" w:rsidRPr="00F02D52" w:rsidRDefault="006A4109" w:rsidP="00E930B2">
      <w:pPr>
        <w:rPr>
          <w:rFonts w:eastAsiaTheme="minorEastAsia" w:cs="Arial"/>
        </w:rPr>
      </w:pPr>
      <w:r w:rsidRPr="00F02D52">
        <w:rPr>
          <w:rFonts w:eastAsiaTheme="minorEastAsia" w:cs="Arial"/>
        </w:rPr>
        <w:t>El component multidisciplinari de l'equip fa possible una intervenció integrada</w:t>
      </w:r>
      <w:r>
        <w:rPr>
          <w:rFonts w:eastAsiaTheme="minorEastAsia" w:cs="Arial"/>
        </w:rPr>
        <w:t>,</w:t>
      </w:r>
      <w:r w:rsidRPr="00F02D52">
        <w:rPr>
          <w:rFonts w:eastAsiaTheme="minorEastAsia" w:cs="Arial"/>
        </w:rPr>
        <w:t xml:space="preserve"> on els aspectes disciplinaris, de seguretat, de tractament, educatius, de cura de la salut i de la gestió de la vida quotidiana segueixen una mateixa direcció. Aquest mateix abordatge integrat conforma la intervenció individualitzada mitjançant els PIT que són elaborats per part de l'equip.</w:t>
      </w:r>
    </w:p>
    <w:p w:rsidR="006A4109" w:rsidRPr="00F02D52" w:rsidRDefault="006A4109" w:rsidP="00E930B2">
      <w:pPr>
        <w:rPr>
          <w:rFonts w:eastAsiaTheme="minorEastAsia" w:cs="Arial"/>
        </w:rPr>
      </w:pPr>
      <w:r w:rsidRPr="00F02D52">
        <w:rPr>
          <w:rFonts w:eastAsiaTheme="minorEastAsia" w:cs="Arial"/>
        </w:rPr>
        <w:t>Cada EMD compta amb un comandament intermedi responsable de la coordinació i de fer arribar als òrgans superiors les seves propostes: els coordinadors d'equips multidisciplinaris o els caps de programes. Aquests, conjuntament amb els cap</w:t>
      </w:r>
      <w:r>
        <w:rPr>
          <w:rFonts w:eastAsiaTheme="minorEastAsia" w:cs="Arial"/>
        </w:rPr>
        <w:t>s d'unitat de servei interior, só</w:t>
      </w:r>
      <w:r w:rsidRPr="00F02D52">
        <w:rPr>
          <w:rFonts w:eastAsiaTheme="minorEastAsia" w:cs="Arial"/>
        </w:rPr>
        <w:t xml:space="preserve">n responsables de coordinar i dirigir l'activitat i funcionament de la unitat. </w:t>
      </w:r>
    </w:p>
    <w:p w:rsidR="006A4109" w:rsidRPr="00F02D52" w:rsidRDefault="006A4109" w:rsidP="00E930B2">
      <w:pPr>
        <w:rPr>
          <w:rFonts w:eastAsiaTheme="minorEastAsia" w:cs="Arial"/>
        </w:rPr>
      </w:pPr>
    </w:p>
    <w:p w:rsidR="006A4109" w:rsidRPr="00F02D52" w:rsidRDefault="006A4109" w:rsidP="0070401F">
      <w:pPr>
        <w:pStyle w:val="Ttol3"/>
      </w:pPr>
      <w:bookmarkStart w:id="247" w:name="_Toc463867766"/>
      <w:bookmarkStart w:id="248" w:name="_Toc464685653"/>
      <w:bookmarkStart w:id="249" w:name="_Toc465293384"/>
      <w:r>
        <w:lastRenderedPageBreak/>
        <w:t xml:space="preserve">El Programa </w:t>
      </w:r>
      <w:r w:rsidRPr="00EB1B4D">
        <w:t>marc</w:t>
      </w:r>
      <w:r>
        <w:t xml:space="preserve"> d'orientació c</w:t>
      </w:r>
      <w:r w:rsidRPr="00F02D52">
        <w:t>urricular (PMOC)</w:t>
      </w:r>
      <w:bookmarkEnd w:id="247"/>
      <w:bookmarkEnd w:id="248"/>
      <w:bookmarkEnd w:id="249"/>
    </w:p>
    <w:p w:rsidR="006A4109" w:rsidRPr="00F02D52" w:rsidRDefault="006A4109" w:rsidP="00E930B2">
      <w:pPr>
        <w:rPr>
          <w:rFonts w:eastAsiaTheme="minorEastAsia" w:cs="Arial"/>
        </w:rPr>
      </w:pPr>
      <w:r w:rsidRPr="00F02D52">
        <w:rPr>
          <w:rFonts w:eastAsiaTheme="minorEastAsia" w:cs="Arial"/>
        </w:rPr>
        <w:t>Amb la progressiva qualificació i expansió de la intervenció en matèria de rehabilitació, es va fer palesa la necessitat d’homogeneïtzar l'oferta de programes a tots els centres penitenciaris i d'adaptar aquesta als diferents perfils de necessitats que presenta la població interna. El PMOC homologa les activitats que s'ofereixen als interns, estructurant</w:t>
      </w:r>
      <w:r>
        <w:rPr>
          <w:rFonts w:eastAsiaTheme="minorEastAsia" w:cs="Arial"/>
        </w:rPr>
        <w:t>-les</w:t>
      </w:r>
      <w:r w:rsidRPr="00F02D52">
        <w:rPr>
          <w:rFonts w:eastAsiaTheme="minorEastAsia" w:cs="Arial"/>
        </w:rPr>
        <w:t xml:space="preserve"> en </w:t>
      </w:r>
      <w:r>
        <w:rPr>
          <w:rFonts w:eastAsiaTheme="minorEastAsia" w:cs="Arial"/>
        </w:rPr>
        <w:t>cinc</w:t>
      </w:r>
      <w:r w:rsidRPr="00F02D52">
        <w:rPr>
          <w:rFonts w:eastAsiaTheme="minorEastAsia" w:cs="Arial"/>
        </w:rPr>
        <w:t xml:space="preserve"> grans àmbits d’intervenció: formació d</w:t>
      </w:r>
      <w:r>
        <w:rPr>
          <w:rFonts w:eastAsiaTheme="minorEastAsia" w:cs="Arial"/>
        </w:rPr>
        <w:t>e persones adultes; món laboral;</w:t>
      </w:r>
      <w:r w:rsidRPr="00F02D52">
        <w:rPr>
          <w:rFonts w:eastAsiaTheme="minorEastAsia" w:cs="Arial"/>
        </w:rPr>
        <w:t xml:space="preserve"> salut i desenvolupament personal; context jurídic, social i cultural, i atenció especialitzada. </w:t>
      </w:r>
    </w:p>
    <w:p w:rsidR="006A4109" w:rsidRPr="00F02D52" w:rsidRDefault="006A4109" w:rsidP="00E930B2">
      <w:pPr>
        <w:rPr>
          <w:rFonts w:eastAsiaTheme="minorEastAsia" w:cs="Arial"/>
        </w:rPr>
      </w:pPr>
      <w:r w:rsidRPr="00F02D52">
        <w:rPr>
          <w:rFonts w:eastAsiaTheme="minorEastAsia" w:cs="Arial"/>
        </w:rPr>
        <w:t xml:space="preserve">Aquesta oferta permet definir diferents itineraris curriculars segons el perfil i necessitats de cada intern. D'aquesta manera, el PIT de cada intern </w:t>
      </w:r>
      <w:r>
        <w:rPr>
          <w:rFonts w:eastAsiaTheme="minorEastAsia" w:cs="Arial"/>
        </w:rPr>
        <w:t>dissenya</w:t>
      </w:r>
      <w:r w:rsidRPr="00F02D52">
        <w:rPr>
          <w:rFonts w:eastAsiaTheme="minorEastAsia" w:cs="Arial"/>
        </w:rPr>
        <w:t xml:space="preserve"> l'itinerari més idoni per </w:t>
      </w:r>
      <w:r>
        <w:rPr>
          <w:rFonts w:eastAsiaTheme="minorEastAsia" w:cs="Arial"/>
        </w:rPr>
        <w:t xml:space="preserve">a </w:t>
      </w:r>
      <w:r w:rsidRPr="00F02D52">
        <w:rPr>
          <w:rFonts w:eastAsiaTheme="minorEastAsia" w:cs="Arial"/>
        </w:rPr>
        <w:t>les seves necessitats i moment de compliment: atenent estàndard</w:t>
      </w:r>
      <w:r>
        <w:rPr>
          <w:rFonts w:eastAsiaTheme="minorEastAsia" w:cs="Arial"/>
        </w:rPr>
        <w:t>s de compliment (comuns</w:t>
      </w:r>
      <w:r w:rsidRPr="00F02D52">
        <w:rPr>
          <w:rFonts w:eastAsiaTheme="minorEastAsia" w:cs="Arial"/>
        </w:rPr>
        <w:t xml:space="preserve"> a tota la població), addiccions, conductes violentes, origen sociocultural, sortides de permís, derivació a medi obert, salut mental, discapacitat intel·lectual i llarga condemna.</w:t>
      </w:r>
    </w:p>
    <w:p w:rsidR="006A4109" w:rsidRPr="00F02D52" w:rsidRDefault="006A4109" w:rsidP="00E930B2">
      <w:pPr>
        <w:rPr>
          <w:rFonts w:eastAsiaTheme="minorEastAsia" w:cs="Arial"/>
        </w:rPr>
      </w:pPr>
      <w:r w:rsidRPr="00F02D52">
        <w:rPr>
          <w:rFonts w:eastAsiaTheme="minorEastAsia" w:cs="Arial"/>
        </w:rPr>
        <w:t>El PMOC</w:t>
      </w:r>
      <w:r>
        <w:rPr>
          <w:rFonts w:eastAsiaTheme="minorEastAsia" w:cs="Arial"/>
        </w:rPr>
        <w:t>,</w:t>
      </w:r>
      <w:r w:rsidRPr="00F02D52">
        <w:rPr>
          <w:rFonts w:eastAsiaTheme="minorEastAsia" w:cs="Arial"/>
        </w:rPr>
        <w:t xml:space="preserve"> periòdicament, per la seva capacitat planificadora i dinàmica</w:t>
      </w:r>
      <w:r>
        <w:rPr>
          <w:rFonts w:eastAsiaTheme="minorEastAsia" w:cs="Arial"/>
        </w:rPr>
        <w:t>,</w:t>
      </w:r>
      <w:r w:rsidRPr="00F02D52">
        <w:rPr>
          <w:rFonts w:eastAsiaTheme="minorEastAsia" w:cs="Arial"/>
        </w:rPr>
        <w:t xml:space="preserve"> ha d’avançar-se i detectar el conjunt de la demanda del centre</w:t>
      </w:r>
      <w:r>
        <w:rPr>
          <w:rFonts w:eastAsiaTheme="minorEastAsia" w:cs="Arial"/>
        </w:rPr>
        <w:t xml:space="preserve"> mitjançant l’anàlisi dels PIT</w:t>
      </w:r>
      <w:r w:rsidRPr="00F02D52">
        <w:rPr>
          <w:rFonts w:eastAsiaTheme="minorEastAsia" w:cs="Arial"/>
        </w:rPr>
        <w:t xml:space="preserve">, </w:t>
      </w:r>
      <w:r>
        <w:rPr>
          <w:rFonts w:eastAsiaTheme="minorEastAsia" w:cs="Arial"/>
        </w:rPr>
        <w:t xml:space="preserve">i </w:t>
      </w:r>
      <w:r w:rsidRPr="00F02D52">
        <w:rPr>
          <w:rFonts w:eastAsiaTheme="minorEastAsia" w:cs="Arial"/>
        </w:rPr>
        <w:t xml:space="preserve">ha d’adaptar la seva oferta per donar resposta a les necessitats reals d’intervenció. </w:t>
      </w:r>
    </w:p>
    <w:p w:rsidR="006A4109" w:rsidRPr="00F02D52" w:rsidRDefault="006A4109" w:rsidP="00E930B2">
      <w:pPr>
        <w:rPr>
          <w:rFonts w:eastAsiaTheme="minorEastAsia" w:cs="Arial"/>
        </w:rPr>
      </w:pPr>
    </w:p>
    <w:p w:rsidR="006A4109" w:rsidRDefault="006A4109">
      <w:pPr>
        <w:spacing w:before="0"/>
        <w:jc w:val="left"/>
        <w:rPr>
          <w:rFonts w:eastAsiaTheme="minorEastAsia" w:cs="Arial"/>
          <w:b/>
          <w:bCs/>
          <w:i/>
          <w:color w:val="4F81BD" w:themeColor="accent1"/>
        </w:rPr>
      </w:pPr>
      <w:r>
        <w:rPr>
          <w:rFonts w:eastAsiaTheme="minorEastAsia" w:cs="Arial"/>
          <w:i/>
        </w:rPr>
        <w:br w:type="page"/>
      </w:r>
    </w:p>
    <w:p w:rsidR="006A4109" w:rsidRPr="00F02D52" w:rsidRDefault="006A4109" w:rsidP="0070401F">
      <w:pPr>
        <w:pStyle w:val="Ttol3"/>
      </w:pPr>
      <w:bookmarkStart w:id="250" w:name="_Toc463867767"/>
      <w:bookmarkStart w:id="251" w:name="_Toc464685654"/>
      <w:bookmarkStart w:id="252" w:name="_Toc465293385"/>
      <w:r w:rsidRPr="00F02D52">
        <w:lastRenderedPageBreak/>
        <w:t xml:space="preserve">Els </w:t>
      </w:r>
      <w:r w:rsidRPr="00EB1B4D">
        <w:t>estàndards</w:t>
      </w:r>
      <w:r w:rsidRPr="00F02D52">
        <w:t xml:space="preserve"> de rehabilitació</w:t>
      </w:r>
      <w:bookmarkEnd w:id="250"/>
      <w:bookmarkEnd w:id="251"/>
      <w:bookmarkEnd w:id="252"/>
    </w:p>
    <w:p w:rsidR="006A4109" w:rsidRPr="00F02D52" w:rsidRDefault="006A4109" w:rsidP="00E930B2">
      <w:pPr>
        <w:rPr>
          <w:rFonts w:eastAsiaTheme="minorEastAsia" w:cs="Arial"/>
        </w:rPr>
      </w:pPr>
      <w:r w:rsidRPr="00F02D52">
        <w:rPr>
          <w:rFonts w:eastAsiaTheme="minorEastAsia" w:cs="Arial"/>
        </w:rPr>
        <w:t>L’assoliment dels objectius de la intervenció depèn d'una definició del model</w:t>
      </w:r>
      <w:r>
        <w:rPr>
          <w:rFonts w:eastAsiaTheme="minorEastAsia" w:cs="Arial"/>
        </w:rPr>
        <w:t>,</w:t>
      </w:r>
      <w:r w:rsidRPr="00F02D52">
        <w:rPr>
          <w:rFonts w:eastAsiaTheme="minorEastAsia" w:cs="Arial"/>
        </w:rPr>
        <w:t xml:space="preserve"> però també de la qualitat i la intensitat en l'execució d'aquesta. Amb la finalitat d’homogeneïtzar el servei que presten els equips de rehabilitació a la diversitat d'unitats i centres, la DGSP ha establert uns criteris que defineixen la intervenció que s'ofereix tant a règim ordinari com a règim obert:</w:t>
      </w:r>
    </w:p>
    <w:p w:rsidR="006A4109" w:rsidRPr="00F02D52" w:rsidRDefault="006A4109" w:rsidP="00E930B2">
      <w:pPr>
        <w:rPr>
          <w:rFonts w:eastAsiaTheme="minorEastAsia" w:cs="Arial"/>
        </w:rPr>
      </w:pPr>
    </w:p>
    <w:tbl>
      <w:tblPr>
        <w:tblStyle w:val="Taulaambquadrcula"/>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51"/>
        <w:gridCol w:w="4552"/>
      </w:tblGrid>
      <w:tr w:rsidR="006A4109" w:rsidRPr="00F02D52" w:rsidTr="00E930B2">
        <w:tc>
          <w:tcPr>
            <w:tcW w:w="4551" w:type="dxa"/>
            <w:tcBorders>
              <w:bottom w:val="single" w:sz="12" w:space="0" w:color="auto"/>
            </w:tcBorders>
          </w:tcPr>
          <w:p w:rsidR="006A4109" w:rsidRPr="00F02D52" w:rsidRDefault="006A4109" w:rsidP="00E930B2">
            <w:pPr>
              <w:rPr>
                <w:rFonts w:eastAsiaTheme="minorEastAsia" w:cs="Arial"/>
                <w:b/>
              </w:rPr>
            </w:pPr>
            <w:r>
              <w:rPr>
                <w:rFonts w:eastAsiaTheme="minorEastAsia" w:cs="Arial"/>
                <w:b/>
                <w:color w:val="1F497D" w:themeColor="text2"/>
              </w:rPr>
              <w:t>Rè</w:t>
            </w:r>
            <w:r w:rsidRPr="00F02D52">
              <w:rPr>
                <w:rFonts w:eastAsiaTheme="minorEastAsia" w:cs="Arial"/>
                <w:b/>
                <w:color w:val="1F497D" w:themeColor="text2"/>
              </w:rPr>
              <w:t>gim ordinari (mòdul 100 interns)</w:t>
            </w:r>
          </w:p>
        </w:tc>
        <w:tc>
          <w:tcPr>
            <w:tcW w:w="4552" w:type="dxa"/>
            <w:tcBorders>
              <w:bottom w:val="single" w:sz="12" w:space="0" w:color="auto"/>
            </w:tcBorders>
          </w:tcPr>
          <w:p w:rsidR="006A4109" w:rsidRPr="00F02D52" w:rsidRDefault="006A4109" w:rsidP="00E930B2">
            <w:pPr>
              <w:rPr>
                <w:rFonts w:eastAsiaTheme="minorEastAsia" w:cs="Arial"/>
                <w:b/>
                <w:i/>
              </w:rPr>
            </w:pPr>
            <w:r>
              <w:rPr>
                <w:rFonts w:eastAsiaTheme="minorEastAsia" w:cs="Arial"/>
                <w:b/>
                <w:i/>
                <w:color w:val="1F497D" w:themeColor="text2"/>
              </w:rPr>
              <w:t>Rè</w:t>
            </w:r>
            <w:r w:rsidRPr="00F02D52">
              <w:rPr>
                <w:rFonts w:eastAsiaTheme="minorEastAsia" w:cs="Arial"/>
                <w:b/>
                <w:i/>
                <w:color w:val="1F497D" w:themeColor="text2"/>
              </w:rPr>
              <w:t>gim obert</w:t>
            </w:r>
          </w:p>
        </w:tc>
      </w:tr>
      <w:tr w:rsidR="006A4109" w:rsidRPr="00F02D52" w:rsidTr="00E930B2">
        <w:tc>
          <w:tcPr>
            <w:tcW w:w="4551" w:type="dxa"/>
            <w:tcBorders>
              <w:top w:val="single" w:sz="12" w:space="0" w:color="auto"/>
              <w:bottom w:val="single" w:sz="4" w:space="0" w:color="auto"/>
            </w:tcBorders>
            <w:tcMar>
              <w:top w:w="113" w:type="dxa"/>
              <w:bottom w:w="113" w:type="dxa"/>
            </w:tcMar>
            <w:vAlign w:val="center"/>
          </w:tcPr>
          <w:p w:rsidR="006A4109" w:rsidRPr="00F02D52" w:rsidRDefault="006A4109" w:rsidP="00E930B2">
            <w:pPr>
              <w:rPr>
                <w:rFonts w:eastAsiaTheme="minorEastAsia" w:cs="Arial"/>
                <w:b/>
              </w:rPr>
            </w:pPr>
            <w:r>
              <w:rPr>
                <w:rFonts w:eastAsiaTheme="minorEastAsia" w:cs="Arial"/>
                <w:b/>
              </w:rPr>
              <w:t>4 franges diàries d’activitats: ocupaci</w:t>
            </w:r>
            <w:r w:rsidRPr="00F02D52">
              <w:rPr>
                <w:rFonts w:eastAsiaTheme="minorEastAsia" w:cs="Arial"/>
                <w:b/>
              </w:rPr>
              <w:t>ó del 90%</w:t>
            </w:r>
          </w:p>
        </w:tc>
        <w:tc>
          <w:tcPr>
            <w:tcW w:w="4552" w:type="dxa"/>
            <w:tcBorders>
              <w:top w:val="single" w:sz="12" w:space="0" w:color="auto"/>
              <w:bottom w:val="single" w:sz="4" w:space="0" w:color="auto"/>
            </w:tcBorders>
            <w:tcMar>
              <w:top w:w="113" w:type="dxa"/>
              <w:bottom w:w="113" w:type="dxa"/>
            </w:tcMar>
            <w:vAlign w:val="center"/>
          </w:tcPr>
          <w:p w:rsidR="006A4109" w:rsidRPr="00F02D52" w:rsidRDefault="006A4109" w:rsidP="00E930B2">
            <w:pPr>
              <w:rPr>
                <w:rFonts w:eastAsiaTheme="minorEastAsia" w:cs="Arial"/>
                <w:i/>
              </w:rPr>
            </w:pPr>
            <w:r w:rsidRPr="00F02D52">
              <w:rPr>
                <w:rFonts w:eastAsiaTheme="minorEastAsia" w:cs="Arial"/>
                <w:i/>
              </w:rPr>
              <w:t>Atenció individual i intervenció amb famílies</w:t>
            </w:r>
          </w:p>
        </w:tc>
      </w:tr>
      <w:tr w:rsidR="006A4109" w:rsidRPr="00F02D52" w:rsidTr="00E930B2">
        <w:tc>
          <w:tcPr>
            <w:tcW w:w="4551" w:type="dxa"/>
            <w:tcBorders>
              <w:top w:val="single" w:sz="4" w:space="0" w:color="auto"/>
              <w:bottom w:val="single" w:sz="4" w:space="0" w:color="auto"/>
            </w:tcBorders>
            <w:tcMar>
              <w:top w:w="113" w:type="dxa"/>
              <w:bottom w:w="113" w:type="dxa"/>
            </w:tcMar>
            <w:vAlign w:val="center"/>
          </w:tcPr>
          <w:p w:rsidR="006A4109" w:rsidRPr="00F02D52" w:rsidRDefault="006A4109" w:rsidP="00E930B2">
            <w:pPr>
              <w:rPr>
                <w:rFonts w:eastAsiaTheme="minorEastAsia" w:cs="Arial"/>
                <w:b/>
              </w:rPr>
            </w:pPr>
            <w:r w:rsidRPr="00F02D52">
              <w:rPr>
                <w:rFonts w:eastAsiaTheme="minorEastAsia" w:cs="Arial"/>
                <w:b/>
              </w:rPr>
              <w:t>1 sortida programada</w:t>
            </w:r>
            <w:r>
              <w:rPr>
                <w:rFonts w:eastAsiaTheme="minorEastAsia" w:cs="Arial"/>
                <w:b/>
              </w:rPr>
              <w:t>/</w:t>
            </w:r>
            <w:r w:rsidRPr="00F02D52">
              <w:rPr>
                <w:rFonts w:eastAsiaTheme="minorEastAsia" w:cs="Arial"/>
                <w:b/>
              </w:rPr>
              <w:t>setmana per mòdul de 100 interns</w:t>
            </w:r>
          </w:p>
        </w:tc>
        <w:tc>
          <w:tcPr>
            <w:tcW w:w="4552" w:type="dxa"/>
            <w:tcBorders>
              <w:top w:val="single" w:sz="4" w:space="0" w:color="auto"/>
              <w:bottom w:val="single" w:sz="4" w:space="0" w:color="auto"/>
            </w:tcBorders>
            <w:tcMar>
              <w:top w:w="113" w:type="dxa"/>
              <w:bottom w:w="113" w:type="dxa"/>
            </w:tcMar>
            <w:vAlign w:val="center"/>
          </w:tcPr>
          <w:p w:rsidR="006A4109" w:rsidRPr="00F02D52" w:rsidRDefault="006A4109" w:rsidP="00E930B2">
            <w:pPr>
              <w:rPr>
                <w:rFonts w:eastAsiaTheme="minorEastAsia" w:cs="Arial"/>
                <w:i/>
              </w:rPr>
            </w:pPr>
            <w:r w:rsidRPr="00F02D52">
              <w:rPr>
                <w:rFonts w:eastAsiaTheme="minorEastAsia" w:cs="Arial"/>
                <w:i/>
              </w:rPr>
              <w:t>Gestió d’horaris i controls. Valoracions i decisions</w:t>
            </w:r>
          </w:p>
        </w:tc>
      </w:tr>
      <w:tr w:rsidR="006A4109" w:rsidRPr="00F02D52" w:rsidTr="00E930B2">
        <w:tc>
          <w:tcPr>
            <w:tcW w:w="4551" w:type="dxa"/>
            <w:tcBorders>
              <w:top w:val="single" w:sz="4" w:space="0" w:color="auto"/>
              <w:bottom w:val="single" w:sz="4" w:space="0" w:color="auto"/>
            </w:tcBorders>
            <w:tcMar>
              <w:top w:w="113" w:type="dxa"/>
              <w:bottom w:w="113" w:type="dxa"/>
            </w:tcMar>
            <w:vAlign w:val="center"/>
          </w:tcPr>
          <w:p w:rsidR="006A4109" w:rsidRPr="00F02D52" w:rsidRDefault="006A4109" w:rsidP="00E930B2">
            <w:pPr>
              <w:rPr>
                <w:rFonts w:eastAsiaTheme="minorEastAsia" w:cs="Arial"/>
                <w:b/>
              </w:rPr>
            </w:pPr>
            <w:r w:rsidRPr="00F02D52">
              <w:rPr>
                <w:rFonts w:eastAsiaTheme="minorEastAsia" w:cs="Arial"/>
                <w:b/>
              </w:rPr>
              <w:t>2,2 atenc</w:t>
            </w:r>
            <w:r>
              <w:rPr>
                <w:rFonts w:eastAsiaTheme="minorEastAsia" w:cs="Arial"/>
                <w:b/>
              </w:rPr>
              <w:t>ions individuals per intern/</w:t>
            </w:r>
            <w:r w:rsidRPr="00F02D52">
              <w:rPr>
                <w:rFonts w:eastAsiaTheme="minorEastAsia" w:cs="Arial"/>
                <w:b/>
              </w:rPr>
              <w:t>mes</w:t>
            </w:r>
          </w:p>
        </w:tc>
        <w:tc>
          <w:tcPr>
            <w:tcW w:w="4552" w:type="dxa"/>
            <w:tcBorders>
              <w:top w:val="single" w:sz="4" w:space="0" w:color="auto"/>
              <w:bottom w:val="single" w:sz="4" w:space="0" w:color="auto"/>
            </w:tcBorders>
            <w:tcMar>
              <w:top w:w="113" w:type="dxa"/>
              <w:bottom w:w="113" w:type="dxa"/>
            </w:tcMar>
            <w:vAlign w:val="center"/>
          </w:tcPr>
          <w:p w:rsidR="006A4109" w:rsidRPr="00E55D95" w:rsidRDefault="006A4109" w:rsidP="00E930B2">
            <w:pPr>
              <w:rPr>
                <w:rFonts w:eastAsiaTheme="minorEastAsia" w:cs="Arial"/>
                <w:i/>
              </w:rPr>
            </w:pPr>
            <w:r w:rsidRPr="00E55D95">
              <w:rPr>
                <w:rFonts w:eastAsiaTheme="minorEastAsia" w:cs="Arial"/>
                <w:i/>
              </w:rPr>
              <w:t>Mitjana de 2,2 tutories/mes per intern (15h/ setmana)</w:t>
            </w:r>
          </w:p>
        </w:tc>
      </w:tr>
      <w:tr w:rsidR="006A4109" w:rsidRPr="00F02D52" w:rsidTr="00E930B2">
        <w:tc>
          <w:tcPr>
            <w:tcW w:w="4551" w:type="dxa"/>
            <w:tcBorders>
              <w:top w:val="single" w:sz="4" w:space="0" w:color="auto"/>
              <w:bottom w:val="single" w:sz="4" w:space="0" w:color="auto"/>
            </w:tcBorders>
            <w:tcMar>
              <w:top w:w="113" w:type="dxa"/>
              <w:bottom w:w="113" w:type="dxa"/>
            </w:tcMar>
            <w:vAlign w:val="center"/>
          </w:tcPr>
          <w:p w:rsidR="006A4109" w:rsidRPr="00F02D52" w:rsidRDefault="006A4109" w:rsidP="00E930B2">
            <w:pPr>
              <w:rPr>
                <w:rFonts w:eastAsiaTheme="minorEastAsia" w:cs="Arial"/>
                <w:b/>
              </w:rPr>
            </w:pPr>
            <w:r w:rsidRPr="00F02D52">
              <w:rPr>
                <w:rFonts w:eastAsiaTheme="minorEastAsia" w:cs="Arial"/>
                <w:b/>
              </w:rPr>
              <w:t>Valoracions i decisions setmanal</w:t>
            </w:r>
            <w:r>
              <w:rPr>
                <w:rFonts w:eastAsiaTheme="minorEastAsia" w:cs="Arial"/>
                <w:b/>
              </w:rPr>
              <w:t>s</w:t>
            </w:r>
          </w:p>
        </w:tc>
        <w:tc>
          <w:tcPr>
            <w:tcW w:w="4552" w:type="dxa"/>
            <w:tcBorders>
              <w:top w:val="single" w:sz="4" w:space="0" w:color="auto"/>
              <w:bottom w:val="single" w:sz="4" w:space="0" w:color="auto"/>
            </w:tcBorders>
            <w:tcMar>
              <w:top w:w="113" w:type="dxa"/>
              <w:bottom w:w="113" w:type="dxa"/>
            </w:tcMar>
            <w:vAlign w:val="center"/>
          </w:tcPr>
          <w:p w:rsidR="006A4109" w:rsidRPr="00E55D95" w:rsidRDefault="006A4109" w:rsidP="00E930B2">
            <w:pPr>
              <w:rPr>
                <w:rFonts w:eastAsiaTheme="minorEastAsia" w:cs="Arial"/>
                <w:i/>
                <w:spacing w:val="-10"/>
              </w:rPr>
            </w:pPr>
            <w:r w:rsidRPr="00E55D95">
              <w:rPr>
                <w:rFonts w:eastAsiaTheme="minorEastAsia" w:cs="Arial"/>
                <w:i/>
                <w:spacing w:val="-10"/>
              </w:rPr>
              <w:t>Mitjana d'1 seguiment en el medi comunitari/mes  (15h/setmana</w:t>
            </w:r>
          </w:p>
        </w:tc>
      </w:tr>
      <w:tr w:rsidR="006A4109" w:rsidRPr="00F02D52" w:rsidTr="00E930B2">
        <w:tc>
          <w:tcPr>
            <w:tcW w:w="4551" w:type="dxa"/>
            <w:tcBorders>
              <w:top w:val="single" w:sz="4" w:space="0" w:color="auto"/>
              <w:bottom w:val="single" w:sz="12" w:space="0" w:color="auto"/>
            </w:tcBorders>
            <w:tcMar>
              <w:top w:w="113" w:type="dxa"/>
              <w:bottom w:w="113" w:type="dxa"/>
            </w:tcMar>
            <w:vAlign w:val="center"/>
          </w:tcPr>
          <w:p w:rsidR="006A4109" w:rsidRPr="00F02D52" w:rsidRDefault="006A4109" w:rsidP="00E930B2">
            <w:pPr>
              <w:rPr>
                <w:rFonts w:eastAsiaTheme="minorEastAsia" w:cs="Arial"/>
                <w:b/>
              </w:rPr>
            </w:pPr>
            <w:r w:rsidRPr="00F02D52">
              <w:rPr>
                <w:rFonts w:eastAsiaTheme="minorEastAsia" w:cs="Arial"/>
                <w:b/>
              </w:rPr>
              <w:t>Activitats i atenció individual els caps de setmana</w:t>
            </w:r>
          </w:p>
        </w:tc>
        <w:tc>
          <w:tcPr>
            <w:tcW w:w="4552" w:type="dxa"/>
            <w:tcBorders>
              <w:top w:val="single" w:sz="4" w:space="0" w:color="auto"/>
              <w:bottom w:val="single" w:sz="12" w:space="0" w:color="auto"/>
            </w:tcBorders>
            <w:tcMar>
              <w:top w:w="113" w:type="dxa"/>
              <w:bottom w:w="113" w:type="dxa"/>
            </w:tcMar>
            <w:vAlign w:val="center"/>
          </w:tcPr>
          <w:p w:rsidR="006A4109" w:rsidRPr="00F02D52" w:rsidRDefault="006A4109" w:rsidP="00E930B2">
            <w:pPr>
              <w:rPr>
                <w:rFonts w:eastAsiaTheme="minorEastAsia" w:cs="Arial"/>
                <w:i/>
              </w:rPr>
            </w:pPr>
            <w:r w:rsidRPr="00F02D52">
              <w:rPr>
                <w:rFonts w:eastAsiaTheme="minorEastAsia" w:cs="Arial"/>
                <w:i/>
              </w:rPr>
              <w:t xml:space="preserve">Vinculació </w:t>
            </w:r>
            <w:r>
              <w:rPr>
                <w:rFonts w:eastAsiaTheme="minorEastAsia" w:cs="Arial"/>
                <w:i/>
              </w:rPr>
              <w:t>a recursos externs</w:t>
            </w:r>
          </w:p>
        </w:tc>
      </w:tr>
    </w:tbl>
    <w:p w:rsidR="006A4109" w:rsidRPr="00F02D52" w:rsidRDefault="006A4109" w:rsidP="00E930B2">
      <w:pPr>
        <w:rPr>
          <w:rFonts w:eastAsiaTheme="minorEastAsia" w:cs="Arial"/>
          <w:b/>
        </w:rPr>
      </w:pPr>
    </w:p>
    <w:p w:rsidR="006A4109" w:rsidRPr="00647306" w:rsidRDefault="006A4109" w:rsidP="00E930B2">
      <w:pPr>
        <w:rPr>
          <w:rFonts w:eastAsiaTheme="minorEastAsia" w:cs="Arial"/>
        </w:rPr>
      </w:pPr>
      <w:r>
        <w:rPr>
          <w:rFonts w:eastAsiaTheme="minorEastAsia" w:cs="Arial"/>
        </w:rPr>
        <w:t>Aquests estàndards só</w:t>
      </w:r>
      <w:r w:rsidRPr="00647306">
        <w:rPr>
          <w:rFonts w:eastAsiaTheme="minorEastAsia" w:cs="Arial"/>
        </w:rPr>
        <w:t xml:space="preserve">n l'eix bàsic que ha de marcar el criteri tant per </w:t>
      </w:r>
      <w:r>
        <w:rPr>
          <w:rFonts w:eastAsiaTheme="minorEastAsia" w:cs="Arial"/>
        </w:rPr>
        <w:t xml:space="preserve">a </w:t>
      </w:r>
      <w:r w:rsidRPr="00647306">
        <w:rPr>
          <w:rFonts w:eastAsiaTheme="minorEastAsia" w:cs="Arial"/>
        </w:rPr>
        <w:t>la dotació de personal necessària com</w:t>
      </w:r>
      <w:r>
        <w:rPr>
          <w:rFonts w:eastAsiaTheme="minorEastAsia" w:cs="Arial"/>
        </w:rPr>
        <w:t xml:space="preserve"> a</w:t>
      </w:r>
      <w:r w:rsidRPr="00647306">
        <w:rPr>
          <w:rFonts w:eastAsiaTheme="minorEastAsia" w:cs="Arial"/>
        </w:rPr>
        <w:t xml:space="preserve"> l'activitat dels professionals.</w:t>
      </w:r>
    </w:p>
    <w:p w:rsidR="006A4109" w:rsidRPr="00647306" w:rsidRDefault="006A4109" w:rsidP="00E930B2">
      <w:pPr>
        <w:rPr>
          <w:rFonts w:eastAsiaTheme="minorEastAsia" w:cs="Arial"/>
        </w:rPr>
      </w:pPr>
      <w:r w:rsidRPr="00647306">
        <w:rPr>
          <w:rFonts w:eastAsiaTheme="minorEastAsia" w:cs="Arial"/>
        </w:rPr>
        <w:br w:type="page"/>
      </w:r>
    </w:p>
    <w:p w:rsidR="006A4109" w:rsidRPr="00647306" w:rsidRDefault="006A4109" w:rsidP="00E930B2">
      <w:pPr>
        <w:rPr>
          <w:rFonts w:eastAsiaTheme="minorEastAsia" w:cs="Arial"/>
        </w:rPr>
      </w:pPr>
      <w:r w:rsidRPr="00647306">
        <w:rPr>
          <w:rFonts w:eastAsiaTheme="minorEastAsia" w:cs="Arial"/>
        </w:rPr>
        <w:lastRenderedPageBreak/>
        <w:t>També s'han definit els cinc grans processos de treball que han de dur a terme els professionals per oferir aquesta atenció:</w:t>
      </w:r>
    </w:p>
    <w:p w:rsidR="006A4109" w:rsidRPr="00647306" w:rsidRDefault="006A4109" w:rsidP="00AE0A20">
      <w:pPr>
        <w:pStyle w:val="Pargrafdellista"/>
        <w:numPr>
          <w:ilvl w:val="0"/>
          <w:numId w:val="4"/>
        </w:numPr>
        <w:rPr>
          <w:rFonts w:eastAsiaTheme="minorEastAsia" w:cs="Arial"/>
        </w:rPr>
      </w:pPr>
      <w:r w:rsidRPr="00647306">
        <w:rPr>
          <w:rFonts w:eastAsiaTheme="minorEastAsia" w:cs="Arial"/>
        </w:rPr>
        <w:t>Intervenció individual</w:t>
      </w:r>
    </w:p>
    <w:p w:rsidR="006A4109" w:rsidRPr="00647306" w:rsidRDefault="006A4109" w:rsidP="00AE0A20">
      <w:pPr>
        <w:pStyle w:val="Pargrafdellista"/>
        <w:numPr>
          <w:ilvl w:val="0"/>
          <w:numId w:val="4"/>
        </w:numPr>
        <w:rPr>
          <w:rFonts w:eastAsiaTheme="minorEastAsia" w:cs="Arial"/>
        </w:rPr>
      </w:pPr>
      <w:r w:rsidRPr="00647306">
        <w:rPr>
          <w:rFonts w:eastAsiaTheme="minorEastAsia" w:cs="Arial"/>
        </w:rPr>
        <w:t>Intervenció grupal</w:t>
      </w:r>
    </w:p>
    <w:p w:rsidR="006A4109" w:rsidRPr="00647306" w:rsidRDefault="006A4109" w:rsidP="00AE0A20">
      <w:pPr>
        <w:pStyle w:val="Pargrafdellista"/>
        <w:numPr>
          <w:ilvl w:val="0"/>
          <w:numId w:val="4"/>
        </w:numPr>
        <w:rPr>
          <w:rFonts w:eastAsiaTheme="minorEastAsia" w:cs="Arial"/>
        </w:rPr>
      </w:pPr>
      <w:r w:rsidRPr="00647306">
        <w:rPr>
          <w:rFonts w:eastAsiaTheme="minorEastAsia" w:cs="Arial"/>
        </w:rPr>
        <w:t>Gestió de la informació</w:t>
      </w:r>
    </w:p>
    <w:p w:rsidR="006A4109" w:rsidRPr="00647306" w:rsidRDefault="006A4109" w:rsidP="00AE0A20">
      <w:pPr>
        <w:pStyle w:val="Pargrafdellista"/>
        <w:numPr>
          <w:ilvl w:val="0"/>
          <w:numId w:val="4"/>
        </w:numPr>
        <w:rPr>
          <w:rFonts w:eastAsiaTheme="minorEastAsia" w:cs="Arial"/>
        </w:rPr>
      </w:pPr>
      <w:r w:rsidRPr="00647306">
        <w:rPr>
          <w:rFonts w:eastAsiaTheme="minorEastAsia" w:cs="Arial"/>
        </w:rPr>
        <w:t>Reunions i coordinació</w:t>
      </w:r>
    </w:p>
    <w:p w:rsidR="006A4109" w:rsidRPr="00647306" w:rsidRDefault="006A4109" w:rsidP="00AE0A20">
      <w:pPr>
        <w:pStyle w:val="Pargrafdellista"/>
        <w:numPr>
          <w:ilvl w:val="0"/>
          <w:numId w:val="4"/>
        </w:numPr>
        <w:rPr>
          <w:rFonts w:eastAsiaTheme="minorEastAsia" w:cs="Arial"/>
        </w:rPr>
      </w:pPr>
      <w:r w:rsidRPr="00647306">
        <w:rPr>
          <w:rFonts w:eastAsiaTheme="minorEastAsia" w:cs="Arial"/>
        </w:rPr>
        <w:t>Seguiments laborals</w:t>
      </w:r>
    </w:p>
    <w:p w:rsidR="006A4109" w:rsidRPr="00647306" w:rsidRDefault="006A4109" w:rsidP="00E930B2">
      <w:pPr>
        <w:rPr>
          <w:rFonts w:eastAsiaTheme="minorEastAsia" w:cs="Arial"/>
        </w:rPr>
      </w:pPr>
    </w:p>
    <w:p w:rsidR="006A4109" w:rsidRPr="00647306" w:rsidRDefault="006A4109" w:rsidP="00E930B2">
      <w:pPr>
        <w:rPr>
          <w:rFonts w:eastAsiaTheme="minorEastAsia" w:cs="Arial"/>
        </w:rPr>
      </w:pPr>
      <w:r w:rsidRPr="00647306">
        <w:rPr>
          <w:rFonts w:eastAsiaTheme="minorEastAsia" w:cs="Arial"/>
        </w:rPr>
        <w:t>Respecte a cadasc</w:t>
      </w:r>
      <w:r>
        <w:rPr>
          <w:rFonts w:eastAsiaTheme="minorEastAsia" w:cs="Arial"/>
        </w:rPr>
        <w:t>un</w:t>
      </w:r>
      <w:r w:rsidRPr="00647306">
        <w:rPr>
          <w:rFonts w:eastAsiaTheme="minorEastAsia" w:cs="Arial"/>
        </w:rPr>
        <w:t xml:space="preserve"> d'aquests processos</w:t>
      </w:r>
      <w:r>
        <w:rPr>
          <w:rFonts w:eastAsiaTheme="minorEastAsia" w:cs="Arial"/>
        </w:rPr>
        <w:t>,</w:t>
      </w:r>
      <w:r w:rsidRPr="00647306">
        <w:rPr>
          <w:rFonts w:eastAsiaTheme="minorEastAsia" w:cs="Arial"/>
        </w:rPr>
        <w:t xml:space="preserve"> es defineixen els criteris de qualitat que s'han de seguir en la seva realització (publicitat de l'horari de les activitats, previsió dels casos a valorar </w:t>
      </w:r>
      <w:r>
        <w:rPr>
          <w:rFonts w:eastAsiaTheme="minorEastAsia" w:cs="Arial"/>
        </w:rPr>
        <w:t>en</w:t>
      </w:r>
      <w:r w:rsidRPr="00647306">
        <w:rPr>
          <w:rFonts w:eastAsiaTheme="minorEastAsia" w:cs="Arial"/>
        </w:rPr>
        <w:t xml:space="preserve"> cada reunió, registre de l'atenció, etc.)</w:t>
      </w:r>
      <w:r>
        <w:rPr>
          <w:rFonts w:eastAsiaTheme="minorEastAsia" w:cs="Arial"/>
        </w:rPr>
        <w:t>,</w:t>
      </w:r>
      <w:r w:rsidRPr="00647306">
        <w:rPr>
          <w:rFonts w:eastAsiaTheme="minorEastAsia" w:cs="Arial"/>
        </w:rPr>
        <w:t xml:space="preserve"> així com la proporció de temps que cada professional ha de dedicar a cada procés segons la seva especialitat.</w:t>
      </w:r>
    </w:p>
    <w:p w:rsidR="006A4109" w:rsidRPr="00647306" w:rsidRDefault="006A4109" w:rsidP="00E930B2">
      <w:pPr>
        <w:rPr>
          <w:rFonts w:eastAsiaTheme="minorEastAsia" w:cs="Arial"/>
        </w:rPr>
      </w:pPr>
      <w:r w:rsidRPr="00647306">
        <w:rPr>
          <w:rFonts w:eastAsiaTheme="minorEastAsia" w:cs="Arial"/>
        </w:rPr>
        <w:t xml:space="preserve">L'establiment d'aquests criteris orienta l'activitat professional de tots els equips de rehabilitació i estableix les bases per </w:t>
      </w:r>
      <w:r>
        <w:rPr>
          <w:rFonts w:eastAsiaTheme="minorEastAsia" w:cs="Arial"/>
        </w:rPr>
        <w:t xml:space="preserve">a </w:t>
      </w:r>
      <w:r w:rsidRPr="00647306">
        <w:rPr>
          <w:rFonts w:eastAsiaTheme="minorEastAsia" w:cs="Arial"/>
        </w:rPr>
        <w:t>una avaluació objectiva de la prestació del servei centrada en la qualitat.</w:t>
      </w:r>
    </w:p>
    <w:p w:rsidR="006A4109" w:rsidRPr="00647306" w:rsidRDefault="006A4109" w:rsidP="00E930B2">
      <w:pPr>
        <w:rPr>
          <w:rFonts w:eastAsiaTheme="minorEastAsia" w:cs="Arial"/>
        </w:rPr>
      </w:pPr>
      <w:r>
        <w:rPr>
          <w:rFonts w:eastAsiaTheme="minorEastAsia" w:cs="Arial"/>
        </w:rPr>
        <w:t>Actualment</w:t>
      </w:r>
      <w:r w:rsidRPr="00647306">
        <w:rPr>
          <w:rFonts w:eastAsiaTheme="minorEastAsia" w:cs="Arial"/>
        </w:rPr>
        <w:t xml:space="preserve"> està en elaboració un sistema d'indicadors que complementi </w:t>
      </w:r>
      <w:r>
        <w:rPr>
          <w:rFonts w:eastAsiaTheme="minorEastAsia" w:cs="Arial"/>
        </w:rPr>
        <w:t>l’</w:t>
      </w:r>
      <w:r w:rsidRPr="00647306">
        <w:rPr>
          <w:rFonts w:eastAsiaTheme="minorEastAsia" w:cs="Arial"/>
        </w:rPr>
        <w:t xml:space="preserve">observació directa en els centres. En el futur, els estàndards de prestació de servei esdevindran una eina per </w:t>
      </w:r>
      <w:r>
        <w:rPr>
          <w:rFonts w:eastAsiaTheme="minorEastAsia" w:cs="Arial"/>
        </w:rPr>
        <w:t xml:space="preserve">a </w:t>
      </w:r>
      <w:r w:rsidRPr="00647306">
        <w:rPr>
          <w:rFonts w:eastAsiaTheme="minorEastAsia" w:cs="Arial"/>
        </w:rPr>
        <w:t xml:space="preserve">l'avaluació objectiva i la millora contínua de la intervenció en matèria de rehabilitació als centres penitenciaris. </w:t>
      </w:r>
    </w:p>
    <w:p w:rsidR="006A4109" w:rsidRPr="00F02D52" w:rsidRDefault="006A4109" w:rsidP="00E930B2">
      <w:pPr>
        <w:rPr>
          <w:rFonts w:eastAsiaTheme="minorEastAsia" w:cs="Arial"/>
          <w:b/>
        </w:rPr>
      </w:pPr>
    </w:p>
    <w:p w:rsidR="006A4109" w:rsidRPr="00F02D52" w:rsidRDefault="006A4109" w:rsidP="0070401F">
      <w:pPr>
        <w:pStyle w:val="Ttol3"/>
      </w:pPr>
      <w:bookmarkStart w:id="253" w:name="_Toc463867768"/>
      <w:bookmarkStart w:id="254" w:name="_Toc464685655"/>
      <w:bookmarkStart w:id="255" w:name="_Toc465293386"/>
      <w:r w:rsidRPr="00F02D52">
        <w:t>El model de participació i convivència</w:t>
      </w:r>
      <w:bookmarkEnd w:id="253"/>
      <w:bookmarkEnd w:id="254"/>
      <w:bookmarkEnd w:id="255"/>
    </w:p>
    <w:p w:rsidR="006A4109" w:rsidRPr="00647306" w:rsidRDefault="006A4109" w:rsidP="00E930B2">
      <w:pPr>
        <w:rPr>
          <w:rFonts w:eastAsiaTheme="minorEastAsia" w:cs="Arial"/>
        </w:rPr>
      </w:pPr>
      <w:r w:rsidRPr="00647306">
        <w:rPr>
          <w:rFonts w:eastAsiaTheme="minorEastAsia" w:cs="Arial"/>
        </w:rPr>
        <w:t xml:space="preserve">Com s'ha vist a l'apartat anterior, amb la </w:t>
      </w:r>
      <w:r>
        <w:rPr>
          <w:rFonts w:eastAsiaTheme="minorEastAsia" w:cs="Arial"/>
        </w:rPr>
        <w:t>posada</w:t>
      </w:r>
      <w:r w:rsidRPr="00647306">
        <w:rPr>
          <w:rFonts w:eastAsiaTheme="minorEastAsia" w:cs="Arial"/>
        </w:rPr>
        <w:t xml:space="preserve"> en marxa dels nous centres i un nou concepte de classificació interior, els mòduls residencials esdevenen l'element fonamental de la vida quotidiana a la presó i de la intervenció ambiental. A partir de la </w:t>
      </w:r>
      <w:r>
        <w:rPr>
          <w:rFonts w:eastAsiaTheme="minorEastAsia" w:cs="Arial"/>
        </w:rPr>
        <w:t>posada</w:t>
      </w:r>
      <w:r w:rsidRPr="00647306">
        <w:rPr>
          <w:rFonts w:eastAsiaTheme="minorEastAsia" w:cs="Arial"/>
        </w:rPr>
        <w:t xml:space="preserve"> en funcionament dels centres Brians 2 (2007) i Lledoners (2008)</w:t>
      </w:r>
      <w:r>
        <w:rPr>
          <w:rFonts w:eastAsiaTheme="minorEastAsia" w:cs="Arial"/>
        </w:rPr>
        <w:t>,</w:t>
      </w:r>
      <w:r w:rsidRPr="00647306">
        <w:rPr>
          <w:rFonts w:eastAsiaTheme="minorEastAsia" w:cs="Arial"/>
        </w:rPr>
        <w:t xml:space="preserve"> es va definir un nou concepte en l'organització dels mòduls com a unitats de convivència: els mòduls de participació i convivència. Aquesta configuració, que persegueix la millora del clima social i una participació més activa dels interns en el funcionament de la unitat de vida, es va iniciar en un primer moment als mòduls 8 (drogodependències) i 7 (preparació per </w:t>
      </w:r>
      <w:r>
        <w:rPr>
          <w:rFonts w:eastAsiaTheme="minorEastAsia" w:cs="Arial"/>
        </w:rPr>
        <w:t xml:space="preserve">a </w:t>
      </w:r>
      <w:r w:rsidRPr="00647306">
        <w:rPr>
          <w:rFonts w:eastAsiaTheme="minorEastAsia" w:cs="Arial"/>
        </w:rPr>
        <w:t>la vida en llibertat) del CP Brians 2</w:t>
      </w:r>
      <w:r>
        <w:rPr>
          <w:rFonts w:eastAsiaTheme="minorEastAsia" w:cs="Arial"/>
        </w:rPr>
        <w:t>,</w:t>
      </w:r>
      <w:r w:rsidRPr="00647306">
        <w:rPr>
          <w:rFonts w:eastAsiaTheme="minorEastAsia" w:cs="Arial"/>
        </w:rPr>
        <w:t xml:space="preserve"> i als mòduls 6 i 4 (drogodependències i violència, respectivament) del CP Lledoners.  </w:t>
      </w:r>
    </w:p>
    <w:p w:rsidR="006A4109" w:rsidRPr="00647306" w:rsidRDefault="006A4109" w:rsidP="00E930B2">
      <w:pPr>
        <w:rPr>
          <w:rFonts w:eastAsiaTheme="minorEastAsia" w:cs="Arial"/>
        </w:rPr>
      </w:pPr>
      <w:r w:rsidRPr="00647306">
        <w:rPr>
          <w:rFonts w:eastAsiaTheme="minorEastAsia" w:cs="Arial"/>
        </w:rPr>
        <w:t>L'any 2012 es va dur a terme una avaluació del funcionament i resultats d'aquestes experiències (Camps i Torres, 2012). Aquest estudi va evidenciar els resultats positius d'aques</w:t>
      </w:r>
      <w:r>
        <w:rPr>
          <w:rFonts w:eastAsiaTheme="minorEastAsia" w:cs="Arial"/>
        </w:rPr>
        <w:t>t tipus d'intervenció ambiental</w:t>
      </w:r>
      <w:r w:rsidRPr="00647306">
        <w:rPr>
          <w:rFonts w:eastAsiaTheme="minorEastAsia" w:cs="Arial"/>
        </w:rPr>
        <w:t xml:space="preserve"> </w:t>
      </w:r>
      <w:r>
        <w:rPr>
          <w:rFonts w:eastAsiaTheme="minorEastAsia" w:cs="Arial"/>
        </w:rPr>
        <w:t>–</w:t>
      </w:r>
      <w:r w:rsidRPr="00647306">
        <w:rPr>
          <w:rFonts w:eastAsiaTheme="minorEastAsia" w:cs="Arial"/>
        </w:rPr>
        <w:t>especialment pel que fa al clima social al mòdul</w:t>
      </w:r>
      <w:r>
        <w:rPr>
          <w:rFonts w:eastAsiaTheme="minorEastAsia" w:cs="Arial"/>
        </w:rPr>
        <w:t>–</w:t>
      </w:r>
      <w:r w:rsidRPr="00647306">
        <w:rPr>
          <w:rFonts w:eastAsiaTheme="minorEastAsia" w:cs="Arial"/>
        </w:rPr>
        <w:t>, algunes de les seves limitacions en la seva aplicació inicial</w:t>
      </w:r>
      <w:r>
        <w:rPr>
          <w:rFonts w:eastAsiaTheme="minorEastAsia" w:cs="Arial"/>
        </w:rPr>
        <w:t>,</w:t>
      </w:r>
      <w:r w:rsidRPr="00647306">
        <w:rPr>
          <w:rFonts w:eastAsiaTheme="minorEastAsia" w:cs="Arial"/>
        </w:rPr>
        <w:t xml:space="preserve"> i va presentar algunes recomanacions de millora i la conveniència de generalitzar a la totalitat del centre el model de participació i convivència. </w:t>
      </w:r>
    </w:p>
    <w:p w:rsidR="006A4109" w:rsidRPr="00647306" w:rsidRDefault="006A4109" w:rsidP="00E930B2">
      <w:pPr>
        <w:rPr>
          <w:rFonts w:eastAsiaTheme="minorEastAsia" w:cs="Arial"/>
        </w:rPr>
      </w:pPr>
      <w:r w:rsidRPr="00647306">
        <w:rPr>
          <w:rFonts w:eastAsiaTheme="minorEastAsia" w:cs="Arial"/>
        </w:rPr>
        <w:t xml:space="preserve">A partir de l'experiència inicial i l'avaluació esmentada, es va establir el model de participació i convivència que </w:t>
      </w:r>
      <w:r>
        <w:rPr>
          <w:rFonts w:eastAsiaTheme="minorEastAsia" w:cs="Arial"/>
        </w:rPr>
        <w:t>està recollit en un document de la Subdirecció G</w:t>
      </w:r>
      <w:r w:rsidRPr="00647306">
        <w:rPr>
          <w:rFonts w:eastAsiaTheme="minorEastAsia" w:cs="Arial"/>
        </w:rPr>
        <w:t xml:space="preserve">eneral de Programes de Rehabilitació i Sanitat de 2013. En aquest document </w:t>
      </w:r>
      <w:r>
        <w:rPr>
          <w:rFonts w:eastAsiaTheme="minorEastAsia" w:cs="Arial"/>
        </w:rPr>
        <w:t>s’ass</w:t>
      </w:r>
      <w:r w:rsidRPr="00647306">
        <w:rPr>
          <w:rFonts w:eastAsiaTheme="minorEastAsia" w:cs="Arial"/>
        </w:rPr>
        <w:t xml:space="preserve">enyalen els elements fonamentals del model: les comissions d'interns, el programa d'acolliment i fórmules de gestió de la informació. El model </w:t>
      </w:r>
      <w:r>
        <w:rPr>
          <w:rFonts w:eastAsiaTheme="minorEastAsia" w:cs="Arial"/>
        </w:rPr>
        <w:t>preveu</w:t>
      </w:r>
      <w:r w:rsidRPr="00647306">
        <w:rPr>
          <w:rFonts w:eastAsiaTheme="minorEastAsia" w:cs="Arial"/>
        </w:rPr>
        <w:t xml:space="preserve"> també la generalització als centres penitenciaris segons l'estructura d'aquests i les possibilitats d'incorporar</w:t>
      </w:r>
      <w:r>
        <w:rPr>
          <w:rFonts w:eastAsiaTheme="minorEastAsia" w:cs="Arial"/>
        </w:rPr>
        <w:t>-hi</w:t>
      </w:r>
      <w:r w:rsidRPr="00647306">
        <w:rPr>
          <w:rFonts w:eastAsiaTheme="minorEastAsia" w:cs="Arial"/>
        </w:rPr>
        <w:t xml:space="preserve"> el model. </w:t>
      </w:r>
    </w:p>
    <w:p w:rsidR="006A4109" w:rsidRPr="00647306" w:rsidRDefault="006A4109" w:rsidP="00E930B2">
      <w:pPr>
        <w:rPr>
          <w:rFonts w:eastAsiaTheme="minorEastAsia" w:cs="Arial"/>
        </w:rPr>
      </w:pPr>
      <w:r w:rsidRPr="00647306">
        <w:rPr>
          <w:rFonts w:eastAsiaTheme="minorEastAsia" w:cs="Arial"/>
        </w:rPr>
        <w:t>És dona resposta</w:t>
      </w:r>
      <w:r>
        <w:rPr>
          <w:rFonts w:eastAsiaTheme="minorEastAsia" w:cs="Arial"/>
        </w:rPr>
        <w:t>,</w:t>
      </w:r>
      <w:r w:rsidRPr="00647306">
        <w:rPr>
          <w:rFonts w:eastAsiaTheme="minorEastAsia" w:cs="Arial"/>
        </w:rPr>
        <w:t xml:space="preserve"> així, de manera parcial ja que no s’ha desenvolupat, a les previsions normatives de l’art. 24 de la LOGP i l’art</w:t>
      </w:r>
      <w:r>
        <w:rPr>
          <w:rFonts w:eastAsiaTheme="minorEastAsia" w:cs="Arial"/>
        </w:rPr>
        <w:t>.</w:t>
      </w:r>
      <w:r w:rsidRPr="00647306">
        <w:rPr>
          <w:rFonts w:eastAsiaTheme="minorEastAsia" w:cs="Arial"/>
        </w:rPr>
        <w:t xml:space="preserve"> 55 del RP</w:t>
      </w:r>
      <w:r>
        <w:rPr>
          <w:rFonts w:eastAsiaTheme="minorEastAsia" w:cs="Arial"/>
        </w:rPr>
        <w:t>,</w:t>
      </w:r>
      <w:r w:rsidRPr="00647306">
        <w:rPr>
          <w:rFonts w:eastAsiaTheme="minorEastAsia" w:cs="Arial"/>
        </w:rPr>
        <w:t xml:space="preserve"> que consagren la necessitat d’establir sistemes de participació dels interns en l’organització i desplegament de les activitats i serveis en diversos àmbits de la vida penitenciària.</w:t>
      </w:r>
    </w:p>
    <w:p w:rsidR="006A4109" w:rsidRPr="00647306" w:rsidRDefault="006A4109" w:rsidP="00E930B2">
      <w:pPr>
        <w:rPr>
          <w:rFonts w:eastAsiaTheme="minorEastAsia" w:cs="Arial"/>
        </w:rPr>
      </w:pPr>
      <w:r w:rsidRPr="00647306">
        <w:rPr>
          <w:rFonts w:eastAsiaTheme="minorEastAsia" w:cs="Arial"/>
        </w:rPr>
        <w:lastRenderedPageBreak/>
        <w:t>L’any 2013</w:t>
      </w:r>
      <w:r>
        <w:rPr>
          <w:rFonts w:eastAsiaTheme="minorEastAsia" w:cs="Arial"/>
        </w:rPr>
        <w:t>,</w:t>
      </w:r>
      <w:r w:rsidRPr="00647306">
        <w:rPr>
          <w:rFonts w:eastAsiaTheme="minorEastAsia" w:cs="Arial"/>
        </w:rPr>
        <w:t xml:space="preserve"> el CP Lledoners, fruit de les experiències esmentades, </w:t>
      </w:r>
      <w:r>
        <w:rPr>
          <w:rFonts w:eastAsiaTheme="minorEastAsia" w:cs="Arial"/>
        </w:rPr>
        <w:t xml:space="preserve">va </w:t>
      </w:r>
      <w:r w:rsidRPr="00647306">
        <w:rPr>
          <w:rFonts w:eastAsiaTheme="minorEastAsia" w:cs="Arial"/>
        </w:rPr>
        <w:t>aprova</w:t>
      </w:r>
      <w:r>
        <w:rPr>
          <w:rFonts w:eastAsiaTheme="minorEastAsia" w:cs="Arial"/>
        </w:rPr>
        <w:t>r</w:t>
      </w:r>
      <w:r w:rsidRPr="00647306">
        <w:rPr>
          <w:rFonts w:eastAsiaTheme="minorEastAsia" w:cs="Arial"/>
        </w:rPr>
        <w:t xml:space="preserve"> i posa</w:t>
      </w:r>
      <w:r>
        <w:rPr>
          <w:rFonts w:eastAsiaTheme="minorEastAsia" w:cs="Arial"/>
        </w:rPr>
        <w:t>r</w:t>
      </w:r>
      <w:r w:rsidRPr="00647306">
        <w:rPr>
          <w:rFonts w:eastAsiaTheme="minorEastAsia" w:cs="Arial"/>
        </w:rPr>
        <w:t xml:space="preserve"> en marxa la Normativa d’organització i funcionament del </w:t>
      </w:r>
      <w:r>
        <w:rPr>
          <w:rFonts w:eastAsiaTheme="minorEastAsia" w:cs="Arial"/>
        </w:rPr>
        <w:t>m</w:t>
      </w:r>
      <w:r w:rsidRPr="00647306">
        <w:rPr>
          <w:rFonts w:eastAsiaTheme="minorEastAsia" w:cs="Arial"/>
        </w:rPr>
        <w:t>ode</w:t>
      </w:r>
      <w:r>
        <w:rPr>
          <w:rFonts w:eastAsiaTheme="minorEastAsia" w:cs="Arial"/>
        </w:rPr>
        <w:t>l de participació del CP Lledoners i va desenvolupar</w:t>
      </w:r>
      <w:r w:rsidRPr="00647306">
        <w:rPr>
          <w:rFonts w:eastAsiaTheme="minorEastAsia" w:cs="Arial"/>
        </w:rPr>
        <w:t xml:space="preserve"> el seu funcionament generalitzat a tots els mòduls de convivència com</w:t>
      </w:r>
      <w:r>
        <w:rPr>
          <w:rFonts w:eastAsiaTheme="minorEastAsia" w:cs="Arial"/>
        </w:rPr>
        <w:t xml:space="preserve"> a marca d’identitat del centre i va incorporar</w:t>
      </w:r>
      <w:r w:rsidRPr="00647306">
        <w:rPr>
          <w:rFonts w:eastAsiaTheme="minorEastAsia" w:cs="Arial"/>
        </w:rPr>
        <w:t xml:space="preserve"> estructures com el </w:t>
      </w:r>
      <w:r>
        <w:rPr>
          <w:rFonts w:eastAsiaTheme="minorEastAsia" w:cs="Arial"/>
        </w:rPr>
        <w:t>c</w:t>
      </w:r>
      <w:r w:rsidRPr="00647306">
        <w:rPr>
          <w:rFonts w:eastAsiaTheme="minorEastAsia" w:cs="Arial"/>
        </w:rPr>
        <w:t xml:space="preserve">onsell </w:t>
      </w:r>
      <w:r>
        <w:rPr>
          <w:rFonts w:eastAsiaTheme="minorEastAsia" w:cs="Arial"/>
        </w:rPr>
        <w:t>g</w:t>
      </w:r>
      <w:r w:rsidRPr="00647306">
        <w:rPr>
          <w:rFonts w:eastAsiaTheme="minorEastAsia" w:cs="Arial"/>
        </w:rPr>
        <w:t>eneral, el consell modular, les comissions, el</w:t>
      </w:r>
      <w:r>
        <w:rPr>
          <w:rFonts w:eastAsiaTheme="minorEastAsia" w:cs="Arial"/>
        </w:rPr>
        <w:t>s</w:t>
      </w:r>
      <w:r w:rsidRPr="00647306">
        <w:rPr>
          <w:rFonts w:eastAsiaTheme="minorEastAsia" w:cs="Arial"/>
        </w:rPr>
        <w:t xml:space="preserve"> promotors cívi</w:t>
      </w:r>
      <w:r>
        <w:rPr>
          <w:rFonts w:eastAsiaTheme="minorEastAsia" w:cs="Arial"/>
        </w:rPr>
        <w:t>c</w:t>
      </w:r>
      <w:r w:rsidRPr="00647306">
        <w:rPr>
          <w:rFonts w:eastAsiaTheme="minorEastAsia" w:cs="Arial"/>
        </w:rPr>
        <w:t>s, l’acollida, etc.</w:t>
      </w:r>
    </w:p>
    <w:p w:rsidR="006A4109" w:rsidRPr="00647306" w:rsidRDefault="006A4109" w:rsidP="00E930B2">
      <w:pPr>
        <w:rPr>
          <w:rFonts w:eastAsiaTheme="minorEastAsia" w:cs="Arial"/>
        </w:rPr>
      </w:pPr>
      <w:r w:rsidRPr="00647306">
        <w:rPr>
          <w:rFonts w:eastAsiaTheme="minorEastAsia" w:cs="Arial"/>
        </w:rPr>
        <w:t>L’exposició de motius d’aquesta Normativa planteja la hipòtesi</w:t>
      </w:r>
      <w:r w:rsidRPr="00ED3265">
        <w:rPr>
          <w:rFonts w:eastAsiaTheme="minorEastAsia" w:cs="Arial"/>
        </w:rPr>
        <w:t xml:space="preserve"> </w:t>
      </w:r>
      <w:r w:rsidRPr="00647306">
        <w:rPr>
          <w:rFonts w:eastAsiaTheme="minorEastAsia" w:cs="Arial"/>
        </w:rPr>
        <w:t>següent:</w:t>
      </w:r>
    </w:p>
    <w:p w:rsidR="006A4109" w:rsidRPr="00647306" w:rsidRDefault="006A4109" w:rsidP="00E930B2">
      <w:pPr>
        <w:rPr>
          <w:rFonts w:eastAsiaTheme="minorEastAsia" w:cs="Arial"/>
        </w:rPr>
      </w:pPr>
      <w:r w:rsidRPr="00647306">
        <w:rPr>
          <w:rFonts w:eastAsiaTheme="minorEastAsia" w:cs="Arial"/>
        </w:rPr>
        <w:t xml:space="preserve">“Partim del principi que és possible superar l’endèmic encreuament de subcultures que tradicionalment han conviscut a les presons, normalment antagòniques i alhora còmplices, </w:t>
      </w:r>
      <w:r>
        <w:rPr>
          <w:rFonts w:eastAsiaTheme="minorEastAsia" w:cs="Arial"/>
        </w:rPr>
        <w:t>en</w:t>
      </w:r>
      <w:r w:rsidRPr="00647306">
        <w:rPr>
          <w:rFonts w:eastAsiaTheme="minorEastAsia" w:cs="Arial"/>
        </w:rPr>
        <w:t xml:space="preserve"> considerar que la immensa majoria “transparent” de la població interna comparteix i té integra</w:t>
      </w:r>
      <w:r>
        <w:rPr>
          <w:rFonts w:eastAsiaTheme="minorEastAsia" w:cs="Arial"/>
        </w:rPr>
        <w:t>ts</w:t>
      </w:r>
      <w:r w:rsidRPr="00647306">
        <w:rPr>
          <w:rFonts w:eastAsiaTheme="minorEastAsia" w:cs="Arial"/>
        </w:rPr>
        <w:t xml:space="preserve"> uns patrons de conducta i una escala de valors prosocials, malgrat la diversitat cultural i/o el tipus d’il·lícit penal que hagin protagonitzat.</w:t>
      </w:r>
    </w:p>
    <w:p w:rsidR="006A4109" w:rsidRPr="00647306" w:rsidRDefault="006A4109" w:rsidP="00E930B2">
      <w:pPr>
        <w:rPr>
          <w:rFonts w:eastAsiaTheme="minorEastAsia" w:cs="Arial"/>
        </w:rPr>
      </w:pPr>
      <w:r w:rsidRPr="00647306">
        <w:rPr>
          <w:rFonts w:eastAsiaTheme="minorEastAsia" w:cs="Arial"/>
        </w:rPr>
        <w:t>Aqu</w:t>
      </w:r>
      <w:r>
        <w:rPr>
          <w:rFonts w:eastAsiaTheme="minorEastAsia" w:cs="Arial"/>
        </w:rPr>
        <w:t xml:space="preserve">esta majoria </w:t>
      </w:r>
      <w:r w:rsidRPr="00ED3265">
        <w:rPr>
          <w:rFonts w:eastAsiaTheme="minorEastAsia" w:cs="Arial"/>
          <w:i/>
        </w:rPr>
        <w:t>invisible</w:t>
      </w:r>
      <w:r w:rsidRPr="00647306">
        <w:rPr>
          <w:rFonts w:eastAsiaTheme="minorEastAsia" w:cs="Arial"/>
        </w:rPr>
        <w:t>, que desitja un compliment de pena tranquil i gaudir del màxim d’oportunitats, és la primera perjudicada pel domini s</w:t>
      </w:r>
      <w:r>
        <w:rPr>
          <w:rFonts w:eastAsiaTheme="minorEastAsia" w:cs="Arial"/>
        </w:rPr>
        <w:t>ubcultural carcerari i el conseg</w:t>
      </w:r>
      <w:r w:rsidRPr="00647306">
        <w:rPr>
          <w:rFonts w:eastAsiaTheme="minorEastAsia" w:cs="Arial"/>
        </w:rPr>
        <w:t>üent predomini institucional per restablir l’ordre ambiental. Per tant, si donem visibilitat i protagonisme a aquesta majoria d’interns, dins del marc legal, poden convergir i contribuir positivament en la millora de la cultura ambiental i organitzativa del centre.</w:t>
      </w:r>
    </w:p>
    <w:p w:rsidR="006A4109" w:rsidRPr="00647306" w:rsidRDefault="006A4109" w:rsidP="00E930B2">
      <w:pPr>
        <w:rPr>
          <w:rFonts w:eastAsiaTheme="minorEastAsia" w:cs="Arial"/>
        </w:rPr>
      </w:pPr>
      <w:r w:rsidRPr="00647306">
        <w:rPr>
          <w:rFonts w:eastAsiaTheme="minorEastAsia" w:cs="Arial"/>
        </w:rPr>
        <w:t>Avançar en aquest camí ha de permetre identificar, excloure i modelar, amb el consens de tothom, la minoria de població sorollosa, sobrerepresentada, que importuna una dinàmica ambiental positiva de la major</w:t>
      </w:r>
      <w:r>
        <w:rPr>
          <w:rFonts w:eastAsiaTheme="minorEastAsia" w:cs="Arial"/>
        </w:rPr>
        <w:t>ia d’interns, i sobre la qual l’</w:t>
      </w:r>
      <w:r w:rsidRPr="00647306">
        <w:rPr>
          <w:rFonts w:eastAsiaTheme="minorEastAsia" w:cs="Arial"/>
        </w:rPr>
        <w:t>organització ha d’esmerçar nombrosos esforços i atenció.”</w:t>
      </w:r>
    </w:p>
    <w:p w:rsidR="006A4109" w:rsidRPr="00647306" w:rsidRDefault="006A4109" w:rsidP="00E930B2">
      <w:pPr>
        <w:rPr>
          <w:rFonts w:eastAsiaTheme="minorEastAsia" w:cs="Arial"/>
        </w:rPr>
      </w:pPr>
    </w:p>
    <w:p w:rsidR="006A4109" w:rsidRPr="00F02D52" w:rsidRDefault="006A4109" w:rsidP="0070401F">
      <w:pPr>
        <w:pStyle w:val="Ttol3"/>
      </w:pPr>
      <w:bookmarkStart w:id="256" w:name="_Toc463867769"/>
      <w:bookmarkStart w:id="257" w:name="_Toc464685656"/>
      <w:bookmarkStart w:id="258" w:name="_Toc465293387"/>
      <w:r w:rsidRPr="00F02D52">
        <w:t xml:space="preserve">Educació no </w:t>
      </w:r>
      <w:r w:rsidRPr="00EB1B4D">
        <w:t>formal</w:t>
      </w:r>
      <w:bookmarkEnd w:id="256"/>
      <w:bookmarkEnd w:id="257"/>
      <w:bookmarkEnd w:id="258"/>
    </w:p>
    <w:p w:rsidR="006A4109" w:rsidRPr="00647306" w:rsidRDefault="006A4109" w:rsidP="00E930B2">
      <w:pPr>
        <w:rPr>
          <w:rFonts w:eastAsiaTheme="minorEastAsia" w:cs="Arial"/>
          <w:color w:val="252525"/>
          <w:shd w:val="clear" w:color="auto" w:fill="FFFFFF"/>
        </w:rPr>
      </w:pPr>
      <w:r w:rsidRPr="00647306">
        <w:rPr>
          <w:rFonts w:eastAsiaTheme="minorEastAsia" w:cs="Arial"/>
          <w:color w:val="252525"/>
          <w:shd w:val="clear" w:color="auto" w:fill="FFFFFF"/>
        </w:rPr>
        <w:t>Entenem l'</w:t>
      </w:r>
      <w:r w:rsidRPr="00647306">
        <w:rPr>
          <w:rFonts w:eastAsiaTheme="minorEastAsia" w:cs="Arial"/>
          <w:bCs/>
          <w:color w:val="252525"/>
          <w:shd w:val="clear" w:color="auto" w:fill="FFFFFF"/>
        </w:rPr>
        <w:t>educació no formal</w:t>
      </w:r>
      <w:r>
        <w:rPr>
          <w:rFonts w:eastAsiaTheme="minorEastAsia" w:cs="Arial"/>
          <w:color w:val="252525"/>
          <w:shd w:val="clear" w:color="auto" w:fill="FFFFFF"/>
        </w:rPr>
        <w:t xml:space="preserve"> com e</w:t>
      </w:r>
      <w:r w:rsidRPr="00647306">
        <w:rPr>
          <w:rFonts w:eastAsiaTheme="minorEastAsia" w:cs="Arial"/>
          <w:color w:val="252525"/>
          <w:shd w:val="clear" w:color="auto" w:fill="FFFFFF"/>
        </w:rPr>
        <w:t xml:space="preserve">l conjunt de mitjans educatius amb objectius definits que no formen part del centre educatiu o de </w:t>
      </w:r>
      <w:r>
        <w:rPr>
          <w:rFonts w:eastAsiaTheme="minorEastAsia" w:cs="Arial"/>
          <w:color w:val="252525"/>
          <w:shd w:val="clear" w:color="auto" w:fill="FFFFFF"/>
        </w:rPr>
        <w:t xml:space="preserve">la </w:t>
      </w:r>
      <w:r w:rsidRPr="00647306">
        <w:rPr>
          <w:rFonts w:eastAsiaTheme="minorEastAsia" w:cs="Arial"/>
          <w:color w:val="252525"/>
          <w:shd w:val="clear" w:color="auto" w:fill="FFFFFF"/>
        </w:rPr>
        <w:t>formació reglada. Les educacions no formals són institucions educatives que es donen fora de l'àmbit escolar. És una educació intencional, metòdica. Es dóna en una gran varietat d'espais i els seus caràct</w:t>
      </w:r>
      <w:r>
        <w:rPr>
          <w:rFonts w:eastAsiaTheme="minorEastAsia" w:cs="Arial"/>
          <w:color w:val="252525"/>
          <w:shd w:val="clear" w:color="auto" w:fill="FFFFFF"/>
        </w:rPr>
        <w:t>ers són socioculturals i lúdics</w:t>
      </w:r>
      <w:r w:rsidRPr="00647306">
        <w:rPr>
          <w:rFonts w:eastAsiaTheme="minorEastAsia" w:cs="Arial"/>
          <w:color w:val="252525"/>
          <w:shd w:val="clear" w:color="auto" w:fill="FFFFFF"/>
        </w:rPr>
        <w:t xml:space="preserve"> i també socioassistencials.</w:t>
      </w:r>
    </w:p>
    <w:p w:rsidR="006A4109" w:rsidRPr="00647306" w:rsidRDefault="006A4109" w:rsidP="00E930B2">
      <w:pPr>
        <w:rPr>
          <w:rFonts w:eastAsiaTheme="minorEastAsia" w:cs="Arial"/>
          <w:color w:val="252525"/>
          <w:lang w:eastAsia="ca-ES"/>
        </w:rPr>
      </w:pPr>
      <w:r w:rsidRPr="00647306">
        <w:rPr>
          <w:rFonts w:eastAsiaTheme="minorEastAsia" w:cs="Arial"/>
          <w:color w:val="252525"/>
          <w:lang w:eastAsia="ca-ES"/>
        </w:rPr>
        <w:t>Els seus objectius</w:t>
      </w:r>
      <w:r>
        <w:rPr>
          <w:rFonts w:eastAsiaTheme="minorEastAsia" w:cs="Arial"/>
          <w:color w:val="252525"/>
          <w:lang w:eastAsia="ca-ES"/>
        </w:rPr>
        <w:t>,</w:t>
      </w:r>
      <w:r w:rsidRPr="00647306">
        <w:rPr>
          <w:rFonts w:eastAsiaTheme="minorEastAsia" w:cs="Arial"/>
          <w:color w:val="252525"/>
          <w:lang w:eastAsia="ca-ES"/>
        </w:rPr>
        <w:t xml:space="preserve"> en trets generals</w:t>
      </w:r>
      <w:r>
        <w:rPr>
          <w:rFonts w:eastAsiaTheme="minorEastAsia" w:cs="Arial"/>
          <w:color w:val="252525"/>
          <w:lang w:eastAsia="ca-ES"/>
        </w:rPr>
        <w:t>,</w:t>
      </w:r>
      <w:r w:rsidRPr="00647306">
        <w:rPr>
          <w:rFonts w:eastAsiaTheme="minorEastAsia" w:cs="Arial"/>
          <w:color w:val="252525"/>
          <w:lang w:eastAsia="ca-ES"/>
        </w:rPr>
        <w:t xml:space="preserve"> són, entre </w:t>
      </w:r>
      <w:r>
        <w:rPr>
          <w:rFonts w:eastAsiaTheme="minorEastAsia" w:cs="Arial"/>
          <w:color w:val="252525"/>
          <w:lang w:eastAsia="ca-ES"/>
        </w:rPr>
        <w:t>d’</w:t>
      </w:r>
      <w:r w:rsidRPr="00647306">
        <w:rPr>
          <w:rFonts w:eastAsiaTheme="minorEastAsia" w:cs="Arial"/>
          <w:color w:val="252525"/>
          <w:lang w:eastAsia="ca-ES"/>
        </w:rPr>
        <w:t xml:space="preserve">altres: </w:t>
      </w:r>
    </w:p>
    <w:p w:rsidR="006A4109" w:rsidRPr="00647306" w:rsidRDefault="006A4109" w:rsidP="00E930B2">
      <w:pPr>
        <w:rPr>
          <w:rFonts w:eastAsiaTheme="minorEastAsia" w:cs="Arial"/>
          <w:color w:val="252525"/>
          <w:lang w:eastAsia="ca-ES"/>
        </w:rPr>
      </w:pPr>
      <w:r w:rsidRPr="00647306">
        <w:rPr>
          <w:rFonts w:eastAsiaTheme="minorEastAsia" w:cs="Arial"/>
          <w:color w:val="252525"/>
          <w:lang w:eastAsia="ca-ES"/>
        </w:rPr>
        <w:t>Permetre el coneixement de l'entorn a partir del treball d'aspectes cívics.</w:t>
      </w:r>
    </w:p>
    <w:p w:rsidR="006A4109" w:rsidRPr="00647306" w:rsidRDefault="006A4109" w:rsidP="00E930B2">
      <w:pPr>
        <w:rPr>
          <w:rFonts w:eastAsiaTheme="minorEastAsia" w:cs="Arial"/>
          <w:color w:val="252525"/>
          <w:lang w:eastAsia="ca-ES"/>
        </w:rPr>
      </w:pPr>
      <w:r w:rsidRPr="00647306">
        <w:rPr>
          <w:rFonts w:eastAsiaTheme="minorEastAsia" w:cs="Arial"/>
          <w:color w:val="252525"/>
          <w:lang w:eastAsia="ca-ES"/>
        </w:rPr>
        <w:t xml:space="preserve">Oferir la possibilitat d’aprendre amb altres persones de característiques diferents </w:t>
      </w:r>
      <w:r>
        <w:rPr>
          <w:rFonts w:eastAsiaTheme="minorEastAsia" w:cs="Arial"/>
          <w:color w:val="252525"/>
          <w:lang w:eastAsia="ca-ES"/>
        </w:rPr>
        <w:t>pel que fa a</w:t>
      </w:r>
      <w:r w:rsidRPr="00647306">
        <w:rPr>
          <w:rFonts w:eastAsiaTheme="minorEastAsia" w:cs="Arial"/>
          <w:color w:val="252525"/>
          <w:lang w:eastAsia="ca-ES"/>
        </w:rPr>
        <w:t xml:space="preserve"> cultura, situació familiar, procedència, etc.</w:t>
      </w:r>
    </w:p>
    <w:p w:rsidR="006A4109" w:rsidRPr="00647306" w:rsidRDefault="006A4109" w:rsidP="00E930B2">
      <w:pPr>
        <w:rPr>
          <w:rFonts w:eastAsiaTheme="minorEastAsia" w:cs="Arial"/>
          <w:color w:val="252525"/>
          <w:lang w:eastAsia="ca-ES"/>
        </w:rPr>
      </w:pPr>
      <w:r w:rsidRPr="00647306">
        <w:rPr>
          <w:rFonts w:eastAsiaTheme="minorEastAsia" w:cs="Arial"/>
          <w:color w:val="252525"/>
          <w:lang w:eastAsia="ca-ES"/>
        </w:rPr>
        <w:t>Desenvolupar la convivència, el resp</w:t>
      </w:r>
      <w:r>
        <w:rPr>
          <w:rFonts w:eastAsiaTheme="minorEastAsia" w:cs="Arial"/>
          <w:color w:val="252525"/>
          <w:lang w:eastAsia="ca-ES"/>
        </w:rPr>
        <w:t>ecte i la tolerància de cadascú</w:t>
      </w:r>
      <w:r w:rsidRPr="00647306">
        <w:rPr>
          <w:rFonts w:eastAsiaTheme="minorEastAsia" w:cs="Arial"/>
          <w:color w:val="252525"/>
          <w:lang w:eastAsia="ca-ES"/>
        </w:rPr>
        <w:t xml:space="preserve"> a partir de la relació amb altres membres del grup.</w:t>
      </w:r>
    </w:p>
    <w:p w:rsidR="006A4109" w:rsidRPr="00647306" w:rsidRDefault="006A4109" w:rsidP="00E930B2">
      <w:pPr>
        <w:rPr>
          <w:rFonts w:eastAsiaTheme="minorEastAsia" w:cs="Arial"/>
        </w:rPr>
      </w:pPr>
    </w:p>
    <w:p w:rsidR="006A4109" w:rsidRPr="00647306" w:rsidRDefault="006A4109" w:rsidP="00E930B2">
      <w:pPr>
        <w:rPr>
          <w:rFonts w:eastAsiaTheme="minorEastAsia" w:cs="Arial"/>
        </w:rPr>
      </w:pPr>
      <w:r w:rsidRPr="00647306">
        <w:rPr>
          <w:rFonts w:eastAsiaTheme="minorEastAsia" w:cs="Arial"/>
        </w:rPr>
        <w:t>Inicialment</w:t>
      </w:r>
      <w:r>
        <w:rPr>
          <w:rFonts w:eastAsiaTheme="minorEastAsia" w:cs="Arial"/>
        </w:rPr>
        <w:t>,</w:t>
      </w:r>
      <w:r w:rsidRPr="00647306">
        <w:rPr>
          <w:rFonts w:eastAsiaTheme="minorEastAsia" w:cs="Arial"/>
        </w:rPr>
        <w:t xml:space="preserve"> el Departament de Justícia va englobar aquesta àrea dins del Servei de Reha</w:t>
      </w:r>
      <w:r>
        <w:rPr>
          <w:rFonts w:eastAsiaTheme="minorEastAsia" w:cs="Arial"/>
        </w:rPr>
        <w:t>bilitació amb la creació de la Secció d’Educació, C</w:t>
      </w:r>
      <w:r w:rsidRPr="00647306">
        <w:rPr>
          <w:rFonts w:eastAsiaTheme="minorEastAsia" w:cs="Arial"/>
        </w:rPr>
        <w:t>ultura i esports. L’any 2010, per donar resposta als canvis organitzatius i estructurals del Departament de Justícia</w:t>
      </w:r>
      <w:r>
        <w:rPr>
          <w:rFonts w:eastAsiaTheme="minorEastAsia" w:cs="Arial"/>
        </w:rPr>
        <w:t>, la S</w:t>
      </w:r>
      <w:r w:rsidRPr="00647306">
        <w:rPr>
          <w:rFonts w:eastAsiaTheme="minorEastAsia" w:cs="Arial"/>
        </w:rPr>
        <w:t>ecció es va convert</w:t>
      </w:r>
      <w:r>
        <w:rPr>
          <w:rFonts w:eastAsiaTheme="minorEastAsia" w:cs="Arial"/>
        </w:rPr>
        <w:t>ir en la Unitat de Programes d’Intervenció Generalista i va mantenir</w:t>
      </w:r>
      <w:r w:rsidRPr="00647306">
        <w:rPr>
          <w:rFonts w:eastAsiaTheme="minorEastAsia" w:cs="Arial"/>
        </w:rPr>
        <w:t xml:space="preserve"> les mateixes funcions.</w:t>
      </w:r>
    </w:p>
    <w:p w:rsidR="006A4109" w:rsidRPr="00647306" w:rsidRDefault="006A4109" w:rsidP="00E930B2">
      <w:pPr>
        <w:rPr>
          <w:rFonts w:eastAsiaTheme="minorEastAsia" w:cs="Arial"/>
        </w:rPr>
      </w:pPr>
      <w:r>
        <w:rPr>
          <w:rFonts w:eastAsiaTheme="minorEastAsia" w:cs="Arial"/>
        </w:rPr>
        <w:t>En l’àmbit de l’</w:t>
      </w:r>
      <w:r w:rsidRPr="00647306">
        <w:rPr>
          <w:rFonts w:eastAsiaTheme="minorEastAsia" w:cs="Arial"/>
        </w:rPr>
        <w:t>educació no formal</w:t>
      </w:r>
      <w:r>
        <w:rPr>
          <w:rFonts w:eastAsiaTheme="minorEastAsia" w:cs="Arial"/>
        </w:rPr>
        <w:t>,</w:t>
      </w:r>
      <w:r w:rsidRPr="00647306">
        <w:rPr>
          <w:rFonts w:eastAsiaTheme="minorEastAsia" w:cs="Arial"/>
        </w:rPr>
        <w:t xml:space="preserve"> hi participen </w:t>
      </w:r>
      <w:r>
        <w:rPr>
          <w:rFonts w:eastAsiaTheme="minorEastAsia" w:cs="Arial"/>
        </w:rPr>
        <w:t>quatre</w:t>
      </w:r>
      <w:r w:rsidRPr="00647306">
        <w:rPr>
          <w:rFonts w:eastAsiaTheme="minorEastAsia" w:cs="Arial"/>
        </w:rPr>
        <w:t xml:space="preserve"> col·lectius professionals diferents: educadors socials, monitors d’art, tècnics esportius i bibliot</w:t>
      </w:r>
      <w:r>
        <w:rPr>
          <w:rFonts w:eastAsiaTheme="minorEastAsia" w:cs="Arial"/>
        </w:rPr>
        <w:t>ecaris, que s’han anat incorporant a l’</w:t>
      </w:r>
      <w:r w:rsidRPr="00647306">
        <w:rPr>
          <w:rFonts w:eastAsiaTheme="minorEastAsia" w:cs="Arial"/>
        </w:rPr>
        <w:t>estructura amb el pas del temps.</w:t>
      </w:r>
    </w:p>
    <w:p w:rsidR="006A4109" w:rsidRPr="00647306" w:rsidRDefault="006A4109" w:rsidP="00E930B2">
      <w:pPr>
        <w:rPr>
          <w:rFonts w:eastAsiaTheme="minorEastAsia" w:cs="Arial"/>
        </w:rPr>
      </w:pPr>
      <w:r>
        <w:rPr>
          <w:rFonts w:eastAsiaTheme="minorEastAsia" w:cs="Arial"/>
        </w:rPr>
        <w:t>A mitjan</w:t>
      </w:r>
      <w:r w:rsidRPr="00647306">
        <w:rPr>
          <w:rFonts w:eastAsiaTheme="minorEastAsia" w:cs="Arial"/>
        </w:rPr>
        <w:t xml:space="preserve"> anys 80 es van incorporar a centres penitenciaris els primers educadors. Encara no existien ni els estudis universitaris ni el col·legi professional. Els educadors</w:t>
      </w:r>
      <w:r>
        <w:rPr>
          <w:rFonts w:eastAsiaTheme="minorEastAsia" w:cs="Arial"/>
        </w:rPr>
        <w:t>,</w:t>
      </w:r>
      <w:r w:rsidRPr="00647306">
        <w:rPr>
          <w:rFonts w:eastAsiaTheme="minorEastAsia" w:cs="Arial"/>
        </w:rPr>
        <w:t xml:space="preserve"> ini</w:t>
      </w:r>
      <w:r>
        <w:rPr>
          <w:rFonts w:eastAsiaTheme="minorEastAsia" w:cs="Arial"/>
        </w:rPr>
        <w:t xml:space="preserve">cialment, </w:t>
      </w:r>
      <w:r w:rsidRPr="00647306">
        <w:rPr>
          <w:rFonts w:eastAsiaTheme="minorEastAsia" w:cs="Arial"/>
        </w:rPr>
        <w:t xml:space="preserve">s’encarregaven també de les activitats artístiques i esportives. Fins i tot, les primeres activitats i formacions artístiques eren portades a terme per voluntaris i les activitats </w:t>
      </w:r>
      <w:r w:rsidRPr="00647306">
        <w:rPr>
          <w:rFonts w:eastAsiaTheme="minorEastAsia" w:cs="Arial"/>
        </w:rPr>
        <w:lastRenderedPageBreak/>
        <w:t xml:space="preserve">esportives es limitaven a poc més que portar una pilota al pati. Cal dir que les activitats que es realitzaven tenien com a objectiu l’ocupació del temps de lleure. Actualment les activitats estan molt més estructurades i cerquen altres objectius a banda de l’ocupació del lleure.  </w:t>
      </w:r>
    </w:p>
    <w:p w:rsidR="006A4109" w:rsidRPr="00647306" w:rsidRDefault="006A4109" w:rsidP="00E930B2">
      <w:pPr>
        <w:rPr>
          <w:rFonts w:eastAsiaTheme="minorEastAsia" w:cs="Arial"/>
        </w:rPr>
      </w:pPr>
      <w:r w:rsidRPr="00647306">
        <w:rPr>
          <w:rFonts w:eastAsiaTheme="minorEastAsia" w:cs="Arial"/>
        </w:rPr>
        <w:t>Un dels primers programes de rehabilit</w:t>
      </w:r>
      <w:r>
        <w:rPr>
          <w:rFonts w:eastAsiaTheme="minorEastAsia" w:cs="Arial"/>
        </w:rPr>
        <w:t>ació dins l’</w:t>
      </w:r>
      <w:r w:rsidRPr="00647306">
        <w:rPr>
          <w:rFonts w:eastAsiaTheme="minorEastAsia" w:cs="Arial"/>
        </w:rPr>
        <w:t xml:space="preserve">educació no formal va ser el  Programa </w:t>
      </w:r>
      <w:r>
        <w:rPr>
          <w:rFonts w:eastAsiaTheme="minorEastAsia" w:cs="Arial"/>
        </w:rPr>
        <w:t>d’</w:t>
      </w:r>
      <w:r w:rsidRPr="00647306">
        <w:rPr>
          <w:rFonts w:eastAsiaTheme="minorEastAsia" w:cs="Arial"/>
        </w:rPr>
        <w:t>animació sociocultural, que va donar sentit a la feina dels educadors i q</w:t>
      </w:r>
      <w:r>
        <w:rPr>
          <w:rFonts w:eastAsiaTheme="minorEastAsia" w:cs="Arial"/>
        </w:rPr>
        <w:t>ue va ser la primera fórmula d’</w:t>
      </w:r>
      <w:r w:rsidRPr="00647306">
        <w:rPr>
          <w:rFonts w:eastAsiaTheme="minorEastAsia" w:cs="Arial"/>
        </w:rPr>
        <w:t>organització de la seva tasca. Va ser</w:t>
      </w:r>
      <w:r>
        <w:rPr>
          <w:rFonts w:eastAsiaTheme="minorEastAsia" w:cs="Arial"/>
        </w:rPr>
        <w:t xml:space="preserve"> el moment de la inclusió de l’e</w:t>
      </w:r>
      <w:r w:rsidRPr="00647306">
        <w:rPr>
          <w:rFonts w:eastAsiaTheme="minorEastAsia" w:cs="Arial"/>
        </w:rPr>
        <w:t xml:space="preserve">ducador als equips multidisciplinaris i de la figura de l’educador com a tutor i referent de  </w:t>
      </w:r>
      <w:r>
        <w:rPr>
          <w:rFonts w:eastAsiaTheme="minorEastAsia" w:cs="Arial"/>
        </w:rPr>
        <w:t>l’</w:t>
      </w:r>
      <w:r w:rsidRPr="00647306">
        <w:rPr>
          <w:rFonts w:eastAsiaTheme="minorEastAsia" w:cs="Arial"/>
        </w:rPr>
        <w:t>intern.</w:t>
      </w:r>
    </w:p>
    <w:p w:rsidR="006A4109" w:rsidRPr="00647306" w:rsidRDefault="006A4109" w:rsidP="00E930B2">
      <w:pPr>
        <w:rPr>
          <w:rFonts w:eastAsia="Times New Roman" w:cs="Arial"/>
          <w:lang w:eastAsia="es-ES"/>
        </w:rPr>
      </w:pPr>
      <w:r w:rsidRPr="00647306">
        <w:rPr>
          <w:rFonts w:eastAsia="Times New Roman" w:cs="Arial"/>
          <w:lang w:eastAsia="es-ES"/>
        </w:rPr>
        <w:t xml:space="preserve">L’any 2003 va entrar en </w:t>
      </w:r>
      <w:r>
        <w:rPr>
          <w:rFonts w:eastAsia="Times New Roman" w:cs="Arial"/>
          <w:lang w:eastAsia="es-ES"/>
        </w:rPr>
        <w:t>vigor el PMES, Programa marc d’educació s</w:t>
      </w:r>
      <w:r w:rsidRPr="00647306">
        <w:rPr>
          <w:rFonts w:eastAsia="Times New Roman" w:cs="Arial"/>
          <w:lang w:eastAsia="es-ES"/>
        </w:rPr>
        <w:t xml:space="preserve">ocial a centres penitenciaris. L’educació social s’ha anat consolidant com a àmbit educatiu d’intervenció als centres penitenciaris i s’ha constituït en una important resposta a les necessitats educatives que es presenten en aquest medi social. </w:t>
      </w:r>
    </w:p>
    <w:p w:rsidR="006A4109" w:rsidRPr="00647306" w:rsidRDefault="006A4109" w:rsidP="00E930B2">
      <w:pPr>
        <w:rPr>
          <w:rFonts w:cs="Arial"/>
          <w:bCs/>
        </w:rPr>
      </w:pPr>
      <w:r w:rsidRPr="00647306">
        <w:rPr>
          <w:rFonts w:eastAsiaTheme="minorEastAsia" w:cs="Arial"/>
        </w:rPr>
        <w:t>Les primeres exposicions a nivell artístic es realitzaven dins els centres penitenciaris. Un dels primers concursos organitzats va ser el</w:t>
      </w:r>
      <w:r w:rsidRPr="00647306">
        <w:rPr>
          <w:rFonts w:eastAsiaTheme="minorEastAsia" w:cs="Arial"/>
          <w:bCs/>
        </w:rPr>
        <w:t xml:space="preserve"> premi Marraco de ceràmica, pintura i escultura dels  centres penitenciaris de Catalunya</w:t>
      </w:r>
      <w:r>
        <w:rPr>
          <w:rFonts w:eastAsiaTheme="minorEastAsia" w:cs="Arial"/>
        </w:rPr>
        <w:t xml:space="preserve">  a Lleida,  l’</w:t>
      </w:r>
      <w:r w:rsidRPr="00647306">
        <w:rPr>
          <w:rFonts w:eastAsiaTheme="minorEastAsia" w:cs="Arial"/>
        </w:rPr>
        <w:t xml:space="preserve">any 1987. </w:t>
      </w:r>
    </w:p>
    <w:p w:rsidR="006A4109" w:rsidRPr="00647306" w:rsidRDefault="006A4109" w:rsidP="00E930B2">
      <w:pPr>
        <w:rPr>
          <w:rFonts w:eastAsia="Times New Roman" w:cs="Arial"/>
          <w:bCs/>
          <w:lang w:eastAsia="zh-MO"/>
        </w:rPr>
      </w:pPr>
      <w:r w:rsidRPr="00647306">
        <w:rPr>
          <w:rFonts w:eastAsia="Times New Roman" w:cs="Arial"/>
          <w:bCs/>
          <w:lang w:eastAsia="zh-MO"/>
        </w:rPr>
        <w:t>Pel que fa a les arts, l’any 1985 van posar-se en marxa els tallers d’arts plàstiques als centres penitenciaris, que han anat creixent i mostrant la seva capa</w:t>
      </w:r>
      <w:r>
        <w:rPr>
          <w:rFonts w:eastAsia="Times New Roman" w:cs="Arial"/>
          <w:bCs/>
          <w:lang w:eastAsia="zh-MO"/>
        </w:rPr>
        <w:t>citat de treball i de superació. E</w:t>
      </w:r>
      <w:r w:rsidRPr="00647306">
        <w:rPr>
          <w:rFonts w:eastAsia="Times New Roman" w:cs="Arial"/>
          <w:bCs/>
          <w:lang w:eastAsia="zh-MO"/>
        </w:rPr>
        <w:t>nguany cal reconèixer la qualitat d’aquest treball i acollir les noves especialitats artístiques nascudes als últims temps.</w:t>
      </w:r>
    </w:p>
    <w:p w:rsidR="006A4109" w:rsidRPr="00647306" w:rsidRDefault="006A4109" w:rsidP="00E930B2">
      <w:pPr>
        <w:rPr>
          <w:rFonts w:eastAsia="Times New Roman" w:cs="Arial"/>
          <w:bCs/>
          <w:lang w:eastAsia="zh-MO"/>
        </w:rPr>
      </w:pPr>
      <w:r w:rsidRPr="00647306">
        <w:rPr>
          <w:rFonts w:eastAsia="Times New Roman" w:cs="Arial"/>
          <w:bCs/>
          <w:lang w:eastAsia="zh-MO"/>
        </w:rPr>
        <w:t>El programa marc de les arts visuals, plàstiques i escèniques, creat al 2005, respon a una necessitat de reformulació</w:t>
      </w:r>
      <w:r>
        <w:rPr>
          <w:rFonts w:eastAsia="Times New Roman" w:cs="Arial"/>
          <w:bCs/>
          <w:lang w:eastAsia="zh-MO"/>
        </w:rPr>
        <w:t>,</w:t>
      </w:r>
      <w:r w:rsidRPr="00647306">
        <w:rPr>
          <w:rFonts w:eastAsia="Times New Roman" w:cs="Arial"/>
          <w:bCs/>
          <w:lang w:eastAsia="zh-MO"/>
        </w:rPr>
        <w:t xml:space="preserve"> i va voler crear un nou marc de referència per </w:t>
      </w:r>
      <w:r>
        <w:rPr>
          <w:rFonts w:eastAsia="Times New Roman" w:cs="Arial"/>
          <w:bCs/>
          <w:lang w:eastAsia="zh-MO"/>
        </w:rPr>
        <w:t xml:space="preserve">a </w:t>
      </w:r>
      <w:r w:rsidRPr="00647306">
        <w:rPr>
          <w:rFonts w:eastAsia="Times New Roman" w:cs="Arial"/>
          <w:bCs/>
          <w:lang w:eastAsia="zh-MO"/>
        </w:rPr>
        <w:t xml:space="preserve">les activitats i els professionals que les regeixen, així com donar les eines necessàries per tal de tendir cap </w:t>
      </w:r>
      <w:r>
        <w:rPr>
          <w:rFonts w:eastAsia="Times New Roman" w:cs="Arial"/>
          <w:bCs/>
          <w:lang w:eastAsia="zh-MO"/>
        </w:rPr>
        <w:t xml:space="preserve">a </w:t>
      </w:r>
      <w:r w:rsidRPr="00647306">
        <w:rPr>
          <w:rFonts w:eastAsia="Times New Roman" w:cs="Arial"/>
          <w:bCs/>
          <w:lang w:eastAsia="zh-MO"/>
        </w:rPr>
        <w:t>una tasca cada cop més adequada, eficient i satisfactòria.</w:t>
      </w:r>
    </w:p>
    <w:p w:rsidR="006A4109" w:rsidRPr="00647306" w:rsidRDefault="006A4109" w:rsidP="00E930B2">
      <w:pPr>
        <w:rPr>
          <w:rFonts w:eastAsiaTheme="minorEastAsia" w:cs="Arial"/>
        </w:rPr>
      </w:pPr>
      <w:r>
        <w:rPr>
          <w:rFonts w:eastAsiaTheme="minorEastAsia" w:cs="Arial"/>
        </w:rPr>
        <w:t>Amb el pas del temps, les fires,</w:t>
      </w:r>
      <w:r w:rsidRPr="00647306">
        <w:rPr>
          <w:rFonts w:eastAsiaTheme="minorEastAsia" w:cs="Arial"/>
        </w:rPr>
        <w:t xml:space="preserve"> mostres, exposicions i concursos van </w:t>
      </w:r>
      <w:r>
        <w:rPr>
          <w:rFonts w:eastAsiaTheme="minorEastAsia" w:cs="Arial"/>
        </w:rPr>
        <w:t>tenir</w:t>
      </w:r>
      <w:r w:rsidRPr="00647306">
        <w:rPr>
          <w:rFonts w:eastAsiaTheme="minorEastAsia" w:cs="Arial"/>
        </w:rPr>
        <w:t xml:space="preserve"> una pr</w:t>
      </w:r>
      <w:r>
        <w:rPr>
          <w:rFonts w:eastAsiaTheme="minorEastAsia" w:cs="Arial"/>
        </w:rPr>
        <w:t>ojecció comunitària. Actualment</w:t>
      </w:r>
      <w:r w:rsidRPr="00647306">
        <w:rPr>
          <w:rFonts w:eastAsiaTheme="minorEastAsia" w:cs="Arial"/>
        </w:rPr>
        <w:t xml:space="preserve"> hi ha un calendari an</w:t>
      </w:r>
      <w:r>
        <w:rPr>
          <w:rFonts w:eastAsiaTheme="minorEastAsia" w:cs="Arial"/>
        </w:rPr>
        <w:t>ual amb el conjunt d’</w:t>
      </w:r>
      <w:r w:rsidRPr="00647306">
        <w:rPr>
          <w:rFonts w:eastAsiaTheme="minorEastAsia" w:cs="Arial"/>
        </w:rPr>
        <w:t xml:space="preserve">actes que </w:t>
      </w:r>
      <w:r>
        <w:rPr>
          <w:rFonts w:eastAsiaTheme="minorEastAsia" w:cs="Arial"/>
        </w:rPr>
        <w:t>s’</w:t>
      </w:r>
      <w:r w:rsidRPr="00647306">
        <w:rPr>
          <w:rFonts w:eastAsiaTheme="minorEastAsia" w:cs="Arial"/>
        </w:rPr>
        <w:t xml:space="preserve">organitzen.  </w:t>
      </w:r>
    </w:p>
    <w:p w:rsidR="006A4109" w:rsidRPr="00647306" w:rsidRDefault="006A4109" w:rsidP="00E930B2">
      <w:pPr>
        <w:rPr>
          <w:rFonts w:eastAsiaTheme="minorEastAsia" w:cs="Arial"/>
        </w:rPr>
      </w:pPr>
      <w:r w:rsidRPr="00647306">
        <w:rPr>
          <w:rFonts w:eastAsiaTheme="minorEastAsia" w:cs="Arial"/>
        </w:rPr>
        <w:t xml:space="preserve">En relació </w:t>
      </w:r>
      <w:r>
        <w:rPr>
          <w:rFonts w:eastAsiaTheme="minorEastAsia" w:cs="Arial"/>
        </w:rPr>
        <w:t>amb el</w:t>
      </w:r>
      <w:r w:rsidRPr="00647306">
        <w:rPr>
          <w:rFonts w:eastAsiaTheme="minorEastAsia" w:cs="Arial"/>
        </w:rPr>
        <w:t xml:space="preserve"> servei de biblioteca, els espais de biblioteca servien per treure els interns del pati. Eren espais poc preparats, amb un fons bibliogràfic molt pobre i sense un professional qualificat; moltes vegades s</w:t>
      </w:r>
      <w:r>
        <w:rPr>
          <w:rFonts w:eastAsiaTheme="minorEastAsia" w:cs="Arial"/>
        </w:rPr>
        <w:t>e n’</w:t>
      </w:r>
      <w:r w:rsidRPr="00647306">
        <w:rPr>
          <w:rFonts w:eastAsiaTheme="minorEastAsia" w:cs="Arial"/>
        </w:rPr>
        <w:t xml:space="preserve">encarregava un intern. </w:t>
      </w:r>
    </w:p>
    <w:p w:rsidR="006A4109" w:rsidRPr="00647306" w:rsidRDefault="006A4109" w:rsidP="00E930B2">
      <w:pPr>
        <w:rPr>
          <w:rFonts w:eastAsiaTheme="minorEastAsia" w:cs="Arial"/>
        </w:rPr>
      </w:pPr>
      <w:r w:rsidRPr="00647306">
        <w:rPr>
          <w:rFonts w:eastAsiaTheme="minorEastAsia" w:cs="Arial"/>
        </w:rPr>
        <w:t>Les biblioteques de centres penitenciaris havien de seguir  el model de biblioteca pública. Així doncs</w:t>
      </w:r>
      <w:r>
        <w:rPr>
          <w:rFonts w:eastAsiaTheme="minorEastAsia" w:cs="Arial"/>
        </w:rPr>
        <w:t>,</w:t>
      </w:r>
      <w:r w:rsidRPr="00647306">
        <w:rPr>
          <w:rFonts w:eastAsiaTheme="minorEastAsia" w:cs="Arial"/>
        </w:rPr>
        <w:t xml:space="preserve"> el 2006 es van </w:t>
      </w:r>
      <w:r>
        <w:rPr>
          <w:rFonts w:eastAsiaTheme="minorEastAsia" w:cs="Arial"/>
        </w:rPr>
        <w:t>elaborar</w:t>
      </w:r>
      <w:r w:rsidRPr="00647306">
        <w:rPr>
          <w:rFonts w:eastAsiaTheme="minorEastAsia" w:cs="Arial"/>
        </w:rPr>
        <w:t xml:space="preserve"> les </w:t>
      </w:r>
      <w:r>
        <w:rPr>
          <w:rFonts w:eastAsiaTheme="minorEastAsia" w:cs="Arial"/>
        </w:rPr>
        <w:t>d</w:t>
      </w:r>
      <w:r w:rsidRPr="00647306">
        <w:rPr>
          <w:rFonts w:eastAsiaTheme="minorEastAsia" w:cs="Arial"/>
        </w:rPr>
        <w:t xml:space="preserve">irectrius per a </w:t>
      </w:r>
      <w:r>
        <w:rPr>
          <w:rFonts w:eastAsiaTheme="minorEastAsia" w:cs="Arial"/>
        </w:rPr>
        <w:t>aquestes</w:t>
      </w:r>
      <w:r w:rsidRPr="00647306">
        <w:rPr>
          <w:rFonts w:eastAsiaTheme="minorEastAsia" w:cs="Arial"/>
        </w:rPr>
        <w:t xml:space="preserve"> biblioteques</w:t>
      </w:r>
      <w:r>
        <w:rPr>
          <w:rFonts w:eastAsiaTheme="minorEastAsia" w:cs="Arial"/>
        </w:rPr>
        <w:t>. Amb l’</w:t>
      </w:r>
      <w:r w:rsidRPr="00647306">
        <w:rPr>
          <w:rFonts w:eastAsiaTheme="minorEastAsia" w:cs="Arial"/>
        </w:rPr>
        <w:t>im</w:t>
      </w:r>
      <w:r>
        <w:rPr>
          <w:rFonts w:eastAsiaTheme="minorEastAsia" w:cs="Arial"/>
        </w:rPr>
        <w:t>puls, també, de la signatura del Conveni amb el Departament de C</w:t>
      </w:r>
      <w:r w:rsidRPr="00647306">
        <w:rPr>
          <w:rFonts w:eastAsiaTheme="minorEastAsia" w:cs="Arial"/>
        </w:rPr>
        <w:t>ultura, les biblioteques s’han constituït com a verita</w:t>
      </w:r>
      <w:r>
        <w:rPr>
          <w:rFonts w:eastAsiaTheme="minorEastAsia" w:cs="Arial"/>
        </w:rPr>
        <w:t>bles espais d’</w:t>
      </w:r>
      <w:r w:rsidRPr="00647306">
        <w:rPr>
          <w:rFonts w:eastAsiaTheme="minorEastAsia" w:cs="Arial"/>
        </w:rPr>
        <w:t>activitats cultural</w:t>
      </w:r>
      <w:r>
        <w:rPr>
          <w:rFonts w:eastAsiaTheme="minorEastAsia" w:cs="Arial"/>
        </w:rPr>
        <w:t>s, de recerca d’</w:t>
      </w:r>
      <w:r w:rsidRPr="00647306">
        <w:rPr>
          <w:rFonts w:eastAsiaTheme="minorEastAsia" w:cs="Arial"/>
        </w:rPr>
        <w:t>informació, de lectura personal i d’autoformació. Gràcies</w:t>
      </w:r>
      <w:r>
        <w:rPr>
          <w:rFonts w:eastAsiaTheme="minorEastAsia" w:cs="Arial"/>
        </w:rPr>
        <w:t>,</w:t>
      </w:r>
      <w:r w:rsidRPr="00647306">
        <w:rPr>
          <w:rFonts w:eastAsiaTheme="minorEastAsia" w:cs="Arial"/>
        </w:rPr>
        <w:t xml:space="preserve"> </w:t>
      </w:r>
      <w:r>
        <w:rPr>
          <w:rFonts w:eastAsiaTheme="minorEastAsia" w:cs="Arial"/>
        </w:rPr>
        <w:t>també, a donacions periòdiques de llibres per part d’</w:t>
      </w:r>
      <w:r w:rsidRPr="00647306">
        <w:rPr>
          <w:rFonts w:eastAsiaTheme="minorEastAsia" w:cs="Arial"/>
        </w:rPr>
        <w:t>editorials, els fons bibliogràfics de les biblioteques de centres penitenciaris han millorat notablement, tant en quantitat com en qualitat.</w:t>
      </w:r>
    </w:p>
    <w:p w:rsidR="006A4109" w:rsidRPr="00647306" w:rsidRDefault="006A4109" w:rsidP="00E930B2">
      <w:pPr>
        <w:rPr>
          <w:rFonts w:eastAsia="Times New Roman" w:cs="Arial"/>
          <w:bCs/>
          <w:lang w:eastAsia="zh-MO"/>
        </w:rPr>
      </w:pPr>
      <w:r w:rsidRPr="00647306">
        <w:rPr>
          <w:rFonts w:eastAsia="Times New Roman" w:cs="Arial"/>
          <w:bCs/>
          <w:lang w:eastAsia="zh-MO"/>
        </w:rPr>
        <w:t>Un altre àmbit d’interès és el de la salut i el desenvolupament personal, el qual inclou totes les activitats dirigides a fomentar una millora en l’a</w:t>
      </w:r>
      <w:r>
        <w:rPr>
          <w:rFonts w:eastAsia="Times New Roman" w:cs="Arial"/>
          <w:bCs/>
          <w:lang w:eastAsia="zh-MO"/>
        </w:rPr>
        <w:t>utocura dels interns i internes</w:t>
      </w:r>
      <w:r w:rsidRPr="00647306">
        <w:rPr>
          <w:rFonts w:eastAsia="Times New Roman" w:cs="Arial"/>
          <w:bCs/>
          <w:lang w:eastAsia="zh-MO"/>
        </w:rPr>
        <w:t xml:space="preserve"> i un millor control de la seva salut (física, emocional i d’habilitats bàsiques) per assolir </w:t>
      </w:r>
      <w:r>
        <w:rPr>
          <w:rFonts w:eastAsia="Times New Roman" w:cs="Arial"/>
          <w:bCs/>
          <w:lang w:eastAsia="zh-MO"/>
        </w:rPr>
        <w:t>més</w:t>
      </w:r>
      <w:r w:rsidRPr="00647306">
        <w:rPr>
          <w:rFonts w:eastAsia="Times New Roman" w:cs="Arial"/>
          <w:bCs/>
          <w:lang w:eastAsia="zh-MO"/>
        </w:rPr>
        <w:t xml:space="preserve"> qualitat de vida. </w:t>
      </w:r>
    </w:p>
    <w:p w:rsidR="006A4109" w:rsidRPr="00647306" w:rsidRDefault="006A4109" w:rsidP="00E930B2">
      <w:pPr>
        <w:rPr>
          <w:rFonts w:eastAsia="Times New Roman" w:cs="Arial"/>
          <w:bCs/>
          <w:lang w:eastAsia="zh-MO"/>
        </w:rPr>
      </w:pPr>
      <w:r w:rsidRPr="00647306">
        <w:rPr>
          <w:rFonts w:eastAsia="Times New Roman" w:cs="Arial"/>
          <w:bCs/>
          <w:lang w:eastAsia="zh-MO"/>
        </w:rPr>
        <w:t>L’educació física i esportiva compleix aquesta funció estimulant les capacitats cognitives, motores, emocionals i socials de la població, potenciant el desenvolupament integral de la persona i compensant els efectes negatius de la privació de llibertat. Ha d’enfortir els valors de l’autoestima, la superació i la col·laboració</w:t>
      </w:r>
      <w:r>
        <w:rPr>
          <w:rFonts w:eastAsia="Times New Roman" w:cs="Arial"/>
          <w:bCs/>
          <w:lang w:eastAsia="zh-MO"/>
        </w:rPr>
        <w:t xml:space="preserve"> i afavorir</w:t>
      </w:r>
      <w:r w:rsidRPr="00647306">
        <w:rPr>
          <w:rFonts w:eastAsia="Times New Roman" w:cs="Arial"/>
          <w:bCs/>
          <w:lang w:eastAsia="zh-MO"/>
        </w:rPr>
        <w:t xml:space="preserve"> la creació d’hàbits higiènics i saludables. L’activitat física i la pràctica esportiva ha</w:t>
      </w:r>
      <w:r>
        <w:rPr>
          <w:rFonts w:eastAsia="Times New Roman" w:cs="Arial"/>
          <w:bCs/>
          <w:lang w:eastAsia="zh-MO"/>
        </w:rPr>
        <w:t>n</w:t>
      </w:r>
      <w:r w:rsidRPr="00647306">
        <w:rPr>
          <w:rFonts w:eastAsia="Times New Roman" w:cs="Arial"/>
          <w:bCs/>
          <w:lang w:eastAsia="zh-MO"/>
        </w:rPr>
        <w:t xml:space="preserve"> de forjar actituds, valors i normes que permetin viure en societat, canalitzant el control de les emocions i dels impulsos, l’ansietat i la frustració que genera el context penitenciari.</w:t>
      </w:r>
    </w:p>
    <w:p w:rsidR="006A4109" w:rsidRPr="00647306" w:rsidRDefault="006A4109" w:rsidP="00E930B2">
      <w:pPr>
        <w:rPr>
          <w:rFonts w:eastAsiaTheme="minorEastAsia" w:cs="Arial"/>
        </w:rPr>
      </w:pPr>
      <w:r w:rsidRPr="00647306">
        <w:rPr>
          <w:rFonts w:eastAsiaTheme="minorEastAsia" w:cs="Arial"/>
        </w:rPr>
        <w:t>Els educadors socials, per la seva qualificació professional, també participen de forma acti</w:t>
      </w:r>
      <w:r>
        <w:rPr>
          <w:rFonts w:eastAsiaTheme="minorEastAsia" w:cs="Arial"/>
        </w:rPr>
        <w:t>va en els diversos programes d’</w:t>
      </w:r>
      <w:r w:rsidRPr="00647306">
        <w:rPr>
          <w:rFonts w:eastAsiaTheme="minorEastAsia" w:cs="Arial"/>
        </w:rPr>
        <w:t xml:space="preserve">intervenció especialitzada descrits anteriorment. L’educació </w:t>
      </w:r>
      <w:r w:rsidRPr="00647306">
        <w:rPr>
          <w:rFonts w:eastAsiaTheme="minorEastAsia" w:cs="Arial"/>
        </w:rPr>
        <w:lastRenderedPageBreak/>
        <w:t xml:space="preserve">social en l’àmbit penitenciari, en aquest tipus de  programes, incidirà en l’etiologia delictiva i les dificultats associades. </w:t>
      </w:r>
    </w:p>
    <w:p w:rsidR="006A4109" w:rsidRPr="00647306" w:rsidRDefault="006A4109" w:rsidP="00E930B2">
      <w:pPr>
        <w:rPr>
          <w:rFonts w:eastAsiaTheme="minorEastAsia" w:cs="Arial"/>
        </w:rPr>
      </w:pPr>
      <w:r w:rsidRPr="00647306">
        <w:rPr>
          <w:rFonts w:eastAsiaTheme="minorEastAsia" w:cs="Arial"/>
        </w:rPr>
        <w:t>Actualment aquests c</w:t>
      </w:r>
      <w:r>
        <w:rPr>
          <w:rFonts w:eastAsiaTheme="minorEastAsia" w:cs="Arial"/>
        </w:rPr>
        <w:t>ol·lectius professionals, de l’àmbit de l’educació no reglada,</w:t>
      </w:r>
      <w:r w:rsidRPr="00647306">
        <w:rPr>
          <w:rFonts w:eastAsiaTheme="minorEastAsia" w:cs="Arial"/>
        </w:rPr>
        <w:t xml:space="preserve"> estan presents </w:t>
      </w:r>
      <w:r>
        <w:rPr>
          <w:rFonts w:eastAsiaTheme="minorEastAsia" w:cs="Arial"/>
        </w:rPr>
        <w:t>en</w:t>
      </w:r>
      <w:r w:rsidRPr="00647306">
        <w:rPr>
          <w:rFonts w:eastAsiaTheme="minorEastAsia" w:cs="Arial"/>
        </w:rPr>
        <w:t xml:space="preserve"> tots els centres penitenciaris. Actualment hi ha més de 200 educadors, 80 monitors artístics i esportius i 11 bibliotecaris.</w:t>
      </w:r>
    </w:p>
    <w:p w:rsidR="006A4109" w:rsidRPr="00647306" w:rsidRDefault="006A4109" w:rsidP="00E930B2">
      <w:pPr>
        <w:rPr>
          <w:rFonts w:eastAsiaTheme="minorEastAsia" w:cs="Arial"/>
        </w:rPr>
      </w:pPr>
      <w:r w:rsidRPr="00647306">
        <w:rPr>
          <w:rFonts w:eastAsia="Times New Roman" w:cs="Arial"/>
          <w:lang w:eastAsia="zh-MO"/>
        </w:rPr>
        <w:t>Al mateix temps, s’ha anat regularitzant i normalitzant la situació laboral dels monitors d’art, i també s’ha anat dotant de recursos els tallers per donar resposta a les demandes materials pròpies de l’activitat. Hi ha 50 monitors ben qualificats de diferents disciplines repartits pels 10 centres penitenciaris ordinaris</w:t>
      </w:r>
      <w:r>
        <w:rPr>
          <w:rFonts w:eastAsia="Times New Roman" w:cs="Arial"/>
          <w:lang w:eastAsia="zh-MO"/>
        </w:rPr>
        <w:t>,</w:t>
      </w:r>
      <w:r w:rsidRPr="00647306">
        <w:rPr>
          <w:rFonts w:eastAsia="Times New Roman" w:cs="Arial"/>
          <w:lang w:eastAsia="zh-MO"/>
        </w:rPr>
        <w:t xml:space="preserve"> </w:t>
      </w:r>
      <w:r w:rsidRPr="00647306">
        <w:rPr>
          <w:rFonts w:eastAsiaTheme="minorEastAsia" w:cs="Arial"/>
        </w:rPr>
        <w:t>que atenen mensualment en els tallers més de 1</w:t>
      </w:r>
      <w:r>
        <w:rPr>
          <w:rFonts w:eastAsiaTheme="minorEastAsia" w:cs="Arial"/>
        </w:rPr>
        <w:t>.</w:t>
      </w:r>
      <w:r w:rsidRPr="00647306">
        <w:rPr>
          <w:rFonts w:eastAsiaTheme="minorEastAsia" w:cs="Arial"/>
        </w:rPr>
        <w:t xml:space="preserve">000 interns diferents. </w:t>
      </w:r>
    </w:p>
    <w:p w:rsidR="006A4109" w:rsidRPr="00647306" w:rsidRDefault="006A4109" w:rsidP="00E930B2">
      <w:pPr>
        <w:rPr>
          <w:rFonts w:eastAsiaTheme="minorEastAsia" w:cs="Arial"/>
        </w:rPr>
      </w:pPr>
      <w:r w:rsidRPr="00647306">
        <w:rPr>
          <w:rFonts w:eastAsiaTheme="minorEastAsia" w:cs="Arial"/>
        </w:rPr>
        <w:t>En relació a</w:t>
      </w:r>
      <w:r>
        <w:rPr>
          <w:rFonts w:eastAsiaTheme="minorEastAsia" w:cs="Arial"/>
        </w:rPr>
        <w:t>mb</w:t>
      </w:r>
      <w:r w:rsidRPr="00647306">
        <w:rPr>
          <w:rFonts w:eastAsiaTheme="minorEastAsia" w:cs="Arial"/>
        </w:rPr>
        <w:t xml:space="preserve"> l’activitat física, el </w:t>
      </w:r>
      <w:r>
        <w:rPr>
          <w:rFonts w:eastAsiaTheme="minorEastAsia" w:cs="Arial"/>
          <w:bCs/>
        </w:rPr>
        <w:t>Programa marc d’activitat física, exercici físic i e</w:t>
      </w:r>
      <w:r w:rsidRPr="00647306">
        <w:rPr>
          <w:rFonts w:eastAsiaTheme="minorEastAsia" w:cs="Arial"/>
          <w:bCs/>
        </w:rPr>
        <w:t xml:space="preserve">sport, vigent des del 2008, </w:t>
      </w:r>
      <w:r w:rsidRPr="00647306">
        <w:rPr>
          <w:rFonts w:eastAsiaTheme="minorEastAsia" w:cs="Arial"/>
        </w:rPr>
        <w:t>regula l’organització i planificació de l’activitat dels tècnics esportius de centres penitenciaris. Mensualment, repartits per le</w:t>
      </w:r>
      <w:r>
        <w:rPr>
          <w:rFonts w:eastAsiaTheme="minorEastAsia" w:cs="Arial"/>
        </w:rPr>
        <w:t>s diverses àrees esportives, s’</w:t>
      </w:r>
      <w:r w:rsidRPr="00647306">
        <w:rPr>
          <w:rFonts w:eastAsiaTheme="minorEastAsia" w:cs="Arial"/>
        </w:rPr>
        <w:t xml:space="preserve">atenen </w:t>
      </w:r>
      <w:r>
        <w:rPr>
          <w:rFonts w:eastAsiaTheme="minorEastAsia" w:cs="Arial"/>
        </w:rPr>
        <w:t>al</w:t>
      </w:r>
      <w:r w:rsidRPr="00647306">
        <w:rPr>
          <w:rFonts w:eastAsiaTheme="minorEastAsia" w:cs="Arial"/>
        </w:rPr>
        <w:t xml:space="preserve"> voltant de 4</w:t>
      </w:r>
      <w:r>
        <w:rPr>
          <w:rFonts w:eastAsiaTheme="minorEastAsia" w:cs="Arial"/>
        </w:rPr>
        <w:t>.</w:t>
      </w:r>
      <w:r w:rsidRPr="00647306">
        <w:rPr>
          <w:rFonts w:eastAsiaTheme="minorEastAsia" w:cs="Arial"/>
        </w:rPr>
        <w:t>000 interns diferents.</w:t>
      </w:r>
    </w:p>
    <w:p w:rsidR="006A4109" w:rsidRPr="00647306" w:rsidRDefault="006A4109" w:rsidP="00E930B2">
      <w:pPr>
        <w:rPr>
          <w:rFonts w:eastAsiaTheme="minorEastAsia" w:cs="Arial"/>
        </w:rPr>
      </w:pPr>
      <w:r w:rsidRPr="00647306">
        <w:rPr>
          <w:rFonts w:eastAsiaTheme="minorEastAsia" w:cs="Arial"/>
        </w:rPr>
        <w:t xml:space="preserve">Pel que fa a </w:t>
      </w:r>
      <w:r>
        <w:rPr>
          <w:rFonts w:eastAsiaTheme="minorEastAsia" w:cs="Arial"/>
        </w:rPr>
        <w:t>la infraestructura, s’ha fet un</w:t>
      </w:r>
      <w:r w:rsidRPr="00647306">
        <w:rPr>
          <w:rFonts w:eastAsiaTheme="minorEastAsia" w:cs="Arial"/>
        </w:rPr>
        <w:t xml:space="preserve"> important esforç de modernització</w:t>
      </w:r>
      <w:r>
        <w:rPr>
          <w:rFonts w:eastAsiaTheme="minorEastAsia" w:cs="Arial"/>
        </w:rPr>
        <w:t>,</w:t>
      </w:r>
      <w:r w:rsidRPr="00647306">
        <w:rPr>
          <w:rFonts w:eastAsiaTheme="minorEastAsia" w:cs="Arial"/>
        </w:rPr>
        <w:t xml:space="preserve"> i actualment tots els centres</w:t>
      </w:r>
      <w:r>
        <w:rPr>
          <w:rFonts w:eastAsiaTheme="minorEastAsia" w:cs="Arial"/>
        </w:rPr>
        <w:t xml:space="preserve"> disposen</w:t>
      </w:r>
      <w:r w:rsidRPr="00647306">
        <w:rPr>
          <w:rFonts w:eastAsiaTheme="minorEastAsia" w:cs="Arial"/>
        </w:rPr>
        <w:t xml:space="preserve"> d’equipaments: una biblioteca central</w:t>
      </w:r>
      <w:r>
        <w:rPr>
          <w:rFonts w:eastAsiaTheme="minorEastAsia" w:cs="Arial"/>
        </w:rPr>
        <w:t xml:space="preserve"> i diverses sales de lectura, </w:t>
      </w:r>
      <w:r w:rsidRPr="00647306">
        <w:rPr>
          <w:rFonts w:eastAsiaTheme="minorEastAsia" w:cs="Arial"/>
        </w:rPr>
        <w:t xml:space="preserve">espais de taller, àrees esportives i aules </w:t>
      </w:r>
      <w:r>
        <w:rPr>
          <w:rFonts w:eastAsiaTheme="minorEastAsia" w:cs="Arial"/>
        </w:rPr>
        <w:t>per a</w:t>
      </w:r>
      <w:r w:rsidRPr="00647306">
        <w:rPr>
          <w:rFonts w:eastAsiaTheme="minorEastAsia" w:cs="Arial"/>
        </w:rPr>
        <w:t xml:space="preserve"> l’activitat grupal</w:t>
      </w:r>
      <w:r>
        <w:rPr>
          <w:rFonts w:eastAsiaTheme="minorEastAsia" w:cs="Arial"/>
        </w:rPr>
        <w:t>,</w:t>
      </w:r>
      <w:r w:rsidRPr="00647306">
        <w:rPr>
          <w:rFonts w:eastAsiaTheme="minorEastAsia" w:cs="Arial"/>
        </w:rPr>
        <w:t xml:space="preserve"> on </w:t>
      </w:r>
      <w:r>
        <w:rPr>
          <w:rFonts w:eastAsiaTheme="minorEastAsia" w:cs="Arial"/>
        </w:rPr>
        <w:t>es poden dur a terme</w:t>
      </w:r>
      <w:r w:rsidRPr="00647306">
        <w:rPr>
          <w:rFonts w:eastAsiaTheme="minorEastAsia" w:cs="Arial"/>
        </w:rPr>
        <w:t xml:space="preserve"> les activitats</w:t>
      </w:r>
      <w:r w:rsidRPr="00CB7C14">
        <w:rPr>
          <w:rFonts w:eastAsiaTheme="minorEastAsia" w:cs="Arial"/>
        </w:rPr>
        <w:t xml:space="preserve"> </w:t>
      </w:r>
      <w:r w:rsidRPr="00647306">
        <w:rPr>
          <w:rFonts w:eastAsiaTheme="minorEastAsia" w:cs="Arial"/>
        </w:rPr>
        <w:t>dignament</w:t>
      </w:r>
      <w:r>
        <w:rPr>
          <w:rFonts w:eastAsiaTheme="minorEastAsia" w:cs="Arial"/>
        </w:rPr>
        <w:t>.</w:t>
      </w:r>
    </w:p>
    <w:p w:rsidR="006A4109" w:rsidRPr="00647306" w:rsidRDefault="006A4109" w:rsidP="00E930B2">
      <w:pPr>
        <w:rPr>
          <w:rFonts w:eastAsiaTheme="minorEastAsia" w:cs="Arial"/>
        </w:rPr>
      </w:pPr>
      <w:r>
        <w:rPr>
          <w:rFonts w:eastAsiaTheme="minorEastAsia" w:cs="Arial"/>
        </w:rPr>
        <w:t>Pel que fa a</w:t>
      </w:r>
      <w:r w:rsidRPr="00647306">
        <w:rPr>
          <w:rFonts w:eastAsiaTheme="minorEastAsia" w:cs="Arial"/>
        </w:rPr>
        <w:t xml:space="preserve"> planificació i organització (PMOC), amb el pas del tem</w:t>
      </w:r>
      <w:r>
        <w:rPr>
          <w:rFonts w:eastAsiaTheme="minorEastAsia" w:cs="Arial"/>
        </w:rPr>
        <w:t>ps totes aquestes activitats s’</w:t>
      </w:r>
      <w:r w:rsidRPr="00647306">
        <w:rPr>
          <w:rFonts w:eastAsiaTheme="minorEastAsia" w:cs="Arial"/>
        </w:rPr>
        <w:t>han anat qualificant, responent a una planificació acurada realitzada per professionals especialistes, amb ràtios acceptables Aquestes planificacions inclouen les activitats de calend</w:t>
      </w:r>
      <w:r>
        <w:rPr>
          <w:rFonts w:eastAsiaTheme="minorEastAsia" w:cs="Arial"/>
        </w:rPr>
        <w:t>ari escolar, la planificació d’</w:t>
      </w:r>
      <w:r w:rsidRPr="00647306">
        <w:rPr>
          <w:rFonts w:eastAsiaTheme="minorEastAsia" w:cs="Arial"/>
        </w:rPr>
        <w:t xml:space="preserve">estiu, les planificacions de jornades, setmanes culturals, </w:t>
      </w:r>
      <w:r>
        <w:rPr>
          <w:rFonts w:eastAsiaTheme="minorEastAsia" w:cs="Arial"/>
        </w:rPr>
        <w:t xml:space="preserve">celebració de dies mundials i </w:t>
      </w:r>
      <w:r w:rsidRPr="00647306">
        <w:rPr>
          <w:rFonts w:eastAsiaTheme="minorEastAsia" w:cs="Arial"/>
        </w:rPr>
        <w:t>altres activitats extraordinàries. També inclouen la planificació dels caps de setmana.</w:t>
      </w:r>
    </w:p>
    <w:p w:rsidR="006A4109" w:rsidRPr="00647306" w:rsidRDefault="006A4109" w:rsidP="00E930B2">
      <w:pPr>
        <w:rPr>
          <w:rFonts w:eastAsiaTheme="minorEastAsia" w:cs="Arial"/>
        </w:rPr>
      </w:pPr>
      <w:r w:rsidRPr="00647306">
        <w:rPr>
          <w:rFonts w:eastAsia="Times New Roman" w:cs="Arial"/>
          <w:lang w:eastAsia="es-ES"/>
        </w:rPr>
        <w:t xml:space="preserve">A hores d’ara, hi ha diverses activitats i </w:t>
      </w:r>
      <w:r>
        <w:rPr>
          <w:rFonts w:eastAsiaTheme="minorEastAsia" w:cs="Arial"/>
        </w:rPr>
        <w:t>projectes que s’</w:t>
      </w:r>
      <w:r w:rsidRPr="00647306">
        <w:rPr>
          <w:rFonts w:eastAsiaTheme="minorEastAsia" w:cs="Arial"/>
        </w:rPr>
        <w:t>han anat</w:t>
      </w:r>
      <w:r>
        <w:rPr>
          <w:rFonts w:eastAsiaTheme="minorEastAsia" w:cs="Arial"/>
        </w:rPr>
        <w:t xml:space="preserve"> consolidant en el temps, com són les activitats d’</w:t>
      </w:r>
      <w:r w:rsidRPr="00647306">
        <w:rPr>
          <w:rFonts w:eastAsiaTheme="minorEastAsia" w:cs="Arial"/>
        </w:rPr>
        <w:t>intercanvi i trobades socioeducatives/socioesportives amb les universitats, l’esport federat en competicions regulars d’equips de centres penitenciaris</w:t>
      </w:r>
      <w:r>
        <w:rPr>
          <w:rFonts w:eastAsiaTheme="minorEastAsia" w:cs="Arial"/>
        </w:rPr>
        <w:t>,</w:t>
      </w:r>
      <w:r w:rsidRPr="00647306">
        <w:rPr>
          <w:rFonts w:eastAsiaTheme="minorEastAsia" w:cs="Arial"/>
        </w:rPr>
        <w:t xml:space="preserve"> els programes d’activitat que es realitzen als departament</w:t>
      </w:r>
      <w:r>
        <w:rPr>
          <w:rFonts w:eastAsiaTheme="minorEastAsia" w:cs="Arial"/>
        </w:rPr>
        <w:t>s de p</w:t>
      </w:r>
      <w:r w:rsidRPr="00647306">
        <w:rPr>
          <w:rFonts w:eastAsiaTheme="minorEastAsia" w:cs="Arial"/>
        </w:rPr>
        <w:t>siquiatria i de la tercera edat al CPHB</w:t>
      </w:r>
      <w:r>
        <w:rPr>
          <w:rFonts w:eastAsiaTheme="minorEastAsia" w:cs="Arial"/>
        </w:rPr>
        <w:t>,</w:t>
      </w:r>
      <w:r w:rsidRPr="00647306">
        <w:rPr>
          <w:rFonts w:eastAsiaTheme="minorEastAsia" w:cs="Arial"/>
        </w:rPr>
        <w:t xml:space="preserve"> els JJOO penitenciaris, la presència de centres penite</w:t>
      </w:r>
      <w:r>
        <w:rPr>
          <w:rFonts w:eastAsiaTheme="minorEastAsia" w:cs="Arial"/>
        </w:rPr>
        <w:t>nciaris com a seus oficials de f</w:t>
      </w:r>
      <w:r w:rsidRPr="00647306">
        <w:rPr>
          <w:rFonts w:eastAsiaTheme="minorEastAsia" w:cs="Arial"/>
        </w:rPr>
        <w:t>estivals de música o cinema externs, entre altres exemples a destacar.</w:t>
      </w:r>
    </w:p>
    <w:p w:rsidR="006A4109" w:rsidRPr="00647306" w:rsidRDefault="006A4109" w:rsidP="00E930B2">
      <w:pPr>
        <w:rPr>
          <w:rFonts w:eastAsiaTheme="minorEastAsia" w:cs="Arial"/>
        </w:rPr>
      </w:pPr>
    </w:p>
    <w:p w:rsidR="006A4109" w:rsidRPr="00F02D52" w:rsidRDefault="006A4109" w:rsidP="0070401F">
      <w:pPr>
        <w:pStyle w:val="Ttol3"/>
      </w:pPr>
      <w:bookmarkStart w:id="259" w:name="_Toc463867770"/>
      <w:bookmarkStart w:id="260" w:name="_Toc464685657"/>
      <w:bookmarkStart w:id="261" w:name="_Toc465293388"/>
      <w:r w:rsidRPr="00F02D52">
        <w:t>Panorama actual i reptes</w:t>
      </w:r>
      <w:bookmarkEnd w:id="259"/>
      <w:bookmarkEnd w:id="260"/>
      <w:bookmarkEnd w:id="261"/>
    </w:p>
    <w:p w:rsidR="006A4109" w:rsidRPr="00647306" w:rsidRDefault="006A4109" w:rsidP="00E930B2">
      <w:pPr>
        <w:rPr>
          <w:rFonts w:eastAsiaTheme="minorEastAsia" w:cs="Arial"/>
        </w:rPr>
      </w:pPr>
      <w:r w:rsidRPr="00647306">
        <w:rPr>
          <w:rFonts w:eastAsiaTheme="minorEastAsia" w:cs="Arial"/>
        </w:rPr>
        <w:t>Des dels inicis del model d</w:t>
      </w:r>
      <w:r>
        <w:rPr>
          <w:rFonts w:eastAsiaTheme="minorEastAsia" w:cs="Arial"/>
        </w:rPr>
        <w:t>’</w:t>
      </w:r>
      <w:r w:rsidRPr="00647306">
        <w:rPr>
          <w:rFonts w:eastAsiaTheme="minorEastAsia" w:cs="Arial"/>
        </w:rPr>
        <w:t>intervenció, es va veure clarament la influència clau que té la configuració de l</w:t>
      </w:r>
      <w:r>
        <w:rPr>
          <w:rFonts w:eastAsiaTheme="minorEastAsia" w:cs="Arial"/>
        </w:rPr>
        <w:t>’</w:t>
      </w:r>
      <w:r w:rsidRPr="00647306">
        <w:rPr>
          <w:rFonts w:eastAsiaTheme="minorEastAsia" w:cs="Arial"/>
        </w:rPr>
        <w:t>ambient de la presó no només per les condicions de qualitat de vida sinó també per la seguretat, la convivència i la rehabilitació. S</w:t>
      </w:r>
      <w:r>
        <w:rPr>
          <w:rFonts w:eastAsiaTheme="minorEastAsia" w:cs="Arial"/>
        </w:rPr>
        <w:t>ó</w:t>
      </w:r>
      <w:r w:rsidRPr="00647306">
        <w:rPr>
          <w:rFonts w:eastAsiaTheme="minorEastAsia" w:cs="Arial"/>
        </w:rPr>
        <w:t>n elements fonamentals del concepte d</w:t>
      </w:r>
      <w:r>
        <w:rPr>
          <w:rFonts w:eastAsiaTheme="minorEastAsia" w:cs="Arial"/>
        </w:rPr>
        <w:t>’</w:t>
      </w:r>
      <w:r w:rsidRPr="00647306">
        <w:rPr>
          <w:rFonts w:eastAsiaTheme="minorEastAsia" w:cs="Arial"/>
        </w:rPr>
        <w:t>ambient penitenciari: els criteris de classificació interior dels interns, les normes, la gestió de la informació, els horaris i l</w:t>
      </w:r>
      <w:r>
        <w:rPr>
          <w:rFonts w:eastAsiaTheme="minorEastAsia" w:cs="Arial"/>
        </w:rPr>
        <w:t>’</w:t>
      </w:r>
      <w:r w:rsidRPr="00647306">
        <w:rPr>
          <w:rFonts w:eastAsiaTheme="minorEastAsia" w:cs="Arial"/>
        </w:rPr>
        <w:t>oferta d</w:t>
      </w:r>
      <w:r>
        <w:rPr>
          <w:rFonts w:eastAsiaTheme="minorEastAsia" w:cs="Arial"/>
        </w:rPr>
        <w:t>’</w:t>
      </w:r>
      <w:r w:rsidRPr="00647306">
        <w:rPr>
          <w:rFonts w:eastAsiaTheme="minorEastAsia" w:cs="Arial"/>
        </w:rPr>
        <w:t xml:space="preserve">activitats, </w:t>
      </w:r>
      <w:r>
        <w:rPr>
          <w:rFonts w:eastAsiaTheme="minorEastAsia" w:cs="Arial"/>
        </w:rPr>
        <w:t>l’ús del</w:t>
      </w:r>
      <w:r w:rsidRPr="00647306">
        <w:rPr>
          <w:rFonts w:eastAsiaTheme="minorEastAsia" w:cs="Arial"/>
        </w:rPr>
        <w:t>s espais, els procediments sancionadors i d</w:t>
      </w:r>
      <w:r>
        <w:rPr>
          <w:rFonts w:eastAsiaTheme="minorEastAsia" w:cs="Arial"/>
        </w:rPr>
        <w:t>’</w:t>
      </w:r>
      <w:r w:rsidRPr="00647306">
        <w:rPr>
          <w:rFonts w:eastAsiaTheme="minorEastAsia" w:cs="Arial"/>
        </w:rPr>
        <w:t>assignació d</w:t>
      </w:r>
      <w:r>
        <w:rPr>
          <w:rFonts w:eastAsiaTheme="minorEastAsia" w:cs="Arial"/>
        </w:rPr>
        <w:t>’</w:t>
      </w:r>
      <w:r w:rsidRPr="00647306">
        <w:rPr>
          <w:rFonts w:eastAsiaTheme="minorEastAsia" w:cs="Arial"/>
        </w:rPr>
        <w:t>incentius i beneficis, i els canals de participació dels interns, entre d</w:t>
      </w:r>
      <w:r>
        <w:rPr>
          <w:rFonts w:eastAsiaTheme="minorEastAsia" w:cs="Arial"/>
        </w:rPr>
        <w:t>’</w:t>
      </w:r>
      <w:r w:rsidRPr="00647306">
        <w:rPr>
          <w:rFonts w:eastAsiaTheme="minorEastAsia" w:cs="Arial"/>
        </w:rPr>
        <w:t>altres.</w:t>
      </w:r>
    </w:p>
    <w:p w:rsidR="006A4109" w:rsidRPr="00647306" w:rsidRDefault="006A4109" w:rsidP="00E930B2">
      <w:pPr>
        <w:rPr>
          <w:rFonts w:eastAsiaTheme="minorEastAsia" w:cs="Arial"/>
        </w:rPr>
      </w:pPr>
      <w:r w:rsidRPr="00647306">
        <w:rPr>
          <w:rFonts w:eastAsiaTheme="minorEastAsia" w:cs="Arial"/>
        </w:rPr>
        <w:t>Hem passat d</w:t>
      </w:r>
      <w:r>
        <w:rPr>
          <w:rFonts w:eastAsiaTheme="minorEastAsia" w:cs="Arial"/>
        </w:rPr>
        <w:t>’</w:t>
      </w:r>
      <w:r w:rsidRPr="00647306">
        <w:rPr>
          <w:rFonts w:eastAsiaTheme="minorEastAsia" w:cs="Arial"/>
        </w:rPr>
        <w:t>un model de fases progressives</w:t>
      </w:r>
      <w:r>
        <w:rPr>
          <w:rFonts w:eastAsiaTheme="minorEastAsia" w:cs="Arial"/>
        </w:rPr>
        <w:t>,</w:t>
      </w:r>
      <w:r w:rsidRPr="00647306">
        <w:rPr>
          <w:rFonts w:eastAsiaTheme="minorEastAsia" w:cs="Arial"/>
        </w:rPr>
        <w:t xml:space="preserve"> on la ubicació dels interns </w:t>
      </w:r>
      <w:r>
        <w:rPr>
          <w:rFonts w:eastAsiaTheme="minorEastAsia" w:cs="Arial"/>
        </w:rPr>
        <w:t xml:space="preserve">estava </w:t>
      </w:r>
      <w:r w:rsidRPr="00647306">
        <w:rPr>
          <w:rFonts w:eastAsiaTheme="minorEastAsia" w:cs="Arial"/>
        </w:rPr>
        <w:t xml:space="preserve">determinada per la conducta </w:t>
      </w:r>
      <w:r>
        <w:rPr>
          <w:rFonts w:eastAsiaTheme="minorEastAsia" w:cs="Arial"/>
        </w:rPr>
        <w:t>penitenciària,</w:t>
      </w:r>
      <w:r w:rsidRPr="00647306">
        <w:rPr>
          <w:rFonts w:eastAsiaTheme="minorEastAsia" w:cs="Arial"/>
        </w:rPr>
        <w:t xml:space="preserve"> a un </w:t>
      </w:r>
      <w:r>
        <w:rPr>
          <w:rFonts w:eastAsiaTheme="minorEastAsia" w:cs="Arial"/>
        </w:rPr>
        <w:t>model</w:t>
      </w:r>
      <w:r w:rsidRPr="00647306">
        <w:rPr>
          <w:rFonts w:eastAsiaTheme="minorEastAsia" w:cs="Arial"/>
        </w:rPr>
        <w:t xml:space="preserve"> estructurat</w:t>
      </w:r>
      <w:r>
        <w:rPr>
          <w:rFonts w:eastAsiaTheme="minorEastAsia" w:cs="Arial"/>
        </w:rPr>
        <w:t>,</w:t>
      </w:r>
      <w:r w:rsidRPr="00647306">
        <w:rPr>
          <w:rFonts w:eastAsiaTheme="minorEastAsia" w:cs="Arial"/>
        </w:rPr>
        <w:t xml:space="preserve"> </w:t>
      </w:r>
      <w:r>
        <w:rPr>
          <w:rFonts w:eastAsiaTheme="minorEastAsia" w:cs="Arial"/>
        </w:rPr>
        <w:t xml:space="preserve">basat en </w:t>
      </w:r>
      <w:r w:rsidRPr="00647306">
        <w:rPr>
          <w:rFonts w:eastAsiaTheme="minorEastAsia" w:cs="Arial"/>
        </w:rPr>
        <w:t>unitats de convivència i àrees d</w:t>
      </w:r>
      <w:r>
        <w:rPr>
          <w:rFonts w:eastAsiaTheme="minorEastAsia" w:cs="Arial"/>
        </w:rPr>
        <w:t>’</w:t>
      </w:r>
      <w:r w:rsidRPr="00647306">
        <w:rPr>
          <w:rFonts w:eastAsiaTheme="minorEastAsia" w:cs="Arial"/>
        </w:rPr>
        <w:t>intervenció. En aquest nou model, en una mateixa unitat conviuen interns amb diferents nivells de conducta, i els problemes de convivència i la motivació dels interns es gestionen dintre de la mateixa unitat. En aquestes unitats, equips multidisciplinaris organitzen tant l</w:t>
      </w:r>
      <w:r>
        <w:rPr>
          <w:rFonts w:eastAsiaTheme="minorEastAsia" w:cs="Arial"/>
        </w:rPr>
        <w:t>’</w:t>
      </w:r>
      <w:r w:rsidRPr="00647306">
        <w:rPr>
          <w:rFonts w:eastAsiaTheme="minorEastAsia" w:cs="Arial"/>
        </w:rPr>
        <w:t>ambient com la intervenció individual. En el futur, caldrà seguir aprofundint en aquesta línia, desenvolupant millores sobre les bases establertes i superant també dificultats encara no superades.</w:t>
      </w:r>
    </w:p>
    <w:p w:rsidR="006A4109" w:rsidRPr="00630E50" w:rsidRDefault="006A4109" w:rsidP="00E930B2">
      <w:pPr>
        <w:ind w:left="1134" w:hanging="283"/>
        <w:rPr>
          <w:rFonts w:eastAsiaTheme="minorEastAsia" w:cs="Arial"/>
        </w:rPr>
      </w:pPr>
      <w:r>
        <w:rPr>
          <w:rFonts w:eastAsiaTheme="minorEastAsia" w:cs="Arial"/>
        </w:rPr>
        <w:lastRenderedPageBreak/>
        <w:t>‒</w:t>
      </w:r>
      <w:r>
        <w:rPr>
          <w:rFonts w:eastAsiaTheme="minorEastAsia" w:cs="Arial"/>
        </w:rPr>
        <w:tab/>
      </w:r>
      <w:r w:rsidRPr="00630E50">
        <w:rPr>
          <w:rFonts w:eastAsiaTheme="minorEastAsia" w:cs="Arial"/>
        </w:rPr>
        <w:t xml:space="preserve">Cal consolidar normes i procediments de funcionament de les unitats i dels centres </w:t>
      </w:r>
      <w:r>
        <w:rPr>
          <w:rFonts w:eastAsiaTheme="minorEastAsia" w:cs="Arial"/>
        </w:rPr>
        <w:t xml:space="preserve">que siguin </w:t>
      </w:r>
      <w:r w:rsidRPr="00630E50">
        <w:rPr>
          <w:rFonts w:eastAsiaTheme="minorEastAsia" w:cs="Arial"/>
        </w:rPr>
        <w:t xml:space="preserve">clares, transparents i de qualitat, per a tots els que conviuen </w:t>
      </w:r>
      <w:r>
        <w:rPr>
          <w:rFonts w:eastAsiaTheme="minorEastAsia" w:cs="Arial"/>
        </w:rPr>
        <w:t>en e</w:t>
      </w:r>
      <w:r w:rsidRPr="00630E50">
        <w:rPr>
          <w:rFonts w:eastAsiaTheme="minorEastAsia" w:cs="Arial"/>
        </w:rPr>
        <w:t xml:space="preserve">ls centres, professionals i interns. </w:t>
      </w:r>
    </w:p>
    <w:p w:rsidR="006A4109" w:rsidRPr="00630E50" w:rsidRDefault="006A4109" w:rsidP="00E930B2">
      <w:pPr>
        <w:ind w:left="1134" w:hanging="283"/>
        <w:rPr>
          <w:rFonts w:eastAsiaTheme="minorEastAsia" w:cs="Arial"/>
        </w:rPr>
      </w:pPr>
      <w:r>
        <w:rPr>
          <w:rFonts w:eastAsiaTheme="minorEastAsia" w:cs="Arial"/>
        </w:rPr>
        <w:t>‒</w:t>
      </w:r>
      <w:r>
        <w:rPr>
          <w:rFonts w:eastAsiaTheme="minorEastAsia" w:cs="Arial"/>
        </w:rPr>
        <w:tab/>
      </w:r>
      <w:r w:rsidRPr="00630E50">
        <w:rPr>
          <w:rFonts w:eastAsiaTheme="minorEastAsia" w:cs="Arial"/>
        </w:rPr>
        <w:t>El sistema d</w:t>
      </w:r>
      <w:r>
        <w:rPr>
          <w:rFonts w:eastAsiaTheme="minorEastAsia" w:cs="Arial"/>
        </w:rPr>
        <w:t>’</w:t>
      </w:r>
      <w:r w:rsidRPr="00630E50">
        <w:rPr>
          <w:rFonts w:eastAsiaTheme="minorEastAsia" w:cs="Arial"/>
        </w:rPr>
        <w:t xml:space="preserve">avaluació i motivació (SAM) ha donat un resultat constatat en el règim obert, però, en el règim ordinari, encara queden pendents millores </w:t>
      </w:r>
      <w:r>
        <w:rPr>
          <w:rFonts w:eastAsiaTheme="minorEastAsia" w:cs="Arial"/>
        </w:rPr>
        <w:t xml:space="preserve">perquè </w:t>
      </w:r>
      <w:r w:rsidRPr="00630E50">
        <w:rPr>
          <w:rFonts w:eastAsiaTheme="minorEastAsia" w:cs="Arial"/>
        </w:rPr>
        <w:t>sigui un sistema efectiu d</w:t>
      </w:r>
      <w:r>
        <w:rPr>
          <w:rFonts w:eastAsiaTheme="minorEastAsia" w:cs="Arial"/>
        </w:rPr>
        <w:t>’</w:t>
      </w:r>
      <w:r w:rsidRPr="00630E50">
        <w:rPr>
          <w:rFonts w:eastAsiaTheme="minorEastAsia" w:cs="Arial"/>
        </w:rPr>
        <w:t>avaluació con</w:t>
      </w:r>
      <w:r>
        <w:rPr>
          <w:rFonts w:eastAsiaTheme="minorEastAsia" w:cs="Arial"/>
        </w:rPr>
        <w:t>tí</w:t>
      </w:r>
      <w:r w:rsidRPr="00630E50">
        <w:rPr>
          <w:rFonts w:eastAsiaTheme="minorEastAsia" w:cs="Arial"/>
        </w:rPr>
        <w:t>nua de tota la població. Queda pendent també adaptar aquest sistema als departaments especials de règim tancat (DERT)</w:t>
      </w:r>
      <w:r>
        <w:rPr>
          <w:rFonts w:eastAsiaTheme="minorEastAsia" w:cs="Arial"/>
        </w:rPr>
        <w:t>,</w:t>
      </w:r>
      <w:r w:rsidRPr="00630E50">
        <w:rPr>
          <w:rFonts w:eastAsiaTheme="minorEastAsia" w:cs="Arial"/>
        </w:rPr>
        <w:t xml:space="preserve"> que </w:t>
      </w:r>
      <w:r>
        <w:rPr>
          <w:rFonts w:eastAsiaTheme="minorEastAsia" w:cs="Arial"/>
        </w:rPr>
        <w:t xml:space="preserve">encara </w:t>
      </w:r>
      <w:r w:rsidRPr="00630E50">
        <w:rPr>
          <w:rFonts w:eastAsiaTheme="minorEastAsia" w:cs="Arial"/>
        </w:rPr>
        <w:t>funcionen amb sistemes de fases progressives. Amb aquest tipus de població cobra una importància especial la immediatesa de les avaluacions i l</w:t>
      </w:r>
      <w:r>
        <w:rPr>
          <w:rFonts w:eastAsiaTheme="minorEastAsia" w:cs="Arial"/>
        </w:rPr>
        <w:t>’</w:t>
      </w:r>
      <w:r w:rsidRPr="00630E50">
        <w:rPr>
          <w:rFonts w:eastAsiaTheme="minorEastAsia" w:cs="Arial"/>
        </w:rPr>
        <w:t>assignació d</w:t>
      </w:r>
      <w:r>
        <w:rPr>
          <w:rFonts w:eastAsiaTheme="minorEastAsia" w:cs="Arial"/>
        </w:rPr>
        <w:t>’</w:t>
      </w:r>
      <w:r w:rsidRPr="00630E50">
        <w:rPr>
          <w:rFonts w:eastAsiaTheme="minorEastAsia" w:cs="Arial"/>
        </w:rPr>
        <w:t xml:space="preserve">incentius. </w:t>
      </w:r>
    </w:p>
    <w:p w:rsidR="006A4109" w:rsidRPr="00630E50" w:rsidRDefault="006A4109" w:rsidP="00E930B2">
      <w:pPr>
        <w:ind w:left="1135" w:hanging="284"/>
        <w:rPr>
          <w:rFonts w:eastAsiaTheme="minorEastAsia" w:cs="Arial"/>
        </w:rPr>
      </w:pPr>
      <w:r>
        <w:rPr>
          <w:rFonts w:eastAsiaTheme="minorEastAsia" w:cs="Arial"/>
        </w:rPr>
        <w:t>‒</w:t>
      </w:r>
      <w:r>
        <w:rPr>
          <w:rFonts w:eastAsiaTheme="minorEastAsia" w:cs="Arial"/>
        </w:rPr>
        <w:tab/>
      </w:r>
      <w:r w:rsidRPr="00630E50">
        <w:rPr>
          <w:rFonts w:eastAsiaTheme="minorEastAsia" w:cs="Arial"/>
        </w:rPr>
        <w:t xml:space="preserve">Els </w:t>
      </w:r>
      <w:r>
        <w:rPr>
          <w:rFonts w:eastAsiaTheme="minorEastAsia" w:cs="Arial"/>
        </w:rPr>
        <w:t>equips multidisciplinaris (EMD)</w:t>
      </w:r>
      <w:r w:rsidRPr="00630E50">
        <w:rPr>
          <w:rFonts w:eastAsiaTheme="minorEastAsia" w:cs="Arial"/>
        </w:rPr>
        <w:t xml:space="preserve"> s</w:t>
      </w:r>
      <w:r>
        <w:rPr>
          <w:rFonts w:eastAsiaTheme="minorEastAsia" w:cs="Arial"/>
        </w:rPr>
        <w:t>ó</w:t>
      </w:r>
      <w:r w:rsidRPr="00630E50">
        <w:rPr>
          <w:rFonts w:eastAsiaTheme="minorEastAsia" w:cs="Arial"/>
        </w:rPr>
        <w:t xml:space="preserve">n el camí per </w:t>
      </w:r>
      <w:r>
        <w:rPr>
          <w:rFonts w:eastAsiaTheme="minorEastAsia" w:cs="Arial"/>
        </w:rPr>
        <w:t xml:space="preserve">a </w:t>
      </w:r>
      <w:r w:rsidRPr="00630E50">
        <w:rPr>
          <w:rFonts w:eastAsiaTheme="minorEastAsia" w:cs="Arial"/>
        </w:rPr>
        <w:t xml:space="preserve">una completa integració dels diferents sectors de la intervenció </w:t>
      </w:r>
      <w:r>
        <w:rPr>
          <w:rFonts w:eastAsiaTheme="minorEastAsia" w:cs="Arial"/>
        </w:rPr>
        <w:t>penitenciària</w:t>
      </w:r>
      <w:r w:rsidRPr="00630E50">
        <w:rPr>
          <w:rFonts w:eastAsiaTheme="minorEastAsia" w:cs="Arial"/>
        </w:rPr>
        <w:t xml:space="preserve"> (seguretat i règim interior, treball, atenció sanitària, educació i rehabilitació), però encara queda molt per arribar a consolidar una visió conjunta centrada en la persona. Cal seguir desenvolupant procediments i criteris comuns entre les àrees de règim interior i rehabilitació per </w:t>
      </w:r>
      <w:r>
        <w:rPr>
          <w:rFonts w:eastAsiaTheme="minorEastAsia" w:cs="Arial"/>
        </w:rPr>
        <w:t>oferir</w:t>
      </w:r>
      <w:r w:rsidRPr="00630E50">
        <w:rPr>
          <w:rFonts w:eastAsiaTheme="minorEastAsia" w:cs="Arial"/>
        </w:rPr>
        <w:t xml:space="preserve"> una oferta </w:t>
      </w:r>
      <w:r>
        <w:rPr>
          <w:rFonts w:eastAsiaTheme="minorEastAsia" w:cs="Arial"/>
        </w:rPr>
        <w:t>à</w:t>
      </w:r>
      <w:r w:rsidRPr="00630E50">
        <w:rPr>
          <w:rFonts w:eastAsiaTheme="minorEastAsia" w:cs="Arial"/>
        </w:rPr>
        <w:t>mplia d</w:t>
      </w:r>
      <w:r>
        <w:rPr>
          <w:rFonts w:eastAsiaTheme="minorEastAsia" w:cs="Arial"/>
        </w:rPr>
        <w:t>’</w:t>
      </w:r>
      <w:r w:rsidRPr="00630E50">
        <w:rPr>
          <w:rFonts w:eastAsiaTheme="minorEastAsia" w:cs="Arial"/>
        </w:rPr>
        <w:t xml:space="preserve">activitats i serveis on el funcionament dels serveis bàsics i la rehabilitació funcionin harmònicament. </w:t>
      </w:r>
    </w:p>
    <w:p w:rsidR="006A4109" w:rsidRPr="00630E50" w:rsidRDefault="006A4109" w:rsidP="00E930B2">
      <w:pPr>
        <w:ind w:left="1135" w:hanging="1"/>
        <w:rPr>
          <w:rFonts w:eastAsiaTheme="minorEastAsia" w:cs="Arial"/>
        </w:rPr>
      </w:pPr>
      <w:r w:rsidRPr="00630E50">
        <w:rPr>
          <w:rFonts w:eastAsiaTheme="minorEastAsia" w:cs="Arial"/>
        </w:rPr>
        <w:t>Cada unitat ha de ser capaç d</w:t>
      </w:r>
      <w:r>
        <w:rPr>
          <w:rFonts w:eastAsiaTheme="minorEastAsia" w:cs="Arial"/>
        </w:rPr>
        <w:t>’</w:t>
      </w:r>
      <w:r w:rsidRPr="00630E50">
        <w:rPr>
          <w:rFonts w:eastAsiaTheme="minorEastAsia" w:cs="Arial"/>
        </w:rPr>
        <w:t>oferir un ampli ventall d</w:t>
      </w:r>
      <w:r>
        <w:rPr>
          <w:rFonts w:eastAsiaTheme="minorEastAsia" w:cs="Arial"/>
        </w:rPr>
        <w:t>’</w:t>
      </w:r>
      <w:r w:rsidRPr="00630E50">
        <w:rPr>
          <w:rFonts w:eastAsiaTheme="minorEastAsia" w:cs="Arial"/>
        </w:rPr>
        <w:t>activitats d</w:t>
      </w:r>
      <w:r>
        <w:rPr>
          <w:rFonts w:eastAsiaTheme="minorEastAsia" w:cs="Arial"/>
        </w:rPr>
        <w:t>’</w:t>
      </w:r>
      <w:r w:rsidRPr="00630E50">
        <w:rPr>
          <w:rFonts w:eastAsiaTheme="minorEastAsia" w:cs="Arial"/>
        </w:rPr>
        <w:t>acord amb les necessitats educatives, laborals, culturals, de tractament generalista i especialitzat i de contacte amb l</w:t>
      </w:r>
      <w:r>
        <w:rPr>
          <w:rFonts w:eastAsiaTheme="minorEastAsia" w:cs="Arial"/>
        </w:rPr>
        <w:t>’</w:t>
      </w:r>
      <w:r w:rsidRPr="00630E50">
        <w:rPr>
          <w:rFonts w:eastAsiaTheme="minorEastAsia" w:cs="Arial"/>
        </w:rPr>
        <w:t xml:space="preserve">exterior de la població del mòdul, compatible amb altres necessitats bàsiques com </w:t>
      </w:r>
      <w:r>
        <w:rPr>
          <w:rFonts w:eastAsiaTheme="minorEastAsia" w:cs="Arial"/>
        </w:rPr>
        <w:t xml:space="preserve">ara </w:t>
      </w:r>
      <w:r w:rsidRPr="00630E50">
        <w:rPr>
          <w:rFonts w:eastAsiaTheme="minorEastAsia" w:cs="Arial"/>
        </w:rPr>
        <w:t>el manteniment de les insta</w:t>
      </w:r>
      <w:r>
        <w:rPr>
          <w:rFonts w:eastAsiaTheme="minorEastAsia" w:cs="Arial"/>
        </w:rPr>
        <w:t>l·l</w:t>
      </w:r>
      <w:r w:rsidRPr="00630E50">
        <w:rPr>
          <w:rFonts w:eastAsiaTheme="minorEastAsia" w:cs="Arial"/>
        </w:rPr>
        <w:t>acions, l</w:t>
      </w:r>
      <w:r>
        <w:rPr>
          <w:rFonts w:eastAsiaTheme="minorEastAsia" w:cs="Arial"/>
        </w:rPr>
        <w:t>’</w:t>
      </w:r>
      <w:r w:rsidRPr="00630E50">
        <w:rPr>
          <w:rFonts w:eastAsiaTheme="minorEastAsia" w:cs="Arial"/>
        </w:rPr>
        <w:t>alimentació, el descans o els protocols de seguretat. A més, s</w:t>
      </w:r>
      <w:r>
        <w:rPr>
          <w:rFonts w:eastAsiaTheme="minorEastAsia" w:cs="Arial"/>
        </w:rPr>
        <w:t>’</w:t>
      </w:r>
      <w:r w:rsidRPr="00630E50">
        <w:rPr>
          <w:rFonts w:eastAsiaTheme="minorEastAsia" w:cs="Arial"/>
        </w:rPr>
        <w:t>ha de compatibilitzar l</w:t>
      </w:r>
      <w:r>
        <w:rPr>
          <w:rFonts w:eastAsiaTheme="minorEastAsia" w:cs="Arial"/>
        </w:rPr>
        <w:t>’</w:t>
      </w:r>
      <w:r w:rsidRPr="00630E50">
        <w:rPr>
          <w:rFonts w:eastAsiaTheme="minorEastAsia" w:cs="Arial"/>
        </w:rPr>
        <w:t>activitat dintre del mòdul amb la que es duu a terme a les insta</w:t>
      </w:r>
      <w:r>
        <w:rPr>
          <w:rFonts w:eastAsiaTheme="minorEastAsia" w:cs="Arial"/>
        </w:rPr>
        <w:t>l·l</w:t>
      </w:r>
      <w:r w:rsidRPr="00630E50">
        <w:rPr>
          <w:rFonts w:eastAsiaTheme="minorEastAsia" w:cs="Arial"/>
        </w:rPr>
        <w:t xml:space="preserve">acions centralitzades </w:t>
      </w:r>
      <w:r w:rsidRPr="00026FC8">
        <w:rPr>
          <w:rFonts w:eastAsiaTheme="minorEastAsia" w:cs="Arial"/>
        </w:rPr>
        <w:t>per</w:t>
      </w:r>
      <w:r w:rsidRPr="00630E50">
        <w:rPr>
          <w:rFonts w:eastAsiaTheme="minorEastAsia" w:cs="Arial"/>
        </w:rPr>
        <w:t xml:space="preserve"> </w:t>
      </w:r>
      <w:r>
        <w:rPr>
          <w:rFonts w:eastAsiaTheme="minorEastAsia" w:cs="Arial"/>
        </w:rPr>
        <w:t xml:space="preserve">a </w:t>
      </w:r>
      <w:r w:rsidRPr="00630E50">
        <w:rPr>
          <w:rFonts w:eastAsiaTheme="minorEastAsia" w:cs="Arial"/>
        </w:rPr>
        <w:t>l</w:t>
      </w:r>
      <w:r>
        <w:rPr>
          <w:rFonts w:eastAsiaTheme="minorEastAsia" w:cs="Arial"/>
        </w:rPr>
        <w:t>’</w:t>
      </w:r>
      <w:r w:rsidRPr="00630E50">
        <w:rPr>
          <w:rFonts w:eastAsiaTheme="minorEastAsia" w:cs="Arial"/>
        </w:rPr>
        <w:t>educació, el treball, l</w:t>
      </w:r>
      <w:r>
        <w:rPr>
          <w:rFonts w:eastAsiaTheme="minorEastAsia" w:cs="Arial"/>
        </w:rPr>
        <w:t>’</w:t>
      </w:r>
      <w:r w:rsidRPr="00630E50">
        <w:rPr>
          <w:rFonts w:eastAsiaTheme="minorEastAsia" w:cs="Arial"/>
        </w:rPr>
        <w:t>esport o d</w:t>
      </w:r>
      <w:r>
        <w:rPr>
          <w:rFonts w:eastAsiaTheme="minorEastAsia" w:cs="Arial"/>
        </w:rPr>
        <w:t>’</w:t>
      </w:r>
      <w:r w:rsidRPr="00630E50">
        <w:rPr>
          <w:rFonts w:eastAsiaTheme="minorEastAsia" w:cs="Arial"/>
        </w:rPr>
        <w:t xml:space="preserve">altres. És </w:t>
      </w:r>
      <w:r>
        <w:rPr>
          <w:rFonts w:eastAsiaTheme="minorEastAsia" w:cs="Arial"/>
        </w:rPr>
        <w:t>especialment important</w:t>
      </w:r>
      <w:r w:rsidRPr="00630E50">
        <w:rPr>
          <w:rFonts w:eastAsiaTheme="minorEastAsia" w:cs="Arial"/>
        </w:rPr>
        <w:t xml:space="preserve">, també, integrar en els </w:t>
      </w:r>
      <w:r>
        <w:rPr>
          <w:rFonts w:eastAsiaTheme="minorEastAsia" w:cs="Arial"/>
        </w:rPr>
        <w:t>programes marc d’atenció individualitzada (PIT)</w:t>
      </w:r>
      <w:r w:rsidRPr="00630E50">
        <w:rPr>
          <w:rFonts w:eastAsiaTheme="minorEastAsia" w:cs="Arial"/>
        </w:rPr>
        <w:t xml:space="preserve"> la perspectiva de la salut i salut mental que correspon a professionals sanitaris amb una cultura professional i dependència diferents a les de la resta del personal penitenciari.</w:t>
      </w:r>
    </w:p>
    <w:p w:rsidR="006A4109" w:rsidRPr="00630E50" w:rsidRDefault="006A4109" w:rsidP="00E930B2">
      <w:pPr>
        <w:ind w:left="1135" w:hanging="284"/>
        <w:rPr>
          <w:rFonts w:eastAsiaTheme="minorEastAsia" w:cs="Arial"/>
        </w:rPr>
      </w:pPr>
      <w:r>
        <w:rPr>
          <w:rFonts w:eastAsiaTheme="minorEastAsia" w:cs="Arial"/>
        </w:rPr>
        <w:t>‒</w:t>
      </w:r>
      <w:r>
        <w:rPr>
          <w:rFonts w:eastAsiaTheme="minorEastAsia" w:cs="Arial"/>
        </w:rPr>
        <w:tab/>
      </w:r>
      <w:r w:rsidRPr="00630E50">
        <w:rPr>
          <w:rFonts w:eastAsiaTheme="minorEastAsia" w:cs="Arial"/>
        </w:rPr>
        <w:t>La gestió i planificació dels recursos humans ha d</w:t>
      </w:r>
      <w:r>
        <w:rPr>
          <w:rFonts w:eastAsiaTheme="minorEastAsia" w:cs="Arial"/>
        </w:rPr>
        <w:t>’</w:t>
      </w:r>
      <w:r w:rsidRPr="00630E50">
        <w:rPr>
          <w:rFonts w:eastAsiaTheme="minorEastAsia" w:cs="Arial"/>
        </w:rPr>
        <w:t>estar basada en l</w:t>
      </w:r>
      <w:r>
        <w:rPr>
          <w:rFonts w:eastAsiaTheme="minorEastAsia" w:cs="Arial"/>
        </w:rPr>
        <w:t>’</w:t>
      </w:r>
      <w:r w:rsidRPr="00630E50">
        <w:rPr>
          <w:rFonts w:eastAsiaTheme="minorEastAsia" w:cs="Arial"/>
        </w:rPr>
        <w:t xml:space="preserve">equilibri entre les necessitats del personal i en aquests principis orientadors: una intervenció centrada en les necessitats dels interns i una oferta </w:t>
      </w:r>
      <w:r>
        <w:rPr>
          <w:rFonts w:eastAsiaTheme="minorEastAsia" w:cs="Arial"/>
        </w:rPr>
        <w:t>à</w:t>
      </w:r>
      <w:r w:rsidRPr="00630E50">
        <w:rPr>
          <w:rFonts w:eastAsiaTheme="minorEastAsia" w:cs="Arial"/>
        </w:rPr>
        <w:t>mplia d</w:t>
      </w:r>
      <w:r>
        <w:rPr>
          <w:rFonts w:eastAsiaTheme="minorEastAsia" w:cs="Arial"/>
        </w:rPr>
        <w:t>’</w:t>
      </w:r>
      <w:r w:rsidRPr="00630E50">
        <w:rPr>
          <w:rFonts w:eastAsiaTheme="minorEastAsia" w:cs="Arial"/>
        </w:rPr>
        <w:t>activitats com a part de la gestió de l</w:t>
      </w:r>
      <w:r>
        <w:rPr>
          <w:rFonts w:eastAsiaTheme="minorEastAsia" w:cs="Arial"/>
        </w:rPr>
        <w:t>’</w:t>
      </w:r>
      <w:r w:rsidRPr="00630E50">
        <w:rPr>
          <w:rFonts w:eastAsiaTheme="minorEastAsia" w:cs="Arial"/>
        </w:rPr>
        <w:t xml:space="preserve">ambient, i unes condicions de treball que </w:t>
      </w:r>
      <w:r>
        <w:rPr>
          <w:rFonts w:eastAsiaTheme="minorEastAsia" w:cs="Arial"/>
        </w:rPr>
        <w:t>prevegin</w:t>
      </w:r>
      <w:r w:rsidRPr="00630E50">
        <w:rPr>
          <w:rFonts w:eastAsiaTheme="minorEastAsia" w:cs="Arial"/>
        </w:rPr>
        <w:t xml:space="preserve"> la coordinació entre professionals i la presa de decisions co</w:t>
      </w:r>
      <w:r>
        <w:rPr>
          <w:rFonts w:eastAsiaTheme="minorEastAsia" w:cs="Arial"/>
        </w:rPr>
        <w:t>l·l</w:t>
      </w:r>
      <w:r w:rsidRPr="00630E50">
        <w:rPr>
          <w:rFonts w:eastAsiaTheme="minorEastAsia" w:cs="Arial"/>
        </w:rPr>
        <w:t xml:space="preserve">egiades. La situació actual, on coexisteixen diferents horaris dintre del mateix equip i tipus de professionals, per exemple, </w:t>
      </w:r>
      <w:r>
        <w:rPr>
          <w:rFonts w:eastAsiaTheme="minorEastAsia" w:cs="Arial"/>
        </w:rPr>
        <w:t>dificulta la coordinació</w:t>
      </w:r>
      <w:r w:rsidRPr="00630E50">
        <w:rPr>
          <w:rFonts w:eastAsiaTheme="minorEastAsia" w:cs="Arial"/>
        </w:rPr>
        <w:t xml:space="preserve"> dels equips, la programació d</w:t>
      </w:r>
      <w:r>
        <w:rPr>
          <w:rFonts w:eastAsiaTheme="minorEastAsia" w:cs="Arial"/>
        </w:rPr>
        <w:t>’</w:t>
      </w:r>
      <w:r w:rsidRPr="00630E50">
        <w:rPr>
          <w:rFonts w:eastAsiaTheme="minorEastAsia" w:cs="Arial"/>
        </w:rPr>
        <w:t>activitats i l</w:t>
      </w:r>
      <w:r>
        <w:rPr>
          <w:rFonts w:eastAsiaTheme="minorEastAsia" w:cs="Arial"/>
        </w:rPr>
        <w:t>’</w:t>
      </w:r>
      <w:r w:rsidRPr="00630E50">
        <w:rPr>
          <w:rFonts w:eastAsiaTheme="minorEastAsia" w:cs="Arial"/>
        </w:rPr>
        <w:t xml:space="preserve">atenció individualitzada. No es pot oblidar, però, que el personal penitenciari fa una tasca altament qualificada en un context difícil. Els professionals que treballen amb persones han de </w:t>
      </w:r>
      <w:r>
        <w:rPr>
          <w:rFonts w:eastAsiaTheme="minorEastAsia" w:cs="Arial"/>
        </w:rPr>
        <w:t>disposar de</w:t>
      </w:r>
      <w:r w:rsidRPr="00630E50">
        <w:rPr>
          <w:rFonts w:eastAsiaTheme="minorEastAsia" w:cs="Arial"/>
        </w:rPr>
        <w:t xml:space="preserve"> condicions de treball que permetin el descans, la supervisió i la formació contínua. </w:t>
      </w:r>
    </w:p>
    <w:p w:rsidR="006A4109" w:rsidRPr="00647306" w:rsidRDefault="006A4109" w:rsidP="00E930B2">
      <w:pPr>
        <w:ind w:left="1135" w:hanging="1"/>
        <w:rPr>
          <w:rFonts w:eastAsiaTheme="minorEastAsia" w:cs="Arial"/>
        </w:rPr>
      </w:pPr>
      <w:r w:rsidRPr="00630E50">
        <w:rPr>
          <w:rFonts w:eastAsiaTheme="minorEastAsia" w:cs="Arial"/>
        </w:rPr>
        <w:t xml:space="preserve">En definitiva, un dels principals reptes </w:t>
      </w:r>
      <w:r>
        <w:rPr>
          <w:rFonts w:eastAsiaTheme="minorEastAsia" w:cs="Arial"/>
        </w:rPr>
        <w:t>de</w:t>
      </w:r>
      <w:r w:rsidRPr="00630E50">
        <w:rPr>
          <w:rFonts w:eastAsiaTheme="minorEastAsia" w:cs="Arial"/>
        </w:rPr>
        <w:t xml:space="preserve"> futur és l</w:t>
      </w:r>
      <w:r>
        <w:rPr>
          <w:rFonts w:eastAsiaTheme="minorEastAsia" w:cs="Arial"/>
        </w:rPr>
        <w:t>’</w:t>
      </w:r>
      <w:r w:rsidRPr="00630E50">
        <w:rPr>
          <w:rFonts w:eastAsiaTheme="minorEastAsia" w:cs="Arial"/>
        </w:rPr>
        <w:t xml:space="preserve">organització de les presons com a institucions complexes per facilitar el funcionament eficient i efectiu de la intervenció. Cal definir estàndards de servei comuns a tota la població </w:t>
      </w:r>
      <w:r>
        <w:rPr>
          <w:rFonts w:eastAsiaTheme="minorEastAsia" w:cs="Arial"/>
        </w:rPr>
        <w:t>penitenciària</w:t>
      </w:r>
      <w:r w:rsidRPr="00630E50">
        <w:rPr>
          <w:rFonts w:eastAsiaTheme="minorEastAsia" w:cs="Arial"/>
        </w:rPr>
        <w:t xml:space="preserve"> compatibles amb les particularitats de cada centre</w:t>
      </w:r>
      <w:r>
        <w:rPr>
          <w:rFonts w:eastAsiaTheme="minorEastAsia" w:cs="Arial"/>
        </w:rPr>
        <w:t>,</w:t>
      </w:r>
      <w:r w:rsidRPr="00630E50">
        <w:rPr>
          <w:rFonts w:eastAsiaTheme="minorEastAsia" w:cs="Arial"/>
        </w:rPr>
        <w:t xml:space="preserve"> </w:t>
      </w:r>
      <w:r>
        <w:rPr>
          <w:rFonts w:eastAsiaTheme="minorEastAsia" w:cs="Arial"/>
        </w:rPr>
        <w:t>conseqüència de la</w:t>
      </w:r>
      <w:r w:rsidRPr="00630E50">
        <w:rPr>
          <w:rFonts w:eastAsiaTheme="minorEastAsia" w:cs="Arial"/>
        </w:rPr>
        <w:t xml:space="preserve"> seva estructura i el tipus de població que atenen.</w:t>
      </w:r>
    </w:p>
    <w:p w:rsidR="006A4109" w:rsidRPr="00647306" w:rsidRDefault="006A4109" w:rsidP="00E930B2">
      <w:pPr>
        <w:rPr>
          <w:rFonts w:eastAsiaTheme="minorEastAsia" w:cs="Arial"/>
        </w:rPr>
      </w:pPr>
    </w:p>
    <w:p w:rsidR="006A4109" w:rsidRPr="00C552F1" w:rsidRDefault="006A4109" w:rsidP="0070401F">
      <w:pPr>
        <w:pStyle w:val="Ttol2"/>
      </w:pPr>
      <w:bookmarkStart w:id="262" w:name="_Toc463867771"/>
      <w:bookmarkStart w:id="263" w:name="_Toc464685658"/>
      <w:bookmarkStart w:id="264" w:name="_Toc465293389"/>
      <w:r w:rsidRPr="00C552F1">
        <w:t>La reinserció: medi obert</w:t>
      </w:r>
      <w:r w:rsidR="008C108A" w:rsidRPr="00C552F1">
        <w:t xml:space="preserve">, </w:t>
      </w:r>
      <w:r w:rsidRPr="00C552F1">
        <w:t>llibertat condicional i prevenció de la reincidència</w:t>
      </w:r>
      <w:bookmarkEnd w:id="262"/>
      <w:bookmarkEnd w:id="263"/>
      <w:bookmarkEnd w:id="264"/>
    </w:p>
    <w:p w:rsidR="006A4109" w:rsidRPr="00647306" w:rsidRDefault="006A4109" w:rsidP="00E930B2">
      <w:pPr>
        <w:rPr>
          <w:rFonts w:eastAsiaTheme="minorEastAsia" w:cs="Arial"/>
        </w:rPr>
      </w:pPr>
      <w:r w:rsidRPr="00647306">
        <w:rPr>
          <w:rFonts w:eastAsiaTheme="minorEastAsia" w:cs="Arial"/>
        </w:rPr>
        <w:t xml:space="preserve">La intervenció a les presons té com a finalitat última la reincorporació dels interns al medi social amb unes condicions de vida satisfactòries, prevenint alhora la reincidència. Per </w:t>
      </w:r>
      <w:r w:rsidRPr="00647306">
        <w:rPr>
          <w:rFonts w:eastAsiaTheme="minorEastAsia" w:cs="Arial"/>
        </w:rPr>
        <w:lastRenderedPageBreak/>
        <w:t xml:space="preserve">assolir aquest objectiu, no és suficient la intervenció que es fa dintre dels centres, cal també mantenir els vincles del penat amb el seu entorn i acompanyar el retorn a la vida en llibertat de forma gradual, en un procés que implica suport i supervisió per part dels equips de rehabilitació. En aquest procés, a mesura que avança el compliment de la pena </w:t>
      </w:r>
      <w:r>
        <w:rPr>
          <w:rFonts w:eastAsiaTheme="minorEastAsia" w:cs="Arial"/>
        </w:rPr>
        <w:t>tenen</w:t>
      </w:r>
      <w:r w:rsidRPr="00647306">
        <w:rPr>
          <w:rFonts w:eastAsiaTheme="minorEastAsia" w:cs="Arial"/>
        </w:rPr>
        <w:t xml:space="preserve"> un paper cabdal els recursos socials i les xarxes de suport social. </w:t>
      </w:r>
    </w:p>
    <w:p w:rsidR="006A4109" w:rsidRPr="00647306" w:rsidRDefault="006A4109" w:rsidP="00E930B2">
      <w:pPr>
        <w:rPr>
          <w:rFonts w:eastAsiaTheme="minorEastAsia" w:cs="Arial"/>
        </w:rPr>
      </w:pPr>
      <w:r w:rsidRPr="00647306">
        <w:rPr>
          <w:rFonts w:eastAsiaTheme="minorEastAsia" w:cs="Arial"/>
        </w:rPr>
        <w:t>Per tal de dur a terme aquesta finalitat, des dels inicis del model s</w:t>
      </w:r>
      <w:r>
        <w:rPr>
          <w:rFonts w:eastAsiaTheme="minorEastAsia" w:cs="Arial"/>
        </w:rPr>
        <w:t>’</w:t>
      </w:r>
      <w:r w:rsidRPr="00647306">
        <w:rPr>
          <w:rFonts w:eastAsiaTheme="minorEastAsia" w:cs="Arial"/>
        </w:rPr>
        <w:t xml:space="preserve">han anat desenvolupant els diferents dispositius que </w:t>
      </w:r>
      <w:r>
        <w:rPr>
          <w:rFonts w:eastAsiaTheme="minorEastAsia" w:cs="Arial"/>
        </w:rPr>
        <w:t>preveu</w:t>
      </w:r>
      <w:r w:rsidRPr="00647306">
        <w:rPr>
          <w:rFonts w:eastAsiaTheme="minorEastAsia" w:cs="Arial"/>
        </w:rPr>
        <w:t xml:space="preserve"> la normativa </w:t>
      </w:r>
      <w:r>
        <w:rPr>
          <w:rFonts w:eastAsiaTheme="minorEastAsia" w:cs="Arial"/>
        </w:rPr>
        <w:t>penitenciària</w:t>
      </w:r>
      <w:r w:rsidRPr="00647306">
        <w:rPr>
          <w:rFonts w:eastAsiaTheme="minorEastAsia" w:cs="Arial"/>
        </w:rPr>
        <w:t xml:space="preserve"> i també s</w:t>
      </w:r>
      <w:r>
        <w:rPr>
          <w:rFonts w:eastAsiaTheme="minorEastAsia" w:cs="Arial"/>
        </w:rPr>
        <w:t>’</w:t>
      </w:r>
      <w:r w:rsidRPr="00647306">
        <w:rPr>
          <w:rFonts w:eastAsiaTheme="minorEastAsia" w:cs="Arial"/>
        </w:rPr>
        <w:t xml:space="preserve">ha potenciat la col·laboració de recursos comunitaris que acullen </w:t>
      </w:r>
      <w:r>
        <w:rPr>
          <w:rFonts w:eastAsiaTheme="minorEastAsia" w:cs="Arial"/>
        </w:rPr>
        <w:t>e</w:t>
      </w:r>
      <w:r w:rsidRPr="00647306">
        <w:rPr>
          <w:rFonts w:eastAsiaTheme="minorEastAsia" w:cs="Arial"/>
        </w:rPr>
        <w:t xml:space="preserve">ls interns durant les sortides o la semillibertat, que ofereixen programes de tractament en el medi comunitari o que col·laboren en programes específics de reinserció. </w:t>
      </w:r>
    </w:p>
    <w:p w:rsidR="006A4109" w:rsidRPr="00647306" w:rsidRDefault="006A4109" w:rsidP="00E930B2">
      <w:pPr>
        <w:rPr>
          <w:rFonts w:eastAsiaTheme="minorEastAsia" w:cs="Arial"/>
        </w:rPr>
      </w:pPr>
    </w:p>
    <w:p w:rsidR="006A4109" w:rsidRPr="00F02D52" w:rsidRDefault="006A4109" w:rsidP="0070401F">
      <w:pPr>
        <w:pStyle w:val="Ttol3"/>
      </w:pPr>
      <w:bookmarkStart w:id="265" w:name="_Toc463867772"/>
      <w:bookmarkStart w:id="266" w:name="_Toc464685659"/>
      <w:bookmarkStart w:id="267" w:name="_Toc465293390"/>
      <w:r w:rsidRPr="00F02D52">
        <w:t>Les sortides programade</w:t>
      </w:r>
      <w:bookmarkEnd w:id="265"/>
      <w:r>
        <w:t>s</w:t>
      </w:r>
      <w:bookmarkEnd w:id="266"/>
      <w:bookmarkEnd w:id="267"/>
    </w:p>
    <w:p w:rsidR="006A4109" w:rsidRPr="00647306" w:rsidRDefault="006A4109" w:rsidP="00E930B2">
      <w:pPr>
        <w:rPr>
          <w:rFonts w:eastAsiaTheme="minorEastAsia" w:cs="Arial"/>
        </w:rPr>
      </w:pPr>
      <w:r w:rsidRPr="00647306">
        <w:rPr>
          <w:rFonts w:eastAsiaTheme="minorEastAsia" w:cs="Arial"/>
        </w:rPr>
        <w:t xml:space="preserve">Aquest complement als permisos de sortida ha anat creixent al llarg dels anys com una forma </w:t>
      </w:r>
      <w:r>
        <w:rPr>
          <w:rFonts w:eastAsiaTheme="minorEastAsia" w:cs="Arial"/>
        </w:rPr>
        <w:t xml:space="preserve">de </w:t>
      </w:r>
      <w:r w:rsidRPr="00647306">
        <w:rPr>
          <w:rFonts w:eastAsiaTheme="minorEastAsia" w:cs="Arial"/>
        </w:rPr>
        <w:t xml:space="preserve">posar en contacte </w:t>
      </w:r>
      <w:r>
        <w:rPr>
          <w:rFonts w:eastAsiaTheme="minorEastAsia" w:cs="Arial"/>
        </w:rPr>
        <w:t>e</w:t>
      </w:r>
      <w:r w:rsidRPr="00647306">
        <w:rPr>
          <w:rFonts w:eastAsiaTheme="minorEastAsia" w:cs="Arial"/>
        </w:rPr>
        <w:t>ls interns amb activitats en el medi extern i apropar-los al seu medi, comptant amb el suport i la supervisió dels professionals que hi participen. L</w:t>
      </w:r>
      <w:r>
        <w:rPr>
          <w:rFonts w:eastAsiaTheme="minorEastAsia" w:cs="Arial"/>
        </w:rPr>
        <w:t>’</w:t>
      </w:r>
      <w:r w:rsidRPr="00647306">
        <w:rPr>
          <w:rFonts w:eastAsiaTheme="minorEastAsia" w:cs="Arial"/>
        </w:rPr>
        <w:t xml:space="preserve">any 2015 es van </w:t>
      </w:r>
      <w:r>
        <w:rPr>
          <w:rFonts w:eastAsiaTheme="minorEastAsia" w:cs="Arial"/>
        </w:rPr>
        <w:t>fe</w:t>
      </w:r>
      <w:r w:rsidRPr="00647306">
        <w:rPr>
          <w:rFonts w:eastAsiaTheme="minorEastAsia" w:cs="Arial"/>
        </w:rPr>
        <w:t>r 1.288 sortides d</w:t>
      </w:r>
      <w:r>
        <w:rPr>
          <w:rFonts w:eastAsiaTheme="minorEastAsia" w:cs="Arial"/>
        </w:rPr>
        <w:t>’</w:t>
      </w:r>
      <w:r w:rsidRPr="00647306">
        <w:rPr>
          <w:rFonts w:eastAsiaTheme="minorEastAsia" w:cs="Arial"/>
        </w:rPr>
        <w:t xml:space="preserve">aquest tipus amb la participació de 1.088 interns. </w:t>
      </w:r>
    </w:p>
    <w:p w:rsidR="006A4109" w:rsidRPr="00647306" w:rsidRDefault="006A4109" w:rsidP="00E930B2">
      <w:pPr>
        <w:rPr>
          <w:rFonts w:eastAsiaTheme="minorEastAsia" w:cs="Arial"/>
        </w:rPr>
      </w:pPr>
    </w:p>
    <w:p w:rsidR="006A4109" w:rsidRPr="00F02D52" w:rsidRDefault="006A4109" w:rsidP="0070401F">
      <w:pPr>
        <w:pStyle w:val="Ttol3"/>
      </w:pPr>
      <w:bookmarkStart w:id="268" w:name="_Toc463867773"/>
      <w:bookmarkStart w:id="269" w:name="_Toc464685660"/>
      <w:bookmarkStart w:id="270" w:name="_Toc465293391"/>
      <w:r w:rsidRPr="00F02D52">
        <w:t>Els permisos de sortida</w:t>
      </w:r>
      <w:bookmarkEnd w:id="268"/>
      <w:bookmarkEnd w:id="269"/>
      <w:bookmarkEnd w:id="270"/>
    </w:p>
    <w:p w:rsidR="006A4109" w:rsidRPr="00630E50" w:rsidRDefault="006A4109" w:rsidP="00E930B2">
      <w:pPr>
        <w:rPr>
          <w:rFonts w:eastAsiaTheme="minorEastAsia" w:cs="Arial"/>
        </w:rPr>
      </w:pPr>
      <w:r w:rsidRPr="00647306">
        <w:rPr>
          <w:rFonts w:eastAsiaTheme="minorEastAsia" w:cs="Arial"/>
        </w:rPr>
        <w:t xml:space="preserve">La </w:t>
      </w:r>
      <w:r w:rsidRPr="009B0734">
        <w:rPr>
          <w:rFonts w:eastAsiaTheme="minorEastAsia" w:cs="Arial"/>
        </w:rPr>
        <w:t>Llei i el Reglament</w:t>
      </w:r>
      <w:r w:rsidRPr="00647306">
        <w:rPr>
          <w:rFonts w:eastAsiaTheme="minorEastAsia" w:cs="Arial"/>
        </w:rPr>
        <w:t xml:space="preserve"> penitenciari </w:t>
      </w:r>
      <w:r>
        <w:rPr>
          <w:rFonts w:eastAsiaTheme="minorEastAsia" w:cs="Arial"/>
        </w:rPr>
        <w:t>preveuen</w:t>
      </w:r>
      <w:r w:rsidRPr="00647306">
        <w:rPr>
          <w:rFonts w:eastAsiaTheme="minorEastAsia" w:cs="Arial"/>
        </w:rPr>
        <w:t xml:space="preserve"> la concessió de permisos de sortida ordinaris com a mitjà de preparació de la vida en llibertat. Fins </w:t>
      </w:r>
      <w:r>
        <w:rPr>
          <w:rFonts w:eastAsiaTheme="minorEastAsia" w:cs="Arial"/>
        </w:rPr>
        <w:t xml:space="preserve">a </w:t>
      </w:r>
      <w:r w:rsidRPr="00647306">
        <w:rPr>
          <w:rFonts w:eastAsiaTheme="minorEastAsia" w:cs="Arial"/>
        </w:rPr>
        <w:t>la segona meitat dels anys 90</w:t>
      </w:r>
      <w:r>
        <w:rPr>
          <w:rFonts w:eastAsiaTheme="minorEastAsia" w:cs="Arial"/>
        </w:rPr>
        <w:t>,</w:t>
      </w:r>
      <w:r w:rsidRPr="00647306">
        <w:rPr>
          <w:rFonts w:eastAsiaTheme="minorEastAsia" w:cs="Arial"/>
        </w:rPr>
        <w:t xml:space="preserve"> la gran majoria dels permisos que es concedien als interns en segon grau eren autoritzats pels jutges de vigilància </w:t>
      </w:r>
      <w:r>
        <w:rPr>
          <w:rFonts w:eastAsiaTheme="minorEastAsia" w:cs="Arial"/>
        </w:rPr>
        <w:t>penitenciària</w:t>
      </w:r>
      <w:r w:rsidRPr="00647306">
        <w:rPr>
          <w:rFonts w:eastAsiaTheme="minorEastAsia" w:cs="Arial"/>
        </w:rPr>
        <w:t xml:space="preserve"> i tenien una durada superior a 48 hores. A partir d</w:t>
      </w:r>
      <w:r>
        <w:rPr>
          <w:rFonts w:eastAsiaTheme="minorEastAsia" w:cs="Arial"/>
        </w:rPr>
        <w:t>’</w:t>
      </w:r>
      <w:r w:rsidRPr="00647306">
        <w:rPr>
          <w:rFonts w:eastAsiaTheme="minorEastAsia" w:cs="Arial"/>
        </w:rPr>
        <w:t xml:space="preserve">aquest moment, la Direcció General de Serveis Penitenciaris ha </w:t>
      </w:r>
      <w:r>
        <w:rPr>
          <w:rFonts w:eastAsiaTheme="minorEastAsia" w:cs="Arial"/>
        </w:rPr>
        <w:t>fet un ús</w:t>
      </w:r>
      <w:r w:rsidRPr="00647306">
        <w:rPr>
          <w:rFonts w:eastAsiaTheme="minorEastAsia" w:cs="Arial"/>
        </w:rPr>
        <w:t xml:space="preserve"> creixent dels permisos inferiors a 48 hores</w:t>
      </w:r>
      <w:r>
        <w:rPr>
          <w:rFonts w:eastAsiaTheme="minorEastAsia" w:cs="Arial"/>
        </w:rPr>
        <w:t>,</w:t>
      </w:r>
      <w:r w:rsidRPr="00647306">
        <w:rPr>
          <w:rFonts w:eastAsiaTheme="minorEastAsia" w:cs="Arial"/>
        </w:rPr>
        <w:t xml:space="preserve"> que permeten </w:t>
      </w:r>
      <w:r>
        <w:rPr>
          <w:rFonts w:eastAsiaTheme="minorEastAsia" w:cs="Arial"/>
        </w:rPr>
        <w:t>gestionar de manera</w:t>
      </w:r>
      <w:r w:rsidRPr="00647306">
        <w:rPr>
          <w:rFonts w:eastAsiaTheme="minorEastAsia" w:cs="Arial"/>
        </w:rPr>
        <w:t xml:space="preserve"> més dinàmica les sortides dels interns. Aquestes sortides, que tenen una durada curta i que poden ser autoritza</w:t>
      </w:r>
      <w:r>
        <w:rPr>
          <w:rFonts w:eastAsiaTheme="minorEastAsia" w:cs="Arial"/>
        </w:rPr>
        <w:t>de</w:t>
      </w:r>
      <w:r w:rsidRPr="00647306">
        <w:rPr>
          <w:rFonts w:eastAsiaTheme="minorEastAsia" w:cs="Arial"/>
        </w:rPr>
        <w:t>s en terminis més curts que els anteriors, s</w:t>
      </w:r>
      <w:r>
        <w:rPr>
          <w:rFonts w:eastAsiaTheme="minorEastAsia" w:cs="Arial"/>
        </w:rPr>
        <w:t>’</w:t>
      </w:r>
      <w:r w:rsidRPr="00647306">
        <w:rPr>
          <w:rFonts w:eastAsiaTheme="minorEastAsia" w:cs="Arial"/>
        </w:rPr>
        <w:t xml:space="preserve">han convertit en una eina fonamental per </w:t>
      </w:r>
      <w:r>
        <w:rPr>
          <w:rFonts w:eastAsiaTheme="minorEastAsia" w:cs="Arial"/>
        </w:rPr>
        <w:t xml:space="preserve">a </w:t>
      </w:r>
      <w:r w:rsidRPr="00647306">
        <w:rPr>
          <w:rFonts w:eastAsiaTheme="minorEastAsia" w:cs="Arial"/>
        </w:rPr>
        <w:t>la realització d</w:t>
      </w:r>
      <w:r>
        <w:rPr>
          <w:rFonts w:eastAsiaTheme="minorEastAsia" w:cs="Arial"/>
        </w:rPr>
        <w:t>’</w:t>
      </w:r>
      <w:r w:rsidRPr="00647306">
        <w:rPr>
          <w:rFonts w:eastAsiaTheme="minorEastAsia" w:cs="Arial"/>
        </w:rPr>
        <w:t>activitats programades per part de l</w:t>
      </w:r>
      <w:r>
        <w:rPr>
          <w:rFonts w:eastAsiaTheme="minorEastAsia" w:cs="Arial"/>
        </w:rPr>
        <w:t>’</w:t>
      </w:r>
      <w:r w:rsidRPr="00647306">
        <w:rPr>
          <w:rFonts w:eastAsiaTheme="minorEastAsia" w:cs="Arial"/>
        </w:rPr>
        <w:t>intern en contacte amb el seu medi com una part de mol</w:t>
      </w:r>
      <w:r>
        <w:rPr>
          <w:rFonts w:eastAsiaTheme="minorEastAsia" w:cs="Arial"/>
        </w:rPr>
        <w:t>t</w:t>
      </w:r>
      <w:r w:rsidRPr="00647306">
        <w:rPr>
          <w:rFonts w:eastAsiaTheme="minorEastAsia" w:cs="Arial"/>
        </w:rPr>
        <w:t>s PIT. Així, l</w:t>
      </w:r>
      <w:r>
        <w:rPr>
          <w:rFonts w:eastAsiaTheme="minorEastAsia" w:cs="Arial"/>
        </w:rPr>
        <w:t>’</w:t>
      </w:r>
      <w:r w:rsidRPr="00647306">
        <w:rPr>
          <w:rFonts w:eastAsiaTheme="minorEastAsia" w:cs="Arial"/>
        </w:rPr>
        <w:t>any 2015</w:t>
      </w:r>
      <w:r>
        <w:rPr>
          <w:rFonts w:eastAsiaTheme="minorEastAsia" w:cs="Arial"/>
        </w:rPr>
        <w:t>,</w:t>
      </w:r>
      <w:r w:rsidRPr="00647306">
        <w:rPr>
          <w:rFonts w:eastAsiaTheme="minorEastAsia" w:cs="Arial"/>
        </w:rPr>
        <w:t xml:space="preserve"> el 22</w:t>
      </w:r>
      <w:r>
        <w:rPr>
          <w:rFonts w:eastAsiaTheme="minorEastAsia" w:cs="Arial"/>
        </w:rPr>
        <w:t xml:space="preserve"> </w:t>
      </w:r>
      <w:r w:rsidRPr="00647306">
        <w:rPr>
          <w:rFonts w:eastAsiaTheme="minorEastAsia" w:cs="Arial"/>
        </w:rPr>
        <w:t>% dels permisos concedits a interns en segon grau</w:t>
      </w:r>
      <w:r>
        <w:rPr>
          <w:rFonts w:eastAsiaTheme="minorEastAsia" w:cs="Arial"/>
        </w:rPr>
        <w:t xml:space="preserve"> </w:t>
      </w:r>
      <w:r w:rsidRPr="00647306">
        <w:rPr>
          <w:rFonts w:eastAsiaTheme="minorEastAsia" w:cs="Arial"/>
        </w:rPr>
        <w:t xml:space="preserve">van ser permisos inferiors a 48 hores. </w:t>
      </w:r>
    </w:p>
    <w:p w:rsidR="006A4109" w:rsidRPr="00647306" w:rsidRDefault="006A4109" w:rsidP="00E930B2">
      <w:pPr>
        <w:rPr>
          <w:rFonts w:eastAsiaTheme="minorEastAsia" w:cs="Arial"/>
        </w:rPr>
      </w:pPr>
    </w:p>
    <w:p w:rsidR="006A4109" w:rsidRPr="00F02D52" w:rsidRDefault="006A4109" w:rsidP="0070401F">
      <w:pPr>
        <w:pStyle w:val="Ttol3"/>
      </w:pPr>
      <w:bookmarkStart w:id="271" w:name="_Toc463867774"/>
      <w:bookmarkStart w:id="272" w:name="_Toc464685661"/>
      <w:bookmarkStart w:id="273" w:name="_Toc465293392"/>
      <w:r w:rsidRPr="00F02D52">
        <w:t>El medi obert</w:t>
      </w:r>
      <w:bookmarkEnd w:id="271"/>
      <w:bookmarkEnd w:id="272"/>
      <w:bookmarkEnd w:id="273"/>
    </w:p>
    <w:p w:rsidR="006A4109" w:rsidRPr="00647306" w:rsidRDefault="006A4109" w:rsidP="00E930B2">
      <w:pPr>
        <w:rPr>
          <w:rFonts w:eastAsiaTheme="minorEastAsia" w:cs="Arial"/>
        </w:rPr>
      </w:pPr>
      <w:r w:rsidRPr="00647306">
        <w:rPr>
          <w:rFonts w:eastAsiaTheme="minorEastAsia" w:cs="Arial"/>
        </w:rPr>
        <w:t>L</w:t>
      </w:r>
      <w:r>
        <w:rPr>
          <w:rFonts w:eastAsiaTheme="minorEastAsia" w:cs="Arial"/>
        </w:rPr>
        <w:t>’</w:t>
      </w:r>
      <w:r w:rsidRPr="00647306">
        <w:rPr>
          <w:rFonts w:eastAsiaTheme="minorEastAsia" w:cs="Arial"/>
        </w:rPr>
        <w:t xml:space="preserve">any 1991 es van crear els primers centres penitenciaris oberts a Lleida i Barcelona. Fins </w:t>
      </w:r>
      <w:r>
        <w:rPr>
          <w:rFonts w:eastAsiaTheme="minorEastAsia" w:cs="Arial"/>
        </w:rPr>
        <w:t xml:space="preserve">en </w:t>
      </w:r>
      <w:r w:rsidRPr="00647306">
        <w:rPr>
          <w:rFonts w:eastAsiaTheme="minorEastAsia" w:cs="Arial"/>
        </w:rPr>
        <w:t>aquell moment, el règim obert s</w:t>
      </w:r>
      <w:r>
        <w:rPr>
          <w:rFonts w:eastAsiaTheme="minorEastAsia" w:cs="Arial"/>
        </w:rPr>
        <w:t>’</w:t>
      </w:r>
      <w:r w:rsidRPr="00647306">
        <w:rPr>
          <w:rFonts w:eastAsiaTheme="minorEastAsia" w:cs="Arial"/>
        </w:rPr>
        <w:t xml:space="preserve">havia ubicat </w:t>
      </w:r>
      <w:r>
        <w:rPr>
          <w:rFonts w:eastAsiaTheme="minorEastAsia" w:cs="Arial"/>
        </w:rPr>
        <w:t>en</w:t>
      </w:r>
      <w:r w:rsidRPr="00647306">
        <w:rPr>
          <w:rFonts w:eastAsiaTheme="minorEastAsia" w:cs="Arial"/>
        </w:rPr>
        <w:t xml:space="preserve"> unitats dels centres de règim ordinari (seccions obertes). La configuració de centres penitenciaris especialitzats per interns en tercer grau ha permès anar creant un model de medi obert diferenciat on es d</w:t>
      </w:r>
      <w:r>
        <w:rPr>
          <w:rFonts w:eastAsiaTheme="minorEastAsia" w:cs="Arial"/>
        </w:rPr>
        <w:t>ó</w:t>
      </w:r>
      <w:r w:rsidRPr="00647306">
        <w:rPr>
          <w:rFonts w:eastAsiaTheme="minorEastAsia" w:cs="Arial"/>
        </w:rPr>
        <w:t>na prioritat a la vinculació dels interns al medi social per davant dels aspectes institucionals. Des de llavors, el medi obert ha anat creixent tant quantitativament com en les seves modalitats i mecanismes d</w:t>
      </w:r>
      <w:r>
        <w:rPr>
          <w:rFonts w:eastAsiaTheme="minorEastAsia" w:cs="Arial"/>
        </w:rPr>
        <w:t>’</w:t>
      </w:r>
      <w:r w:rsidRPr="00647306">
        <w:rPr>
          <w:rFonts w:eastAsiaTheme="minorEastAsia" w:cs="Arial"/>
        </w:rPr>
        <w:t>intervenció. Els canvis més significatius en aquests anys han estat:</w:t>
      </w:r>
    </w:p>
    <w:p w:rsidR="006A4109" w:rsidRPr="00647306" w:rsidRDefault="006A4109" w:rsidP="00E930B2">
      <w:pPr>
        <w:rPr>
          <w:rFonts w:eastAsiaTheme="minorEastAsia" w:cs="Arial"/>
        </w:rPr>
      </w:pPr>
      <w:r w:rsidRPr="00647306">
        <w:rPr>
          <w:rFonts w:eastAsiaTheme="minorEastAsia" w:cs="Arial"/>
        </w:rPr>
        <w:t>L</w:t>
      </w:r>
      <w:r>
        <w:rPr>
          <w:rFonts w:eastAsiaTheme="minorEastAsia" w:cs="Arial"/>
        </w:rPr>
        <w:t>’</w:t>
      </w:r>
      <w:r w:rsidRPr="00647306">
        <w:rPr>
          <w:rFonts w:eastAsiaTheme="minorEastAsia" w:cs="Arial"/>
        </w:rPr>
        <w:t>adaptació del SAM al medi obert. Aquest sistema d</w:t>
      </w:r>
      <w:r>
        <w:rPr>
          <w:rFonts w:eastAsiaTheme="minorEastAsia" w:cs="Arial"/>
        </w:rPr>
        <w:t>’</w:t>
      </w:r>
      <w:r w:rsidRPr="00647306">
        <w:rPr>
          <w:rFonts w:eastAsiaTheme="minorEastAsia" w:cs="Arial"/>
        </w:rPr>
        <w:t>avaluació ha donat un marc per regular tant els objectius individuals dels interns com la intensitat de la supervisió o el nivell d</w:t>
      </w:r>
      <w:r>
        <w:rPr>
          <w:rFonts w:eastAsiaTheme="minorEastAsia" w:cs="Arial"/>
        </w:rPr>
        <w:t>’</w:t>
      </w:r>
      <w:r w:rsidRPr="00647306">
        <w:rPr>
          <w:rFonts w:eastAsiaTheme="minorEastAsia" w:cs="Arial"/>
        </w:rPr>
        <w:t>autonomia que disposa l</w:t>
      </w:r>
      <w:r>
        <w:rPr>
          <w:rFonts w:eastAsiaTheme="minorEastAsia" w:cs="Arial"/>
        </w:rPr>
        <w:t>’</w:t>
      </w:r>
      <w:r w:rsidRPr="00647306">
        <w:rPr>
          <w:rFonts w:eastAsiaTheme="minorEastAsia" w:cs="Arial"/>
        </w:rPr>
        <w:t>intern a l</w:t>
      </w:r>
      <w:r>
        <w:rPr>
          <w:rFonts w:eastAsiaTheme="minorEastAsia" w:cs="Arial"/>
        </w:rPr>
        <w:t>’</w:t>
      </w:r>
      <w:r w:rsidRPr="00647306">
        <w:rPr>
          <w:rFonts w:eastAsiaTheme="minorEastAsia" w:cs="Arial"/>
        </w:rPr>
        <w:t>exterior. El fet de comptar amb un sistema dinàmic com aquest, permet adaptar la intervenció als esdeveniments de l</w:t>
      </w:r>
      <w:r>
        <w:rPr>
          <w:rFonts w:eastAsiaTheme="minorEastAsia" w:cs="Arial"/>
        </w:rPr>
        <w:t>’</w:t>
      </w:r>
      <w:r w:rsidRPr="00647306">
        <w:rPr>
          <w:rFonts w:eastAsiaTheme="minorEastAsia" w:cs="Arial"/>
        </w:rPr>
        <w:t>adaptació dels interns al medi social de forma cont</w:t>
      </w:r>
      <w:r>
        <w:rPr>
          <w:rFonts w:eastAsiaTheme="minorEastAsia" w:cs="Arial"/>
        </w:rPr>
        <w:t>í</w:t>
      </w:r>
      <w:r w:rsidRPr="00647306">
        <w:rPr>
          <w:rFonts w:eastAsiaTheme="minorEastAsia" w:cs="Arial"/>
        </w:rPr>
        <w:t>nua, sense que una involució impliqui necessàriament una regressió al règim ordinari.</w:t>
      </w:r>
    </w:p>
    <w:p w:rsidR="006A4109" w:rsidRPr="00630E50" w:rsidRDefault="006A4109" w:rsidP="00E930B2">
      <w:pPr>
        <w:rPr>
          <w:rFonts w:eastAsiaTheme="minorEastAsia" w:cs="Arial"/>
        </w:rPr>
      </w:pPr>
      <w:r w:rsidRPr="00647306">
        <w:rPr>
          <w:rFonts w:eastAsiaTheme="minorEastAsia" w:cs="Arial"/>
        </w:rPr>
        <w:t xml:space="preserve">La creació de les unitats dependents. El </w:t>
      </w:r>
      <w:r>
        <w:rPr>
          <w:rFonts w:eastAsiaTheme="minorEastAsia" w:cs="Arial"/>
        </w:rPr>
        <w:t>R</w:t>
      </w:r>
      <w:r w:rsidRPr="00647306">
        <w:rPr>
          <w:rFonts w:eastAsiaTheme="minorEastAsia" w:cs="Arial"/>
        </w:rPr>
        <w:t>eglament de 1996 va obrir la via per</w:t>
      </w:r>
      <w:r>
        <w:rPr>
          <w:rFonts w:eastAsiaTheme="minorEastAsia" w:cs="Arial"/>
        </w:rPr>
        <w:t xml:space="preserve"> a</w:t>
      </w:r>
      <w:r w:rsidRPr="00647306">
        <w:rPr>
          <w:rFonts w:eastAsiaTheme="minorEastAsia" w:cs="Arial"/>
        </w:rPr>
        <w:t xml:space="preserve"> la creació d</w:t>
      </w:r>
      <w:r>
        <w:rPr>
          <w:rFonts w:eastAsiaTheme="minorEastAsia" w:cs="Arial"/>
        </w:rPr>
        <w:t>’</w:t>
      </w:r>
      <w:r w:rsidRPr="00647306">
        <w:rPr>
          <w:rFonts w:eastAsiaTheme="minorEastAsia" w:cs="Arial"/>
        </w:rPr>
        <w:t xml:space="preserve">aquestes unitats, de menors dimensions que un centre, vinculades al territori i on es poden </w:t>
      </w:r>
      <w:r w:rsidRPr="00647306">
        <w:rPr>
          <w:rFonts w:eastAsiaTheme="minorEastAsia" w:cs="Arial"/>
        </w:rPr>
        <w:lastRenderedPageBreak/>
        <w:t xml:space="preserve">treballar de forma especialitzada necessitats específiques per </w:t>
      </w:r>
      <w:r>
        <w:rPr>
          <w:rFonts w:eastAsiaTheme="minorEastAsia" w:cs="Arial"/>
        </w:rPr>
        <w:t xml:space="preserve">a </w:t>
      </w:r>
      <w:r w:rsidRPr="00647306">
        <w:rPr>
          <w:rFonts w:eastAsiaTheme="minorEastAsia" w:cs="Arial"/>
        </w:rPr>
        <w:t>la reinserció dels penats. Aquestes unitats s</w:t>
      </w:r>
      <w:r>
        <w:rPr>
          <w:rFonts w:eastAsiaTheme="minorEastAsia" w:cs="Arial"/>
        </w:rPr>
        <w:t>ó</w:t>
      </w:r>
      <w:r w:rsidRPr="00647306">
        <w:rPr>
          <w:rFonts w:eastAsiaTheme="minorEastAsia" w:cs="Arial"/>
        </w:rPr>
        <w:t xml:space="preserve">n gestionades per entitats del tercer sector amb experiència en la reinserció que aporten una major perspectiva comunitària a la reinserció. </w:t>
      </w:r>
    </w:p>
    <w:p w:rsidR="006A4109" w:rsidRPr="00647306" w:rsidRDefault="006A4109" w:rsidP="00E930B2">
      <w:pPr>
        <w:rPr>
          <w:rFonts w:eastAsiaTheme="minorEastAsia" w:cs="Arial"/>
        </w:rPr>
      </w:pPr>
      <w:r w:rsidRPr="00647306">
        <w:rPr>
          <w:rFonts w:eastAsiaTheme="minorEastAsia" w:cs="Arial"/>
        </w:rPr>
        <w:t xml:space="preserve">Modalitat de vida que permet als interns pernoctar al seu domicili. Aquesta és també una millora que va aportar el </w:t>
      </w:r>
      <w:r>
        <w:rPr>
          <w:rFonts w:eastAsiaTheme="minorEastAsia" w:cs="Arial"/>
        </w:rPr>
        <w:t>Re</w:t>
      </w:r>
      <w:r w:rsidRPr="00647306">
        <w:rPr>
          <w:rFonts w:eastAsiaTheme="minorEastAsia" w:cs="Arial"/>
        </w:rPr>
        <w:t>glament penitenciari de 1996. L</w:t>
      </w:r>
      <w:r>
        <w:rPr>
          <w:rFonts w:eastAsiaTheme="minorEastAsia" w:cs="Arial"/>
        </w:rPr>
        <w:t>’</w:t>
      </w:r>
      <w:r w:rsidRPr="00647306">
        <w:rPr>
          <w:rFonts w:eastAsiaTheme="minorEastAsia" w:cs="Arial"/>
        </w:rPr>
        <w:t xml:space="preserve">article 86.4 del citat </w:t>
      </w:r>
      <w:r>
        <w:rPr>
          <w:rFonts w:eastAsiaTheme="minorEastAsia" w:cs="Arial"/>
        </w:rPr>
        <w:t>Re</w:t>
      </w:r>
      <w:r w:rsidRPr="00647306">
        <w:rPr>
          <w:rFonts w:eastAsiaTheme="minorEastAsia" w:cs="Arial"/>
        </w:rPr>
        <w:t>glament estableix que els interns no han de pernoctar al centre penitenciari quan s</w:t>
      </w:r>
      <w:r>
        <w:rPr>
          <w:rFonts w:eastAsiaTheme="minorEastAsia" w:cs="Arial"/>
        </w:rPr>
        <w:t>’</w:t>
      </w:r>
      <w:r w:rsidRPr="00647306">
        <w:rPr>
          <w:rFonts w:eastAsiaTheme="minorEastAsia" w:cs="Arial"/>
        </w:rPr>
        <w:t>estableixin mitjans de control alternatius, mantenint la resta de mecanismes d</w:t>
      </w:r>
      <w:r>
        <w:rPr>
          <w:rFonts w:eastAsiaTheme="minorEastAsia" w:cs="Arial"/>
        </w:rPr>
        <w:t>’</w:t>
      </w:r>
      <w:r w:rsidRPr="00647306">
        <w:rPr>
          <w:rFonts w:eastAsiaTheme="minorEastAsia" w:cs="Arial"/>
        </w:rPr>
        <w:t>intervenció i seguiment (entrevistes, controls de consum de drogues o visites al lloc de treball, entre d</w:t>
      </w:r>
      <w:r>
        <w:rPr>
          <w:rFonts w:eastAsiaTheme="minorEastAsia" w:cs="Arial"/>
        </w:rPr>
        <w:t>’</w:t>
      </w:r>
      <w:r w:rsidRPr="00647306">
        <w:rPr>
          <w:rFonts w:eastAsiaTheme="minorEastAsia" w:cs="Arial"/>
        </w:rPr>
        <w:t>altres</w:t>
      </w:r>
      <w:r>
        <w:rPr>
          <w:rFonts w:eastAsiaTheme="minorEastAsia" w:cs="Arial"/>
        </w:rPr>
        <w:t>).</w:t>
      </w:r>
    </w:p>
    <w:p w:rsidR="006A4109" w:rsidRPr="00647306" w:rsidRDefault="006A4109" w:rsidP="00E930B2">
      <w:pPr>
        <w:rPr>
          <w:rFonts w:eastAsiaTheme="minorEastAsia" w:cs="Arial"/>
        </w:rPr>
      </w:pPr>
      <w:r w:rsidRPr="00647306">
        <w:rPr>
          <w:rFonts w:eastAsiaTheme="minorEastAsia" w:cs="Arial"/>
        </w:rPr>
        <w:t>S</w:t>
      </w:r>
      <w:r>
        <w:rPr>
          <w:rFonts w:eastAsiaTheme="minorEastAsia" w:cs="Arial"/>
        </w:rPr>
        <w:t>’</w:t>
      </w:r>
      <w:r w:rsidRPr="00647306">
        <w:rPr>
          <w:rFonts w:eastAsiaTheme="minorEastAsia" w:cs="Arial"/>
        </w:rPr>
        <w:t xml:space="preserve">inicia el control electrònic, </w:t>
      </w:r>
      <w:r>
        <w:rPr>
          <w:rFonts w:eastAsiaTheme="minorEastAsia" w:cs="Arial"/>
        </w:rPr>
        <w:t xml:space="preserve">l’any 1997, </w:t>
      </w:r>
      <w:r w:rsidRPr="00647306">
        <w:rPr>
          <w:rFonts w:eastAsiaTheme="minorEastAsia" w:cs="Arial"/>
        </w:rPr>
        <w:t xml:space="preserve">amb caràcter pilot, al CP </w:t>
      </w:r>
      <w:r>
        <w:rPr>
          <w:rFonts w:eastAsiaTheme="minorEastAsia" w:cs="Arial"/>
        </w:rPr>
        <w:t xml:space="preserve">de </w:t>
      </w:r>
      <w:r w:rsidRPr="00647306">
        <w:rPr>
          <w:rFonts w:eastAsiaTheme="minorEastAsia" w:cs="Arial"/>
        </w:rPr>
        <w:t>Dones</w:t>
      </w:r>
      <w:r>
        <w:rPr>
          <w:rFonts w:eastAsiaTheme="minorEastAsia" w:cs="Arial"/>
        </w:rPr>
        <w:t xml:space="preserve"> i</w:t>
      </w:r>
      <w:r w:rsidRPr="00647306">
        <w:rPr>
          <w:rFonts w:eastAsiaTheme="minorEastAsia" w:cs="Arial"/>
        </w:rPr>
        <w:t xml:space="preserve"> </w:t>
      </w:r>
      <w:r>
        <w:rPr>
          <w:rFonts w:eastAsiaTheme="minorEastAsia" w:cs="Arial"/>
        </w:rPr>
        <w:t>actualment</w:t>
      </w:r>
      <w:r w:rsidRPr="00647306">
        <w:rPr>
          <w:rFonts w:eastAsiaTheme="minorEastAsia" w:cs="Arial"/>
        </w:rPr>
        <w:t xml:space="preserve"> </w:t>
      </w:r>
      <w:r>
        <w:rPr>
          <w:rFonts w:eastAsiaTheme="minorEastAsia" w:cs="Arial"/>
        </w:rPr>
        <w:t>té</w:t>
      </w:r>
      <w:r w:rsidRPr="00647306">
        <w:rPr>
          <w:rFonts w:eastAsiaTheme="minorEastAsia" w:cs="Arial"/>
        </w:rPr>
        <w:t xml:space="preserve"> una </w:t>
      </w:r>
      <w:r>
        <w:rPr>
          <w:rFonts w:eastAsiaTheme="minorEastAsia" w:cs="Arial"/>
        </w:rPr>
        <w:t>gran</w:t>
      </w:r>
      <w:r w:rsidRPr="00647306">
        <w:rPr>
          <w:rFonts w:eastAsiaTheme="minorEastAsia" w:cs="Arial"/>
        </w:rPr>
        <w:t xml:space="preserve"> aplicació. Els dispositius de control electrònic permeten als equips comprovar si l</w:t>
      </w:r>
      <w:r>
        <w:rPr>
          <w:rFonts w:eastAsiaTheme="minorEastAsia" w:cs="Arial"/>
        </w:rPr>
        <w:t>’</w:t>
      </w:r>
      <w:r w:rsidRPr="00647306">
        <w:rPr>
          <w:rFonts w:eastAsiaTheme="minorEastAsia" w:cs="Arial"/>
        </w:rPr>
        <w:t>intern pernocta al seu domicili, fer controls d</w:t>
      </w:r>
      <w:r>
        <w:rPr>
          <w:rFonts w:eastAsiaTheme="minorEastAsia" w:cs="Arial"/>
        </w:rPr>
        <w:t>’</w:t>
      </w:r>
      <w:r w:rsidRPr="00647306">
        <w:rPr>
          <w:rFonts w:eastAsiaTheme="minorEastAsia" w:cs="Arial"/>
        </w:rPr>
        <w:t>alcoholèmia a distància o conèixer els seus moviments mitjançant dispositius GPS. L</w:t>
      </w:r>
      <w:r>
        <w:rPr>
          <w:rFonts w:eastAsiaTheme="minorEastAsia" w:cs="Arial"/>
        </w:rPr>
        <w:t>’</w:t>
      </w:r>
      <w:r w:rsidRPr="00647306">
        <w:rPr>
          <w:rFonts w:eastAsiaTheme="minorEastAsia" w:cs="Arial"/>
        </w:rPr>
        <w:t>aplicació de l</w:t>
      </w:r>
      <w:r>
        <w:rPr>
          <w:rFonts w:eastAsiaTheme="minorEastAsia" w:cs="Arial"/>
        </w:rPr>
        <w:t>’</w:t>
      </w:r>
      <w:r w:rsidRPr="00647306">
        <w:rPr>
          <w:rFonts w:eastAsiaTheme="minorEastAsia" w:cs="Arial"/>
        </w:rPr>
        <w:t xml:space="preserve">article 86.4 ha permès millorar la progressivitat del règim obert, de </w:t>
      </w:r>
      <w:r>
        <w:rPr>
          <w:rFonts w:eastAsiaTheme="minorEastAsia" w:cs="Arial"/>
        </w:rPr>
        <w:t xml:space="preserve">manera </w:t>
      </w:r>
      <w:r w:rsidRPr="00647306">
        <w:rPr>
          <w:rFonts w:eastAsiaTheme="minorEastAsia" w:cs="Arial"/>
        </w:rPr>
        <w:t xml:space="preserve">que interns amb una evolució avançada accedeixen a nivells </w:t>
      </w:r>
      <w:r>
        <w:rPr>
          <w:rFonts w:eastAsiaTheme="minorEastAsia" w:cs="Arial"/>
        </w:rPr>
        <w:t xml:space="preserve">més alts </w:t>
      </w:r>
      <w:r w:rsidRPr="00647306">
        <w:rPr>
          <w:rFonts w:eastAsiaTheme="minorEastAsia" w:cs="Arial"/>
        </w:rPr>
        <w:t>de semillibertat. També ha fet possible l</w:t>
      </w:r>
      <w:r>
        <w:rPr>
          <w:rFonts w:eastAsiaTheme="minorEastAsia" w:cs="Arial"/>
        </w:rPr>
        <w:t>’</w:t>
      </w:r>
      <w:r w:rsidRPr="00647306">
        <w:rPr>
          <w:rFonts w:eastAsiaTheme="minorEastAsia" w:cs="Arial"/>
        </w:rPr>
        <w:t>acostament d</w:t>
      </w:r>
      <w:r>
        <w:rPr>
          <w:rFonts w:eastAsiaTheme="minorEastAsia" w:cs="Arial"/>
        </w:rPr>
        <w:t>’</w:t>
      </w:r>
      <w:r w:rsidRPr="00647306">
        <w:rPr>
          <w:rFonts w:eastAsiaTheme="minorEastAsia" w:cs="Arial"/>
        </w:rPr>
        <w:t>una part dels penats al seu entorn familiar o laboral, quan aquest s</w:t>
      </w:r>
      <w:r>
        <w:rPr>
          <w:rFonts w:eastAsiaTheme="minorEastAsia" w:cs="Arial"/>
        </w:rPr>
        <w:t>e</w:t>
      </w:r>
      <w:r w:rsidRPr="00647306">
        <w:rPr>
          <w:rFonts w:eastAsiaTheme="minorEastAsia" w:cs="Arial"/>
        </w:rPr>
        <w:t xml:space="preserve"> situa lluny del centre</w:t>
      </w:r>
      <w:r>
        <w:rPr>
          <w:rFonts w:eastAsiaTheme="minorEastAsia" w:cs="Arial"/>
        </w:rPr>
        <w:t>,</w:t>
      </w:r>
      <w:r w:rsidRPr="00647306">
        <w:rPr>
          <w:rFonts w:eastAsiaTheme="minorEastAsia" w:cs="Arial"/>
        </w:rPr>
        <w:t xml:space="preserve"> o </w:t>
      </w:r>
      <w:r>
        <w:rPr>
          <w:rFonts w:eastAsiaTheme="minorEastAsia" w:cs="Arial"/>
        </w:rPr>
        <w:t xml:space="preserve">bé </w:t>
      </w:r>
      <w:r w:rsidRPr="00647306">
        <w:rPr>
          <w:rFonts w:eastAsiaTheme="minorEastAsia" w:cs="Arial"/>
        </w:rPr>
        <w:t xml:space="preserve">atendre necessitats especials com </w:t>
      </w:r>
      <w:r>
        <w:rPr>
          <w:rFonts w:eastAsiaTheme="minorEastAsia" w:cs="Arial"/>
        </w:rPr>
        <w:t xml:space="preserve">ara </w:t>
      </w:r>
      <w:r w:rsidRPr="00647306">
        <w:rPr>
          <w:rFonts w:eastAsiaTheme="minorEastAsia" w:cs="Arial"/>
        </w:rPr>
        <w:t>situacions de maternitat o malalties en l</w:t>
      </w:r>
      <w:r>
        <w:rPr>
          <w:rFonts w:eastAsiaTheme="minorEastAsia" w:cs="Arial"/>
        </w:rPr>
        <w:t>’</w:t>
      </w:r>
      <w:r w:rsidRPr="00647306">
        <w:rPr>
          <w:rFonts w:eastAsiaTheme="minorEastAsia" w:cs="Arial"/>
        </w:rPr>
        <w:t xml:space="preserve">entorn social. </w:t>
      </w:r>
    </w:p>
    <w:p w:rsidR="006A4109" w:rsidRPr="00647306" w:rsidRDefault="006A4109" w:rsidP="00E930B2">
      <w:pPr>
        <w:rPr>
          <w:rFonts w:eastAsiaTheme="minorEastAsia" w:cs="Arial"/>
        </w:rPr>
      </w:pPr>
      <w:r w:rsidRPr="00647306">
        <w:rPr>
          <w:rFonts w:eastAsiaTheme="minorEastAsia" w:cs="Arial"/>
        </w:rPr>
        <w:t xml:space="preserve">A principis de la dècada </w:t>
      </w:r>
      <w:r>
        <w:rPr>
          <w:rFonts w:eastAsiaTheme="minorEastAsia" w:cs="Arial"/>
        </w:rPr>
        <w:t xml:space="preserve">passada </w:t>
      </w:r>
      <w:r w:rsidRPr="00647306">
        <w:rPr>
          <w:rFonts w:eastAsiaTheme="minorEastAsia" w:cs="Arial"/>
        </w:rPr>
        <w:t>es va iniciar l</w:t>
      </w:r>
      <w:r>
        <w:rPr>
          <w:rFonts w:eastAsiaTheme="minorEastAsia" w:cs="Arial"/>
        </w:rPr>
        <w:t>’</w:t>
      </w:r>
      <w:r w:rsidRPr="00647306">
        <w:rPr>
          <w:rFonts w:eastAsiaTheme="minorEastAsia" w:cs="Arial"/>
        </w:rPr>
        <w:t>especialització dels centres oberts per tractar necessitats específiques dels</w:t>
      </w:r>
      <w:r w:rsidR="003B3A3E">
        <w:rPr>
          <w:rFonts w:eastAsiaTheme="minorEastAsia" w:cs="Arial"/>
        </w:rPr>
        <w:t xml:space="preserve"> interns en tercer grau, amb</w:t>
      </w:r>
      <w:r w:rsidRPr="00647306">
        <w:rPr>
          <w:rFonts w:eastAsiaTheme="minorEastAsia" w:cs="Arial"/>
        </w:rPr>
        <w:t xml:space="preserve"> la distribució següent</w:t>
      </w:r>
      <w:r w:rsidR="003B3A3E">
        <w:rPr>
          <w:rFonts w:eastAsiaTheme="minorEastAsia" w:cs="Arial"/>
        </w:rPr>
        <w:t>, d’acord amb el Pla d’Equipaments de Medi Obert</w:t>
      </w:r>
      <w:r w:rsidRPr="00647306">
        <w:rPr>
          <w:rFonts w:eastAsiaTheme="minorEastAsia" w:cs="Arial"/>
        </w:rPr>
        <w:t xml:space="preserve">: </w:t>
      </w:r>
    </w:p>
    <w:p w:rsidR="006A4109" w:rsidRPr="003B3A3E" w:rsidRDefault="006A4109" w:rsidP="003B3A3E">
      <w:pPr>
        <w:pStyle w:val="Pargrafdellista"/>
        <w:numPr>
          <w:ilvl w:val="0"/>
          <w:numId w:val="96"/>
        </w:numPr>
        <w:rPr>
          <w:rFonts w:eastAsiaTheme="minorEastAsia" w:cs="Arial"/>
        </w:rPr>
      </w:pPr>
      <w:r w:rsidRPr="003B3A3E">
        <w:rPr>
          <w:rFonts w:eastAsiaTheme="minorEastAsia" w:cs="Arial"/>
        </w:rPr>
        <w:t>Secció Oberta del CP de Dones</w:t>
      </w:r>
      <w:r w:rsidRPr="009B0734">
        <w:rPr>
          <w:vertAlign w:val="superscript"/>
        </w:rPr>
        <w:footnoteReference w:id="11"/>
      </w:r>
      <w:r w:rsidRPr="003B3A3E">
        <w:rPr>
          <w:rFonts w:eastAsiaTheme="minorEastAsia" w:cs="Arial"/>
        </w:rPr>
        <w:t>: Programa de seguiment de delictes violents i seguiment de l’atenció a les drogodependències.</w:t>
      </w:r>
    </w:p>
    <w:p w:rsidR="006A4109" w:rsidRPr="00647306" w:rsidRDefault="006A4109" w:rsidP="00AE0A20">
      <w:pPr>
        <w:pStyle w:val="Pargrafdellista"/>
        <w:numPr>
          <w:ilvl w:val="0"/>
          <w:numId w:val="5"/>
        </w:numPr>
        <w:rPr>
          <w:rFonts w:eastAsiaTheme="minorEastAsia" w:cs="Arial"/>
        </w:rPr>
      </w:pPr>
      <w:r w:rsidRPr="00647306">
        <w:rPr>
          <w:rFonts w:eastAsiaTheme="minorEastAsia" w:cs="Arial"/>
        </w:rPr>
        <w:t>Centre Obert 1: Programa de seguiment d</w:t>
      </w:r>
      <w:r>
        <w:rPr>
          <w:rFonts w:eastAsiaTheme="minorEastAsia" w:cs="Arial"/>
        </w:rPr>
        <w:t>’</w:t>
      </w:r>
      <w:r w:rsidRPr="00647306">
        <w:rPr>
          <w:rFonts w:eastAsiaTheme="minorEastAsia" w:cs="Arial"/>
        </w:rPr>
        <w:t xml:space="preserve">agressors sexuals, </w:t>
      </w:r>
      <w:r>
        <w:rPr>
          <w:rFonts w:eastAsiaTheme="minorEastAsia" w:cs="Arial"/>
        </w:rPr>
        <w:t>P</w:t>
      </w:r>
      <w:r w:rsidRPr="00647306">
        <w:rPr>
          <w:rFonts w:eastAsiaTheme="minorEastAsia" w:cs="Arial"/>
        </w:rPr>
        <w:t xml:space="preserve">rograma de seguiment de delictes de violència de gènere i seguiment de </w:t>
      </w:r>
      <w:r w:rsidR="003B3A3E">
        <w:rPr>
          <w:rFonts w:eastAsiaTheme="minorEastAsia" w:cs="Arial"/>
        </w:rPr>
        <w:t xml:space="preserve">la problemàtica dels </w:t>
      </w:r>
      <w:r w:rsidRPr="00647306">
        <w:rPr>
          <w:rFonts w:eastAsiaTheme="minorEastAsia" w:cs="Arial"/>
        </w:rPr>
        <w:t>malalts mentals.</w:t>
      </w:r>
    </w:p>
    <w:p w:rsidR="006A4109" w:rsidRPr="00647306" w:rsidRDefault="006A4109" w:rsidP="00AE0A20">
      <w:pPr>
        <w:pStyle w:val="Pargrafdellista"/>
        <w:numPr>
          <w:ilvl w:val="0"/>
          <w:numId w:val="5"/>
        </w:numPr>
        <w:rPr>
          <w:rFonts w:eastAsiaTheme="minorEastAsia" w:cs="Arial"/>
        </w:rPr>
      </w:pPr>
      <w:r w:rsidRPr="00647306">
        <w:rPr>
          <w:rFonts w:eastAsiaTheme="minorEastAsia" w:cs="Arial"/>
        </w:rPr>
        <w:t>Centre Obert 2: seguiment de la intervenció específica en joves, seguiment de la intervenció en els deli</w:t>
      </w:r>
      <w:r w:rsidR="003B3A3E">
        <w:rPr>
          <w:rFonts w:eastAsiaTheme="minorEastAsia" w:cs="Arial"/>
        </w:rPr>
        <w:t xml:space="preserve">ctes de trànsit, </w:t>
      </w:r>
      <w:r w:rsidRPr="00647306">
        <w:rPr>
          <w:rFonts w:eastAsiaTheme="minorEastAsia" w:cs="Arial"/>
        </w:rPr>
        <w:t>se</w:t>
      </w:r>
      <w:r w:rsidR="003B3A3E">
        <w:rPr>
          <w:rFonts w:eastAsiaTheme="minorEastAsia" w:cs="Arial"/>
        </w:rPr>
        <w:t>guiment dels delictes econòmics, i seguiment d’interns del programa DAE-DID.</w:t>
      </w:r>
    </w:p>
    <w:p w:rsidR="006A4109" w:rsidRPr="00647306" w:rsidRDefault="006A4109" w:rsidP="00AE0A20">
      <w:pPr>
        <w:pStyle w:val="Pargrafdellista"/>
        <w:numPr>
          <w:ilvl w:val="0"/>
          <w:numId w:val="5"/>
        </w:numPr>
        <w:rPr>
          <w:rFonts w:eastAsiaTheme="minorEastAsia" w:cs="Arial"/>
        </w:rPr>
      </w:pPr>
      <w:r w:rsidRPr="00647306">
        <w:rPr>
          <w:rFonts w:eastAsiaTheme="minorEastAsia" w:cs="Arial"/>
        </w:rPr>
        <w:t>Centre Obert de Lleida: seguiment de tots els programes específics dels interns residents a les comarques de Lleida i desenvolupament d</w:t>
      </w:r>
      <w:r>
        <w:rPr>
          <w:rFonts w:eastAsiaTheme="minorEastAsia" w:cs="Arial"/>
        </w:rPr>
        <w:t>’</w:t>
      </w:r>
      <w:r w:rsidRPr="00647306">
        <w:rPr>
          <w:rFonts w:eastAsiaTheme="minorEastAsia" w:cs="Arial"/>
        </w:rPr>
        <w:t>un programa laboral específic (llocs de treball als tallers externs Ra</w:t>
      </w:r>
      <w:r>
        <w:rPr>
          <w:rFonts w:eastAsiaTheme="minorEastAsia" w:cs="Arial"/>
        </w:rPr>
        <w:t>i</w:t>
      </w:r>
      <w:r w:rsidRPr="00647306">
        <w:rPr>
          <w:rFonts w:eastAsiaTheme="minorEastAsia" w:cs="Arial"/>
        </w:rPr>
        <w:t>mat i mòduls específics d</w:t>
      </w:r>
      <w:r>
        <w:rPr>
          <w:rFonts w:eastAsiaTheme="minorEastAsia" w:cs="Arial"/>
        </w:rPr>
        <w:t>’</w:t>
      </w:r>
      <w:r w:rsidRPr="00647306">
        <w:rPr>
          <w:rFonts w:eastAsiaTheme="minorEastAsia" w:cs="Arial"/>
        </w:rPr>
        <w:t>entrenament en tècniques d</w:t>
      </w:r>
      <w:r>
        <w:rPr>
          <w:rFonts w:eastAsiaTheme="minorEastAsia" w:cs="Arial"/>
        </w:rPr>
        <w:t>’</w:t>
      </w:r>
      <w:r w:rsidRPr="00647306">
        <w:rPr>
          <w:rFonts w:eastAsiaTheme="minorEastAsia" w:cs="Arial"/>
        </w:rPr>
        <w:t>inserció laboral per part d</w:t>
      </w:r>
      <w:r>
        <w:rPr>
          <w:rFonts w:eastAsiaTheme="minorEastAsia" w:cs="Arial"/>
        </w:rPr>
        <w:t>’</w:t>
      </w:r>
      <w:r w:rsidRPr="00647306">
        <w:rPr>
          <w:rFonts w:eastAsiaTheme="minorEastAsia" w:cs="Arial"/>
        </w:rPr>
        <w:t>un recurs comunitari especialitzat)</w:t>
      </w:r>
      <w:r>
        <w:rPr>
          <w:rFonts w:eastAsiaTheme="minorEastAsia" w:cs="Arial"/>
        </w:rPr>
        <w:t>.</w:t>
      </w:r>
    </w:p>
    <w:p w:rsidR="006A4109" w:rsidRPr="00647306" w:rsidRDefault="003B3A3E" w:rsidP="00AE0A20">
      <w:pPr>
        <w:pStyle w:val="Pargrafdellista"/>
        <w:numPr>
          <w:ilvl w:val="0"/>
          <w:numId w:val="5"/>
        </w:numPr>
        <w:rPr>
          <w:rFonts w:eastAsiaTheme="minorEastAsia" w:cs="Arial"/>
        </w:rPr>
      </w:pPr>
      <w:r>
        <w:rPr>
          <w:rFonts w:eastAsiaTheme="minorEastAsia" w:cs="Arial"/>
        </w:rPr>
        <w:t>C</w:t>
      </w:r>
      <w:r w:rsidR="006A4109" w:rsidRPr="00647306">
        <w:rPr>
          <w:rFonts w:eastAsiaTheme="minorEastAsia" w:cs="Arial"/>
        </w:rPr>
        <w:t xml:space="preserve">entres </w:t>
      </w:r>
      <w:r>
        <w:rPr>
          <w:rFonts w:eastAsiaTheme="minorEastAsia" w:cs="Arial"/>
        </w:rPr>
        <w:t xml:space="preserve">Oberts de Girona </w:t>
      </w:r>
      <w:r w:rsidR="006A4109" w:rsidRPr="00647306">
        <w:rPr>
          <w:rFonts w:eastAsiaTheme="minorEastAsia" w:cs="Arial"/>
        </w:rPr>
        <w:t>i Tarragona: seguiment de tots els programes específics dels interns residents a les comarques de la seva adscripció</w:t>
      </w:r>
      <w:r w:rsidR="006A4109">
        <w:rPr>
          <w:rFonts w:eastAsiaTheme="minorEastAsia" w:cs="Arial"/>
        </w:rPr>
        <w:t>.</w:t>
      </w:r>
    </w:p>
    <w:p w:rsidR="006A4109" w:rsidRPr="003B3A3E" w:rsidRDefault="006A4109" w:rsidP="003B3A3E">
      <w:pPr>
        <w:ind w:left="360"/>
        <w:rPr>
          <w:rFonts w:eastAsiaTheme="minorEastAsia" w:cs="Arial"/>
        </w:rPr>
      </w:pPr>
      <w:r w:rsidRPr="003B3A3E">
        <w:rPr>
          <w:rFonts w:eastAsiaTheme="minorEastAsia" w:cs="Arial"/>
        </w:rPr>
        <w:t>Aquesta especialització ha permès implementar programes específics per aquestes problemàtiques duts a terme de forma coordinada entre el centre obert i recursos especialitzats de la comunitat com són els centres de dia, la intervenció es duu a terme tant al centre obert com en el dispositiu extern.</w:t>
      </w:r>
    </w:p>
    <w:p w:rsidR="006A4109" w:rsidRPr="00647306" w:rsidRDefault="006A4109" w:rsidP="00E930B2">
      <w:pPr>
        <w:rPr>
          <w:rFonts w:eastAsiaTheme="minorEastAsia" w:cs="Arial"/>
        </w:rPr>
      </w:pPr>
    </w:p>
    <w:p w:rsidR="006A4109" w:rsidRPr="00F02D52" w:rsidRDefault="006A4109" w:rsidP="0070401F">
      <w:pPr>
        <w:pStyle w:val="Ttol3"/>
      </w:pPr>
      <w:bookmarkStart w:id="274" w:name="_Toc463867775"/>
      <w:bookmarkStart w:id="275" w:name="_Toc464685662"/>
      <w:bookmarkStart w:id="276" w:name="_Toc465293393"/>
      <w:r w:rsidRPr="00F02D52">
        <w:t xml:space="preserve">La </w:t>
      </w:r>
      <w:r w:rsidRPr="00EB1B4D">
        <w:t>llibertat</w:t>
      </w:r>
      <w:r w:rsidRPr="00F02D52">
        <w:t xml:space="preserve"> condicional</w:t>
      </w:r>
      <w:bookmarkEnd w:id="274"/>
      <w:bookmarkEnd w:id="275"/>
      <w:bookmarkEnd w:id="276"/>
    </w:p>
    <w:p w:rsidR="006A4109" w:rsidRPr="00647306" w:rsidRDefault="006A4109" w:rsidP="00E930B2">
      <w:pPr>
        <w:rPr>
          <w:rFonts w:eastAsiaTheme="minorEastAsia" w:cs="Arial"/>
        </w:rPr>
      </w:pPr>
      <w:r w:rsidRPr="00647306">
        <w:rPr>
          <w:rFonts w:eastAsiaTheme="minorEastAsia" w:cs="Arial"/>
        </w:rPr>
        <w:t xml:space="preserve">Els penats que </w:t>
      </w:r>
      <w:r>
        <w:rPr>
          <w:rFonts w:eastAsiaTheme="minorEastAsia" w:cs="Arial"/>
        </w:rPr>
        <w:t>tenen</w:t>
      </w:r>
      <w:r w:rsidRPr="00647306">
        <w:rPr>
          <w:rFonts w:eastAsiaTheme="minorEastAsia" w:cs="Arial"/>
        </w:rPr>
        <w:t xml:space="preserve"> un pronòstic favorable de reinserció social poden complir l</w:t>
      </w:r>
      <w:r>
        <w:rPr>
          <w:rFonts w:eastAsiaTheme="minorEastAsia" w:cs="Arial"/>
        </w:rPr>
        <w:t>’</w:t>
      </w:r>
      <w:r w:rsidRPr="00647306">
        <w:rPr>
          <w:rFonts w:eastAsiaTheme="minorEastAsia" w:cs="Arial"/>
        </w:rPr>
        <w:t>última part de la condemna en llibertat condicional. L</w:t>
      </w:r>
      <w:r>
        <w:rPr>
          <w:rFonts w:eastAsiaTheme="minorEastAsia" w:cs="Arial"/>
        </w:rPr>
        <w:t>’</w:t>
      </w:r>
      <w:r w:rsidRPr="00647306">
        <w:rPr>
          <w:rFonts w:eastAsiaTheme="minorEastAsia" w:cs="Arial"/>
        </w:rPr>
        <w:t>aplicació d</w:t>
      </w:r>
      <w:r>
        <w:rPr>
          <w:rFonts w:eastAsiaTheme="minorEastAsia" w:cs="Arial"/>
        </w:rPr>
        <w:t>’</w:t>
      </w:r>
      <w:r w:rsidRPr="00647306">
        <w:rPr>
          <w:rFonts w:eastAsiaTheme="minorEastAsia" w:cs="Arial"/>
        </w:rPr>
        <w:t>aquesta modalitat de compliment que d</w:t>
      </w:r>
      <w:r>
        <w:rPr>
          <w:rFonts w:eastAsiaTheme="minorEastAsia" w:cs="Arial"/>
        </w:rPr>
        <w:t>ó</w:t>
      </w:r>
      <w:r w:rsidRPr="00647306">
        <w:rPr>
          <w:rFonts w:eastAsiaTheme="minorEastAsia" w:cs="Arial"/>
        </w:rPr>
        <w:t xml:space="preserve">na continuïtat al treball de reinserció dut a terme durant el règim obert queda sota la tutela dels jutges de vigilància </w:t>
      </w:r>
      <w:r>
        <w:rPr>
          <w:rFonts w:eastAsiaTheme="minorEastAsia" w:cs="Arial"/>
        </w:rPr>
        <w:t>penitenciària</w:t>
      </w:r>
      <w:r w:rsidRPr="00647306">
        <w:rPr>
          <w:rFonts w:eastAsiaTheme="minorEastAsia" w:cs="Arial"/>
        </w:rPr>
        <w:t xml:space="preserve"> amb l</w:t>
      </w:r>
      <w:r>
        <w:rPr>
          <w:rFonts w:eastAsiaTheme="minorEastAsia" w:cs="Arial"/>
        </w:rPr>
        <w:t>’</w:t>
      </w:r>
      <w:r w:rsidRPr="00647306">
        <w:rPr>
          <w:rFonts w:eastAsiaTheme="minorEastAsia" w:cs="Arial"/>
        </w:rPr>
        <w:t>assistència dels serveis socials d</w:t>
      </w:r>
      <w:r>
        <w:rPr>
          <w:rFonts w:eastAsiaTheme="minorEastAsia" w:cs="Arial"/>
        </w:rPr>
        <w:t>’</w:t>
      </w:r>
      <w:r w:rsidRPr="00647306">
        <w:rPr>
          <w:rFonts w:eastAsiaTheme="minorEastAsia" w:cs="Arial"/>
        </w:rPr>
        <w:t>execució penal. Els jutges tenen la competència de l</w:t>
      </w:r>
      <w:r>
        <w:rPr>
          <w:rFonts w:eastAsiaTheme="minorEastAsia" w:cs="Arial"/>
        </w:rPr>
        <w:t>’</w:t>
      </w:r>
      <w:r w:rsidRPr="00647306">
        <w:rPr>
          <w:rFonts w:eastAsiaTheme="minorEastAsia" w:cs="Arial"/>
        </w:rPr>
        <w:t>aprovació i revocació d</w:t>
      </w:r>
      <w:r>
        <w:rPr>
          <w:rFonts w:eastAsiaTheme="minorEastAsia" w:cs="Arial"/>
        </w:rPr>
        <w:t>’</w:t>
      </w:r>
      <w:r w:rsidRPr="00647306">
        <w:rPr>
          <w:rFonts w:eastAsiaTheme="minorEastAsia" w:cs="Arial"/>
        </w:rPr>
        <w:t>aquesta mesura</w:t>
      </w:r>
      <w:r>
        <w:rPr>
          <w:rFonts w:eastAsiaTheme="minorEastAsia" w:cs="Arial"/>
        </w:rPr>
        <w:t>,</w:t>
      </w:r>
      <w:r w:rsidRPr="00647306">
        <w:rPr>
          <w:rFonts w:eastAsiaTheme="minorEastAsia" w:cs="Arial"/>
        </w:rPr>
        <w:t xml:space="preserve"> i els serveis socials d</w:t>
      </w:r>
      <w:r>
        <w:rPr>
          <w:rFonts w:eastAsiaTheme="minorEastAsia" w:cs="Arial"/>
        </w:rPr>
        <w:t>’</w:t>
      </w:r>
      <w:r w:rsidRPr="00647306">
        <w:rPr>
          <w:rFonts w:eastAsiaTheme="minorEastAsia" w:cs="Arial"/>
        </w:rPr>
        <w:t xml:space="preserve">execució penal tenen la missió de donar suport al penat i el seu entorn en </w:t>
      </w:r>
      <w:r w:rsidRPr="00647306">
        <w:rPr>
          <w:rFonts w:eastAsiaTheme="minorEastAsia" w:cs="Arial"/>
        </w:rPr>
        <w:lastRenderedPageBreak/>
        <w:t>la finalització del procés de reinserció així com de supervisar el compliment de les regles de conducta previstes a l</w:t>
      </w:r>
      <w:r>
        <w:rPr>
          <w:rFonts w:eastAsiaTheme="minorEastAsia" w:cs="Arial"/>
        </w:rPr>
        <w:t>’</w:t>
      </w:r>
      <w:r w:rsidRPr="00647306">
        <w:rPr>
          <w:rFonts w:eastAsiaTheme="minorEastAsia" w:cs="Arial"/>
        </w:rPr>
        <w:t xml:space="preserve">article 83 i 96.3 del Codi penal. </w:t>
      </w:r>
    </w:p>
    <w:p w:rsidR="006A4109" w:rsidRPr="00647306" w:rsidRDefault="006A4109" w:rsidP="00E930B2">
      <w:pPr>
        <w:rPr>
          <w:rFonts w:eastAsiaTheme="minorEastAsia" w:cs="Arial"/>
        </w:rPr>
      </w:pPr>
      <w:r w:rsidRPr="00647306">
        <w:rPr>
          <w:rFonts w:eastAsiaTheme="minorEastAsia" w:cs="Arial"/>
        </w:rPr>
        <w:t xml:space="preserve">El mateix Codi penal i la normativa </w:t>
      </w:r>
      <w:r>
        <w:rPr>
          <w:rFonts w:eastAsiaTheme="minorEastAsia" w:cs="Arial"/>
        </w:rPr>
        <w:t>penitenciària</w:t>
      </w:r>
      <w:r w:rsidRPr="00647306">
        <w:rPr>
          <w:rFonts w:eastAsiaTheme="minorEastAsia" w:cs="Arial"/>
        </w:rPr>
        <w:t xml:space="preserve"> estableixen el compliment de les 3/4 parts de la condemna </w:t>
      </w:r>
      <w:r>
        <w:rPr>
          <w:rFonts w:eastAsiaTheme="minorEastAsia" w:cs="Arial"/>
        </w:rPr>
        <w:t xml:space="preserve">i </w:t>
      </w:r>
      <w:r w:rsidRPr="00647306">
        <w:rPr>
          <w:rFonts w:eastAsiaTheme="minorEastAsia" w:cs="Arial"/>
        </w:rPr>
        <w:t>el moment en qu</w:t>
      </w:r>
      <w:r>
        <w:rPr>
          <w:rFonts w:eastAsiaTheme="minorEastAsia" w:cs="Arial"/>
        </w:rPr>
        <w:t>è</w:t>
      </w:r>
      <w:r w:rsidRPr="00647306">
        <w:rPr>
          <w:rFonts w:eastAsiaTheme="minorEastAsia" w:cs="Arial"/>
        </w:rPr>
        <w:t xml:space="preserve"> es pot aplicar la llibertat condicional</w:t>
      </w:r>
      <w:r>
        <w:rPr>
          <w:rFonts w:eastAsiaTheme="minorEastAsia" w:cs="Arial"/>
        </w:rPr>
        <w:t>,</w:t>
      </w:r>
      <w:r w:rsidRPr="00647306">
        <w:rPr>
          <w:rFonts w:eastAsiaTheme="minorEastAsia" w:cs="Arial"/>
        </w:rPr>
        <w:t xml:space="preserve"> però preveuen la possibilitat d</w:t>
      </w:r>
      <w:r>
        <w:rPr>
          <w:rFonts w:eastAsiaTheme="minorEastAsia" w:cs="Arial"/>
        </w:rPr>
        <w:t>’</w:t>
      </w:r>
      <w:r w:rsidRPr="00647306">
        <w:rPr>
          <w:rFonts w:eastAsiaTheme="minorEastAsia" w:cs="Arial"/>
        </w:rPr>
        <w:t>avançar aquesta data a les 2/3 parts o a moments anteriors a partir de la meitat de la pena depenent de l</w:t>
      </w:r>
      <w:r>
        <w:rPr>
          <w:rFonts w:eastAsiaTheme="minorEastAsia" w:cs="Arial"/>
        </w:rPr>
        <w:t>’</w:t>
      </w:r>
      <w:r w:rsidRPr="00647306">
        <w:rPr>
          <w:rFonts w:eastAsiaTheme="minorEastAsia" w:cs="Arial"/>
        </w:rPr>
        <w:t xml:space="preserve">aprofitament de les activitats i </w:t>
      </w:r>
      <w:r>
        <w:rPr>
          <w:rFonts w:eastAsiaTheme="minorEastAsia" w:cs="Arial"/>
        </w:rPr>
        <w:t>de l’a</w:t>
      </w:r>
      <w:r w:rsidRPr="00647306">
        <w:rPr>
          <w:rFonts w:eastAsiaTheme="minorEastAsia" w:cs="Arial"/>
        </w:rPr>
        <w:t xml:space="preserve">compliment dels objectius del tractament per part del penat. </w:t>
      </w:r>
    </w:p>
    <w:p w:rsidR="006A4109" w:rsidRPr="00647306" w:rsidRDefault="006A4109" w:rsidP="00E930B2">
      <w:pPr>
        <w:rPr>
          <w:rFonts w:eastAsiaTheme="minorEastAsia" w:cs="Arial"/>
        </w:rPr>
      </w:pPr>
      <w:r w:rsidRPr="00647306">
        <w:rPr>
          <w:rFonts w:eastAsiaTheme="minorEastAsia" w:cs="Arial"/>
        </w:rPr>
        <w:t>Durant la llibertat condicional segueixen existint necessitats d</w:t>
      </w:r>
      <w:r>
        <w:rPr>
          <w:rFonts w:eastAsiaTheme="minorEastAsia" w:cs="Arial"/>
        </w:rPr>
        <w:t>’</w:t>
      </w:r>
      <w:r w:rsidRPr="00647306">
        <w:rPr>
          <w:rFonts w:eastAsiaTheme="minorEastAsia" w:cs="Arial"/>
        </w:rPr>
        <w:t xml:space="preserve">intervenció i factors de risc que fan necessària la intervenció dels equips penitenciaris en coordinació amb els recursos comunitaris que seguiran oferint suport a la persona i el seu entorn a partir de la llibertat definitiva. Aquests equips </w:t>
      </w:r>
      <w:r>
        <w:rPr>
          <w:rFonts w:eastAsiaTheme="minorEastAsia" w:cs="Arial"/>
        </w:rPr>
        <w:t>han d’establir</w:t>
      </w:r>
      <w:r w:rsidRPr="00647306">
        <w:rPr>
          <w:rFonts w:eastAsiaTheme="minorEastAsia" w:cs="Arial"/>
        </w:rPr>
        <w:t xml:space="preserve"> </w:t>
      </w:r>
      <w:r>
        <w:rPr>
          <w:rFonts w:eastAsiaTheme="minorEastAsia" w:cs="Arial"/>
        </w:rPr>
        <w:t xml:space="preserve">determinats </w:t>
      </w:r>
      <w:r w:rsidRPr="00647306">
        <w:rPr>
          <w:rFonts w:eastAsiaTheme="minorEastAsia" w:cs="Arial"/>
        </w:rPr>
        <w:t>criteris per regular la freqüència dels seguiments, les eines d</w:t>
      </w:r>
      <w:r>
        <w:rPr>
          <w:rFonts w:eastAsiaTheme="minorEastAsia" w:cs="Arial"/>
        </w:rPr>
        <w:t>’</w:t>
      </w:r>
      <w:r w:rsidRPr="00647306">
        <w:rPr>
          <w:rFonts w:eastAsiaTheme="minorEastAsia" w:cs="Arial"/>
        </w:rPr>
        <w:t>avaluació de risc i d</w:t>
      </w:r>
      <w:r>
        <w:rPr>
          <w:rFonts w:eastAsiaTheme="minorEastAsia" w:cs="Arial"/>
        </w:rPr>
        <w:t>’</w:t>
      </w:r>
      <w:r w:rsidRPr="00647306">
        <w:rPr>
          <w:rFonts w:eastAsiaTheme="minorEastAsia" w:cs="Arial"/>
        </w:rPr>
        <w:t>intervenció individualitzada pròpies dels serveis penitenciaris</w:t>
      </w:r>
      <w:r>
        <w:rPr>
          <w:rFonts w:eastAsiaTheme="minorEastAsia" w:cs="Arial"/>
        </w:rPr>
        <w:t>,</w:t>
      </w:r>
      <w:r w:rsidRPr="00647306">
        <w:rPr>
          <w:rFonts w:eastAsiaTheme="minorEastAsia" w:cs="Arial"/>
        </w:rPr>
        <w:t xml:space="preserve"> i també han de desenvolupar programes comunitaris de suport a la reinserció en concurs amb les institucions i entitats socials de reinserció i de prevenció de l</w:t>
      </w:r>
      <w:r>
        <w:rPr>
          <w:rFonts w:eastAsiaTheme="minorEastAsia" w:cs="Arial"/>
        </w:rPr>
        <w:t>’</w:t>
      </w:r>
      <w:r w:rsidRPr="00647306">
        <w:rPr>
          <w:rFonts w:eastAsiaTheme="minorEastAsia" w:cs="Arial"/>
        </w:rPr>
        <w:t xml:space="preserve">exclusió social. </w:t>
      </w:r>
    </w:p>
    <w:p w:rsidR="006A4109" w:rsidRPr="00647306" w:rsidRDefault="006A4109" w:rsidP="00E930B2">
      <w:pPr>
        <w:rPr>
          <w:rFonts w:eastAsiaTheme="minorEastAsia" w:cs="Arial"/>
        </w:rPr>
      </w:pPr>
      <w:r w:rsidRPr="00647306">
        <w:rPr>
          <w:rFonts w:eastAsiaTheme="minorEastAsia" w:cs="Arial"/>
        </w:rPr>
        <w:t xml:space="preserve">El funcionament de la llibertat condicional </w:t>
      </w:r>
      <w:r>
        <w:rPr>
          <w:rFonts w:eastAsiaTheme="minorEastAsia" w:cs="Arial"/>
        </w:rPr>
        <w:t>el va regular</w:t>
      </w:r>
      <w:r w:rsidRPr="00647306">
        <w:rPr>
          <w:rFonts w:eastAsiaTheme="minorEastAsia" w:cs="Arial"/>
        </w:rPr>
        <w:t xml:space="preserve"> la Circular 2/2012, de la Direcció General de Serveis Penitenciaris, sobre la gestió, </w:t>
      </w:r>
      <w:r>
        <w:rPr>
          <w:rFonts w:eastAsiaTheme="minorEastAsia" w:cs="Arial"/>
        </w:rPr>
        <w:t>l’</w:t>
      </w:r>
      <w:r w:rsidRPr="00647306">
        <w:rPr>
          <w:rFonts w:eastAsiaTheme="minorEastAsia" w:cs="Arial"/>
        </w:rPr>
        <w:t xml:space="preserve">execució i </w:t>
      </w:r>
      <w:r>
        <w:rPr>
          <w:rFonts w:eastAsiaTheme="minorEastAsia" w:cs="Arial"/>
        </w:rPr>
        <w:t xml:space="preserve">el </w:t>
      </w:r>
      <w:r w:rsidRPr="00647306">
        <w:rPr>
          <w:rFonts w:eastAsiaTheme="minorEastAsia" w:cs="Arial"/>
        </w:rPr>
        <w:t>seguiment de la llibertat condicional.</w:t>
      </w:r>
    </w:p>
    <w:p w:rsidR="006A4109" w:rsidRPr="00647306" w:rsidRDefault="006A4109" w:rsidP="00E930B2">
      <w:pPr>
        <w:rPr>
          <w:rFonts w:eastAsiaTheme="minorEastAsia" w:cs="Arial"/>
        </w:rPr>
      </w:pPr>
      <w:r w:rsidRPr="00647306">
        <w:rPr>
          <w:rFonts w:eastAsiaTheme="minorEastAsia" w:cs="Arial"/>
        </w:rPr>
        <w:t>La reforma del Codi penal de 2015 va introduir modificacions importants en el concepte i funcionament d</w:t>
      </w:r>
      <w:r>
        <w:rPr>
          <w:rFonts w:eastAsiaTheme="minorEastAsia" w:cs="Arial"/>
        </w:rPr>
        <w:t>’</w:t>
      </w:r>
      <w:r w:rsidRPr="00647306">
        <w:rPr>
          <w:rFonts w:eastAsiaTheme="minorEastAsia" w:cs="Arial"/>
        </w:rPr>
        <w:t>aquesta mesura. La més important és que, a partir de la seva vigència, es contempla com una suspensió de la pena, deixant de ser considerada com el quart grau de compliment que preveia l</w:t>
      </w:r>
      <w:r>
        <w:rPr>
          <w:rFonts w:eastAsiaTheme="minorEastAsia" w:cs="Arial"/>
        </w:rPr>
        <w:t>’</w:t>
      </w:r>
      <w:r w:rsidRPr="00647306">
        <w:rPr>
          <w:rFonts w:eastAsiaTheme="minorEastAsia" w:cs="Arial"/>
        </w:rPr>
        <w:t xml:space="preserve">article 72 de la Llei orgànica general </w:t>
      </w:r>
      <w:r>
        <w:rPr>
          <w:rFonts w:eastAsiaTheme="minorEastAsia" w:cs="Arial"/>
        </w:rPr>
        <w:t>penitenciària</w:t>
      </w:r>
      <w:r w:rsidRPr="00647306">
        <w:rPr>
          <w:rFonts w:eastAsiaTheme="minorEastAsia" w:cs="Arial"/>
        </w:rPr>
        <w:t xml:space="preserve">. Aquest canvi suposa que tot el temps que el penat roman en llibertat condicional no computa com </w:t>
      </w:r>
      <w:r>
        <w:rPr>
          <w:rFonts w:eastAsiaTheme="minorEastAsia" w:cs="Arial"/>
        </w:rPr>
        <w:t xml:space="preserve">a </w:t>
      </w:r>
      <w:r w:rsidRPr="00647306">
        <w:rPr>
          <w:rFonts w:eastAsiaTheme="minorEastAsia" w:cs="Arial"/>
        </w:rPr>
        <w:t xml:space="preserve">temps efectiu de compliment i, per tant, si li és revocada la mesura, haurà de complir tot el temps que li quedava en el moment </w:t>
      </w:r>
      <w:r>
        <w:rPr>
          <w:rFonts w:eastAsiaTheme="minorEastAsia" w:cs="Arial"/>
        </w:rPr>
        <w:t xml:space="preserve">en </w:t>
      </w:r>
      <w:r w:rsidRPr="00647306">
        <w:rPr>
          <w:rFonts w:eastAsiaTheme="minorEastAsia" w:cs="Arial"/>
        </w:rPr>
        <w:t>qu</w:t>
      </w:r>
      <w:r>
        <w:rPr>
          <w:rFonts w:eastAsiaTheme="minorEastAsia" w:cs="Arial"/>
        </w:rPr>
        <w:t>è</w:t>
      </w:r>
      <w:r w:rsidRPr="00647306">
        <w:rPr>
          <w:rFonts w:eastAsiaTheme="minorEastAsia" w:cs="Arial"/>
        </w:rPr>
        <w:t xml:space="preserve"> va accedir a la suspensió. D</w:t>
      </w:r>
      <w:r>
        <w:rPr>
          <w:rFonts w:eastAsiaTheme="minorEastAsia" w:cs="Arial"/>
        </w:rPr>
        <w:t>’</w:t>
      </w:r>
      <w:r w:rsidRPr="00647306">
        <w:rPr>
          <w:rFonts w:eastAsiaTheme="minorEastAsia" w:cs="Arial"/>
        </w:rPr>
        <w:t>altra banda</w:t>
      </w:r>
      <w:r>
        <w:rPr>
          <w:rFonts w:eastAsiaTheme="minorEastAsia" w:cs="Arial"/>
        </w:rPr>
        <w:t>,</w:t>
      </w:r>
      <w:r w:rsidRPr="00647306">
        <w:rPr>
          <w:rFonts w:eastAsiaTheme="minorEastAsia" w:cs="Arial"/>
        </w:rPr>
        <w:t xml:space="preserve"> el </w:t>
      </w:r>
      <w:r w:rsidR="003B3A3E">
        <w:rPr>
          <w:rFonts w:eastAsiaTheme="minorEastAsia" w:cs="Arial"/>
        </w:rPr>
        <w:t xml:space="preserve">nou </w:t>
      </w:r>
      <w:r w:rsidRPr="00647306">
        <w:rPr>
          <w:rFonts w:eastAsiaTheme="minorEastAsia" w:cs="Arial"/>
        </w:rPr>
        <w:t xml:space="preserve">Codi penal estableix </w:t>
      </w:r>
      <w:r w:rsidR="003B3A3E">
        <w:rPr>
          <w:rFonts w:eastAsiaTheme="minorEastAsia" w:cs="Arial"/>
        </w:rPr>
        <w:t>que el temps de durada de la suspensió serà e 2 a 5 anys</w:t>
      </w:r>
      <w:r>
        <w:rPr>
          <w:rFonts w:eastAsiaTheme="minorEastAsia" w:cs="Arial"/>
        </w:rPr>
        <w:t>,</w:t>
      </w:r>
      <w:r w:rsidRPr="00647306">
        <w:rPr>
          <w:rFonts w:eastAsiaTheme="minorEastAsia" w:cs="Arial"/>
        </w:rPr>
        <w:t xml:space="preserve"> independentment del temps que li quedi per complir</w:t>
      </w:r>
      <w:r>
        <w:rPr>
          <w:rFonts w:eastAsiaTheme="minorEastAsia" w:cs="Arial"/>
        </w:rPr>
        <w:t>,</w:t>
      </w:r>
      <w:r w:rsidRPr="00647306">
        <w:rPr>
          <w:rFonts w:eastAsiaTheme="minorEastAsia" w:cs="Arial"/>
        </w:rPr>
        <w:t xml:space="preserve"> al penat</w:t>
      </w:r>
      <w:r>
        <w:rPr>
          <w:rFonts w:eastAsiaTheme="minorEastAsia" w:cs="Arial"/>
        </w:rPr>
        <w:t>,</w:t>
      </w:r>
      <w:r w:rsidRPr="00647306">
        <w:rPr>
          <w:rFonts w:eastAsiaTheme="minorEastAsia" w:cs="Arial"/>
        </w:rPr>
        <w:t xml:space="preserve"> en el moment de ser-li aplicada.</w:t>
      </w:r>
      <w:r w:rsidR="003B3A3E">
        <w:rPr>
          <w:rFonts w:eastAsiaTheme="minorEastAsia" w:cs="Arial"/>
        </w:rPr>
        <w:t xml:space="preserve"> En tot cas el temps de suspensió no podrà ser inferior a la durada de la part de</w:t>
      </w:r>
      <w:r w:rsidR="00BE65CE">
        <w:rPr>
          <w:rFonts w:eastAsiaTheme="minorEastAsia" w:cs="Arial"/>
        </w:rPr>
        <w:t xml:space="preserve"> la pena que resti per complir. </w:t>
      </w:r>
      <w:r>
        <w:rPr>
          <w:rFonts w:eastAsiaTheme="minorEastAsia" w:cs="Arial"/>
        </w:rPr>
        <w:t>A</w:t>
      </w:r>
      <w:r w:rsidRPr="00647306">
        <w:rPr>
          <w:rFonts w:eastAsiaTheme="minorEastAsia" w:cs="Arial"/>
        </w:rPr>
        <w:t xml:space="preserve"> la pràctica</w:t>
      </w:r>
      <w:r>
        <w:rPr>
          <w:rFonts w:eastAsiaTheme="minorEastAsia" w:cs="Arial"/>
        </w:rPr>
        <w:t xml:space="preserve">, això suposa </w:t>
      </w:r>
      <w:r w:rsidRPr="00647306">
        <w:rPr>
          <w:rFonts w:eastAsiaTheme="minorEastAsia" w:cs="Arial"/>
        </w:rPr>
        <w:t xml:space="preserve">que les persones sotmeses a aquesta mesura (beneficiosa en principi) i que els restés un període inferior per </w:t>
      </w:r>
      <w:r>
        <w:rPr>
          <w:rFonts w:eastAsiaTheme="minorEastAsia" w:cs="Arial"/>
        </w:rPr>
        <w:t>finalitzar</w:t>
      </w:r>
      <w:r w:rsidRPr="00647306">
        <w:rPr>
          <w:rFonts w:eastAsiaTheme="minorEastAsia" w:cs="Arial"/>
        </w:rPr>
        <w:t xml:space="preserve"> la pena, veuran ampliat el temps de sotmetiment al sistema penal. </w:t>
      </w:r>
    </w:p>
    <w:p w:rsidR="006A4109" w:rsidRPr="00647306" w:rsidRDefault="006A4109" w:rsidP="00E930B2">
      <w:pPr>
        <w:rPr>
          <w:rFonts w:eastAsiaTheme="minorEastAsia" w:cs="Arial"/>
        </w:rPr>
      </w:pPr>
    </w:p>
    <w:p w:rsidR="006A4109" w:rsidRPr="00F02D52" w:rsidRDefault="006A4109" w:rsidP="0070401F">
      <w:pPr>
        <w:pStyle w:val="Ttol3"/>
      </w:pPr>
      <w:bookmarkStart w:id="277" w:name="_Toc463867776"/>
      <w:bookmarkStart w:id="278" w:name="_Toc464685663"/>
      <w:bookmarkStart w:id="279" w:name="_Toc465293394"/>
      <w:r w:rsidRPr="00F02D52">
        <w:t xml:space="preserve">Els </w:t>
      </w:r>
      <w:r w:rsidRPr="00EB1B4D">
        <w:t>serveis</w:t>
      </w:r>
      <w:r w:rsidRPr="00F02D52">
        <w:t xml:space="preserve"> socials penitenciaris</w:t>
      </w:r>
      <w:bookmarkEnd w:id="277"/>
      <w:bookmarkEnd w:id="278"/>
      <w:bookmarkEnd w:id="279"/>
    </w:p>
    <w:p w:rsidR="006A4109" w:rsidRPr="00647306" w:rsidRDefault="006A4109" w:rsidP="00E930B2">
      <w:pPr>
        <w:rPr>
          <w:rFonts w:eastAsiaTheme="minorEastAsia" w:cs="Arial"/>
        </w:rPr>
      </w:pPr>
      <w:r w:rsidRPr="00647306">
        <w:rPr>
          <w:rFonts w:eastAsiaTheme="minorEastAsia" w:cs="Arial"/>
        </w:rPr>
        <w:t>Des dels primers anys del model d</w:t>
      </w:r>
      <w:r>
        <w:rPr>
          <w:rFonts w:eastAsiaTheme="minorEastAsia" w:cs="Arial"/>
        </w:rPr>
        <w:t>’</w:t>
      </w:r>
      <w:r w:rsidRPr="00647306">
        <w:rPr>
          <w:rFonts w:eastAsiaTheme="minorEastAsia" w:cs="Arial"/>
        </w:rPr>
        <w:t xml:space="preserve">intervenció es van configurar equips de treball social que treballen tant als centres penitenciaris com a la comunitat però que depenen de les unitats de </w:t>
      </w:r>
      <w:r>
        <w:rPr>
          <w:rFonts w:eastAsiaTheme="minorEastAsia" w:cs="Arial"/>
        </w:rPr>
        <w:t>s</w:t>
      </w:r>
      <w:r w:rsidRPr="00647306">
        <w:rPr>
          <w:rFonts w:eastAsiaTheme="minorEastAsia" w:cs="Arial"/>
        </w:rPr>
        <w:t xml:space="preserve">erveis </w:t>
      </w:r>
      <w:r>
        <w:rPr>
          <w:rFonts w:eastAsiaTheme="minorEastAsia" w:cs="Arial"/>
        </w:rPr>
        <w:t>s</w:t>
      </w:r>
      <w:r w:rsidRPr="00647306">
        <w:rPr>
          <w:rFonts w:eastAsiaTheme="minorEastAsia" w:cs="Arial"/>
        </w:rPr>
        <w:t>ocials d</w:t>
      </w:r>
      <w:r>
        <w:rPr>
          <w:rFonts w:eastAsiaTheme="minorEastAsia" w:cs="Arial"/>
        </w:rPr>
        <w:t>’e</w:t>
      </w:r>
      <w:r w:rsidRPr="00647306">
        <w:rPr>
          <w:rFonts w:eastAsiaTheme="minorEastAsia" w:cs="Arial"/>
        </w:rPr>
        <w:t xml:space="preserve">xecució </w:t>
      </w:r>
      <w:r>
        <w:rPr>
          <w:rFonts w:eastAsiaTheme="minorEastAsia" w:cs="Arial"/>
        </w:rPr>
        <w:t>p</w:t>
      </w:r>
      <w:r w:rsidRPr="00647306">
        <w:rPr>
          <w:rFonts w:eastAsiaTheme="minorEastAsia" w:cs="Arial"/>
        </w:rPr>
        <w:t>enal vinculades al territori. Així, hi ha una unitat d</w:t>
      </w:r>
      <w:r>
        <w:rPr>
          <w:rFonts w:eastAsiaTheme="minorEastAsia" w:cs="Arial"/>
        </w:rPr>
        <w:t>’</w:t>
      </w:r>
      <w:r w:rsidRPr="00647306">
        <w:rPr>
          <w:rFonts w:eastAsiaTheme="minorEastAsia" w:cs="Arial"/>
        </w:rPr>
        <w:t>aquest tipus a cada demarcació provincial: Girona, Barcelona, Tarragona i Lleida. Aquest és un dels trets definitoris del model de serveis socials penitenciaris: la territorialitat. El personal que forma aquests equips, treballadors socials majoritàriament, depèn funcionalment del centre penitenciari, sota la coordinació d</w:t>
      </w:r>
      <w:r>
        <w:rPr>
          <w:rFonts w:eastAsiaTheme="minorEastAsia" w:cs="Arial"/>
        </w:rPr>
        <w:t>’</w:t>
      </w:r>
      <w:r w:rsidRPr="00647306">
        <w:rPr>
          <w:rFonts w:eastAsiaTheme="minorEastAsia" w:cs="Arial"/>
        </w:rPr>
        <w:t xml:space="preserve">un/una cap de programes de treball social, però també desenvolupa la seva intervenció en </w:t>
      </w:r>
      <w:r>
        <w:rPr>
          <w:rFonts w:eastAsiaTheme="minorEastAsia" w:cs="Arial"/>
        </w:rPr>
        <w:t>l’</w:t>
      </w:r>
      <w:r w:rsidRPr="00647306">
        <w:rPr>
          <w:rFonts w:eastAsiaTheme="minorEastAsia" w:cs="Arial"/>
        </w:rPr>
        <w:t xml:space="preserve">àmbit comunitari, especialment en el medi obert i la llibertat condicional. Les unitats de </w:t>
      </w:r>
      <w:r>
        <w:rPr>
          <w:rFonts w:eastAsiaTheme="minorEastAsia" w:cs="Arial"/>
        </w:rPr>
        <w:t>s</w:t>
      </w:r>
      <w:r w:rsidRPr="00647306">
        <w:rPr>
          <w:rFonts w:eastAsiaTheme="minorEastAsia" w:cs="Arial"/>
        </w:rPr>
        <w:t xml:space="preserve">erveis </w:t>
      </w:r>
      <w:r>
        <w:rPr>
          <w:rFonts w:eastAsiaTheme="minorEastAsia" w:cs="Arial"/>
        </w:rPr>
        <w:t>so</w:t>
      </w:r>
      <w:r w:rsidRPr="00647306">
        <w:rPr>
          <w:rFonts w:eastAsiaTheme="minorEastAsia" w:cs="Arial"/>
        </w:rPr>
        <w:t xml:space="preserve">cials de </w:t>
      </w:r>
      <w:r>
        <w:rPr>
          <w:rFonts w:eastAsiaTheme="minorEastAsia" w:cs="Arial"/>
        </w:rPr>
        <w:t>s</w:t>
      </w:r>
      <w:r w:rsidRPr="00647306">
        <w:rPr>
          <w:rFonts w:eastAsiaTheme="minorEastAsia" w:cs="Arial"/>
        </w:rPr>
        <w:t>uport a l</w:t>
      </w:r>
      <w:r>
        <w:rPr>
          <w:rFonts w:eastAsiaTheme="minorEastAsia" w:cs="Arial"/>
        </w:rPr>
        <w:t>’e</w:t>
      </w:r>
      <w:r w:rsidRPr="00647306">
        <w:rPr>
          <w:rFonts w:eastAsiaTheme="minorEastAsia" w:cs="Arial"/>
        </w:rPr>
        <w:t xml:space="preserve">xecució </w:t>
      </w:r>
      <w:r>
        <w:rPr>
          <w:rFonts w:eastAsiaTheme="minorEastAsia" w:cs="Arial"/>
        </w:rPr>
        <w:t>p</w:t>
      </w:r>
      <w:r w:rsidRPr="00647306">
        <w:rPr>
          <w:rFonts w:eastAsiaTheme="minorEastAsia" w:cs="Arial"/>
        </w:rPr>
        <w:t xml:space="preserve">enal dirigeixen orgànicament aquests equips i marquen les directrius de la seva tasca. </w:t>
      </w:r>
    </w:p>
    <w:p w:rsidR="006A4109" w:rsidRPr="00647306" w:rsidRDefault="006A4109" w:rsidP="00E930B2">
      <w:pPr>
        <w:rPr>
          <w:rFonts w:eastAsiaTheme="minorEastAsia" w:cs="Arial"/>
        </w:rPr>
      </w:pPr>
      <w:r w:rsidRPr="00647306">
        <w:rPr>
          <w:rFonts w:eastAsiaTheme="minorEastAsia" w:cs="Arial"/>
        </w:rPr>
        <w:t>Aquesta organització respon a</w:t>
      </w:r>
      <w:r>
        <w:rPr>
          <w:rFonts w:eastAsiaTheme="minorEastAsia" w:cs="Arial"/>
        </w:rPr>
        <w:t>l fet</w:t>
      </w:r>
      <w:r w:rsidRPr="00647306">
        <w:rPr>
          <w:rFonts w:eastAsiaTheme="minorEastAsia" w:cs="Arial"/>
        </w:rPr>
        <w:t xml:space="preserve"> que, des del principi, es va veure que calia una línia d</w:t>
      </w:r>
      <w:r>
        <w:rPr>
          <w:rFonts w:eastAsiaTheme="minorEastAsia" w:cs="Arial"/>
        </w:rPr>
        <w:t>’</w:t>
      </w:r>
      <w:r w:rsidRPr="00647306">
        <w:rPr>
          <w:rFonts w:eastAsiaTheme="minorEastAsia" w:cs="Arial"/>
        </w:rPr>
        <w:t xml:space="preserve">intervenció que atengués les necessitats dels interns als centres però amb una perspectiva comunitària. Així, a partir del medi obert, cada treballador social es vincula a una part del territori i </w:t>
      </w:r>
      <w:r w:rsidRPr="00EC02BA">
        <w:rPr>
          <w:rFonts w:eastAsiaTheme="minorEastAsia" w:cs="Arial"/>
        </w:rPr>
        <w:t>manté la vinculació al penat fins</w:t>
      </w:r>
      <w:r w:rsidRPr="00647306">
        <w:rPr>
          <w:rFonts w:eastAsiaTheme="minorEastAsia" w:cs="Arial"/>
        </w:rPr>
        <w:t xml:space="preserve"> </w:t>
      </w:r>
      <w:r>
        <w:rPr>
          <w:rFonts w:eastAsiaTheme="minorEastAsia" w:cs="Arial"/>
        </w:rPr>
        <w:t xml:space="preserve">a </w:t>
      </w:r>
      <w:r w:rsidRPr="00647306">
        <w:rPr>
          <w:rFonts w:eastAsiaTheme="minorEastAsia" w:cs="Arial"/>
        </w:rPr>
        <w:t>la llibertat definitiva, sense que l</w:t>
      </w:r>
      <w:r>
        <w:rPr>
          <w:rFonts w:eastAsiaTheme="minorEastAsia" w:cs="Arial"/>
        </w:rPr>
        <w:t>’</w:t>
      </w:r>
      <w:r w:rsidRPr="00647306">
        <w:rPr>
          <w:rFonts w:eastAsiaTheme="minorEastAsia" w:cs="Arial"/>
        </w:rPr>
        <w:t xml:space="preserve">obtenció de la llibertat condicional suposi un canvi de professional. Els equips multidisciplinaris dels centres tenen necessitats que han de ser ateses per aquests professionals, des del moment de </w:t>
      </w:r>
      <w:r w:rsidRPr="00647306">
        <w:rPr>
          <w:rFonts w:eastAsiaTheme="minorEastAsia" w:cs="Arial"/>
        </w:rPr>
        <w:lastRenderedPageBreak/>
        <w:t>l</w:t>
      </w:r>
      <w:r>
        <w:rPr>
          <w:rFonts w:eastAsiaTheme="minorEastAsia" w:cs="Arial"/>
        </w:rPr>
        <w:t>’</w:t>
      </w:r>
      <w:r w:rsidRPr="00647306">
        <w:rPr>
          <w:rFonts w:eastAsiaTheme="minorEastAsia" w:cs="Arial"/>
        </w:rPr>
        <w:t>ingrés, tant pel que fa a l</w:t>
      </w:r>
      <w:r>
        <w:rPr>
          <w:rFonts w:eastAsiaTheme="minorEastAsia" w:cs="Arial"/>
        </w:rPr>
        <w:t>’</w:t>
      </w:r>
      <w:r w:rsidRPr="00647306">
        <w:rPr>
          <w:rFonts w:eastAsiaTheme="minorEastAsia" w:cs="Arial"/>
        </w:rPr>
        <w:t>avaluació de l</w:t>
      </w:r>
      <w:r>
        <w:rPr>
          <w:rFonts w:eastAsiaTheme="minorEastAsia" w:cs="Arial"/>
        </w:rPr>
        <w:t>’</w:t>
      </w:r>
      <w:r w:rsidRPr="00647306">
        <w:rPr>
          <w:rFonts w:eastAsiaTheme="minorEastAsia" w:cs="Arial"/>
        </w:rPr>
        <w:t>entorn de l</w:t>
      </w:r>
      <w:r>
        <w:rPr>
          <w:rFonts w:eastAsiaTheme="minorEastAsia" w:cs="Arial"/>
        </w:rPr>
        <w:t>’</w:t>
      </w:r>
      <w:r w:rsidRPr="00647306">
        <w:rPr>
          <w:rFonts w:eastAsiaTheme="minorEastAsia" w:cs="Arial"/>
        </w:rPr>
        <w:t xml:space="preserve">intern com </w:t>
      </w:r>
      <w:r>
        <w:rPr>
          <w:rFonts w:eastAsiaTheme="minorEastAsia" w:cs="Arial"/>
        </w:rPr>
        <w:t xml:space="preserve">a </w:t>
      </w:r>
      <w:r w:rsidRPr="00647306">
        <w:rPr>
          <w:rFonts w:eastAsiaTheme="minorEastAsia" w:cs="Arial"/>
        </w:rPr>
        <w:t>l</w:t>
      </w:r>
      <w:r>
        <w:rPr>
          <w:rFonts w:eastAsiaTheme="minorEastAsia" w:cs="Arial"/>
        </w:rPr>
        <w:t>’</w:t>
      </w:r>
      <w:r w:rsidRPr="00647306">
        <w:rPr>
          <w:rFonts w:eastAsiaTheme="minorEastAsia" w:cs="Arial"/>
        </w:rPr>
        <w:t>assistència en totes les dificultats que suposa l</w:t>
      </w:r>
      <w:r>
        <w:rPr>
          <w:rFonts w:eastAsiaTheme="minorEastAsia" w:cs="Arial"/>
        </w:rPr>
        <w:t>’</w:t>
      </w:r>
      <w:r w:rsidRPr="00647306">
        <w:rPr>
          <w:rFonts w:eastAsiaTheme="minorEastAsia" w:cs="Arial"/>
        </w:rPr>
        <w:t>empresonament. Però també és fonamental que el PIT de l</w:t>
      </w:r>
      <w:r>
        <w:rPr>
          <w:rFonts w:eastAsiaTheme="minorEastAsia" w:cs="Arial"/>
        </w:rPr>
        <w:t>’</w:t>
      </w:r>
      <w:r w:rsidRPr="00647306">
        <w:rPr>
          <w:rFonts w:eastAsiaTheme="minorEastAsia" w:cs="Arial"/>
        </w:rPr>
        <w:t xml:space="preserve">intern </w:t>
      </w:r>
      <w:r>
        <w:rPr>
          <w:rFonts w:eastAsiaTheme="minorEastAsia" w:cs="Arial"/>
        </w:rPr>
        <w:t>prevegi</w:t>
      </w:r>
      <w:r w:rsidRPr="00647306">
        <w:rPr>
          <w:rFonts w:eastAsiaTheme="minorEastAsia" w:cs="Arial"/>
        </w:rPr>
        <w:t xml:space="preserve"> en tot moment les possibilitats de vinculació a l</w:t>
      </w:r>
      <w:r>
        <w:rPr>
          <w:rFonts w:eastAsiaTheme="minorEastAsia" w:cs="Arial"/>
        </w:rPr>
        <w:t>’</w:t>
      </w:r>
      <w:r w:rsidRPr="00647306">
        <w:rPr>
          <w:rFonts w:eastAsiaTheme="minorEastAsia" w:cs="Arial"/>
        </w:rPr>
        <w:t>entorn social, el coneixement d</w:t>
      </w:r>
      <w:r>
        <w:rPr>
          <w:rFonts w:eastAsiaTheme="minorEastAsia" w:cs="Arial"/>
        </w:rPr>
        <w:t>’</w:t>
      </w:r>
      <w:r w:rsidRPr="00647306">
        <w:rPr>
          <w:rFonts w:eastAsiaTheme="minorEastAsia" w:cs="Arial"/>
        </w:rPr>
        <w:t>aquest entorn i la intervenció proactiva per millorar el suport social i l</w:t>
      </w:r>
      <w:r>
        <w:rPr>
          <w:rFonts w:eastAsiaTheme="minorEastAsia" w:cs="Arial"/>
        </w:rPr>
        <w:t>’</w:t>
      </w:r>
      <w:r w:rsidRPr="00647306">
        <w:rPr>
          <w:rFonts w:eastAsiaTheme="minorEastAsia" w:cs="Arial"/>
        </w:rPr>
        <w:t xml:space="preserve">acció coordinada amb els recursos de la comunitat. </w:t>
      </w:r>
    </w:p>
    <w:p w:rsidR="006A4109" w:rsidRPr="00647306" w:rsidRDefault="006A4109" w:rsidP="00E930B2">
      <w:pPr>
        <w:rPr>
          <w:rFonts w:eastAsiaTheme="minorEastAsia" w:cs="Arial"/>
        </w:rPr>
      </w:pPr>
      <w:r w:rsidRPr="00647306">
        <w:rPr>
          <w:rFonts w:eastAsiaTheme="minorEastAsia" w:cs="Arial"/>
        </w:rPr>
        <w:t>Mirant cap al futur, cal desenvolupar programes d</w:t>
      </w:r>
      <w:r>
        <w:rPr>
          <w:rFonts w:eastAsiaTheme="minorEastAsia" w:cs="Arial"/>
        </w:rPr>
        <w:t>’</w:t>
      </w:r>
      <w:r w:rsidRPr="00647306">
        <w:rPr>
          <w:rFonts w:eastAsiaTheme="minorEastAsia" w:cs="Arial"/>
        </w:rPr>
        <w:t>intervenció que permetin diferenciar i qualificar la part de reintegració del PIT de l</w:t>
      </w:r>
      <w:r>
        <w:rPr>
          <w:rFonts w:eastAsiaTheme="minorEastAsia" w:cs="Arial"/>
        </w:rPr>
        <w:t>’</w:t>
      </w:r>
      <w:r w:rsidRPr="00647306">
        <w:rPr>
          <w:rFonts w:eastAsiaTheme="minorEastAsia" w:cs="Arial"/>
        </w:rPr>
        <w:t>intern, que estructurin l</w:t>
      </w:r>
      <w:r>
        <w:rPr>
          <w:rFonts w:eastAsiaTheme="minorEastAsia" w:cs="Arial"/>
        </w:rPr>
        <w:t>’</w:t>
      </w:r>
      <w:r w:rsidRPr="00647306">
        <w:rPr>
          <w:rFonts w:eastAsiaTheme="minorEastAsia" w:cs="Arial"/>
        </w:rPr>
        <w:t>avaluació de l</w:t>
      </w:r>
      <w:r>
        <w:rPr>
          <w:rFonts w:eastAsiaTheme="minorEastAsia" w:cs="Arial"/>
        </w:rPr>
        <w:t>’</w:t>
      </w:r>
      <w:r w:rsidRPr="00647306">
        <w:rPr>
          <w:rFonts w:eastAsiaTheme="minorEastAsia" w:cs="Arial"/>
        </w:rPr>
        <w:t>entorn social del penat i que desenvolupin intervencions especialitzades en el medi comunitari en concurs amb les xarxes naturals de suport social, les institucions i les entitats socials que donaran continuïtat al procés de reinserció a mesura que s</w:t>
      </w:r>
      <w:r>
        <w:rPr>
          <w:rFonts w:eastAsiaTheme="minorEastAsia" w:cs="Arial"/>
        </w:rPr>
        <w:t>’</w:t>
      </w:r>
      <w:r w:rsidRPr="00647306">
        <w:rPr>
          <w:rFonts w:eastAsiaTheme="minorEastAsia" w:cs="Arial"/>
        </w:rPr>
        <w:t>acosti la llibertat i la desvinculació de la persona del sistema d</w:t>
      </w:r>
      <w:r>
        <w:rPr>
          <w:rFonts w:eastAsiaTheme="minorEastAsia" w:cs="Arial"/>
        </w:rPr>
        <w:t>’</w:t>
      </w:r>
      <w:r w:rsidRPr="00647306">
        <w:rPr>
          <w:rFonts w:eastAsiaTheme="minorEastAsia" w:cs="Arial"/>
        </w:rPr>
        <w:t xml:space="preserve">execució penal. </w:t>
      </w:r>
    </w:p>
    <w:p w:rsidR="006A4109" w:rsidRPr="00647306" w:rsidRDefault="006A4109" w:rsidP="00E930B2">
      <w:pPr>
        <w:rPr>
          <w:rFonts w:eastAsiaTheme="minorEastAsia" w:cs="Arial"/>
        </w:rPr>
      </w:pPr>
    </w:p>
    <w:p w:rsidR="006A4109" w:rsidRPr="00F02D52" w:rsidRDefault="006A4109" w:rsidP="0070401F">
      <w:pPr>
        <w:pStyle w:val="Ttol3"/>
      </w:pPr>
      <w:bookmarkStart w:id="280" w:name="_Toc463867777"/>
      <w:bookmarkStart w:id="281" w:name="_Toc464685664"/>
      <w:bookmarkStart w:id="282" w:name="_Toc465293395"/>
      <w:r w:rsidRPr="00F02D52">
        <w:t>Els programes comunitaris de suport a la reinserció</w:t>
      </w:r>
      <w:bookmarkEnd w:id="280"/>
      <w:bookmarkEnd w:id="281"/>
      <w:bookmarkEnd w:id="282"/>
    </w:p>
    <w:p w:rsidR="006A4109" w:rsidRPr="00647306" w:rsidRDefault="006A4109" w:rsidP="00E930B2">
      <w:pPr>
        <w:rPr>
          <w:rFonts w:eastAsiaTheme="minorEastAsia" w:cs="Arial"/>
        </w:rPr>
      </w:pPr>
      <w:r w:rsidRPr="00647306">
        <w:rPr>
          <w:rFonts w:eastAsiaTheme="minorEastAsia" w:cs="Arial"/>
        </w:rPr>
        <w:t>Si tenim en compte que la finalitat principal de la intervenció en els serveis penitenciaris és la reinserció, és necessari dur a terme una part d</w:t>
      </w:r>
      <w:r>
        <w:rPr>
          <w:rFonts w:eastAsiaTheme="minorEastAsia" w:cs="Arial"/>
        </w:rPr>
        <w:t>’</w:t>
      </w:r>
      <w:r w:rsidRPr="00647306">
        <w:rPr>
          <w:rFonts w:eastAsiaTheme="minorEastAsia" w:cs="Arial"/>
        </w:rPr>
        <w:t>aquesta intervenció en el mateix medi social. Amb els anys s</w:t>
      </w:r>
      <w:r>
        <w:rPr>
          <w:rFonts w:eastAsiaTheme="minorEastAsia" w:cs="Arial"/>
        </w:rPr>
        <w:t>’</w:t>
      </w:r>
      <w:r w:rsidRPr="00647306">
        <w:rPr>
          <w:rFonts w:eastAsiaTheme="minorEastAsia" w:cs="Arial"/>
        </w:rPr>
        <w:t xml:space="preserve">han </w:t>
      </w:r>
      <w:r>
        <w:rPr>
          <w:rFonts w:eastAsiaTheme="minorEastAsia" w:cs="Arial"/>
        </w:rPr>
        <w:t>establert</w:t>
      </w:r>
      <w:r w:rsidRPr="00647306">
        <w:rPr>
          <w:rFonts w:eastAsiaTheme="minorEastAsia" w:cs="Arial"/>
        </w:rPr>
        <w:t xml:space="preserve"> procediments de coordinació amb els agents socials i mètodes d</w:t>
      </w:r>
      <w:r>
        <w:rPr>
          <w:rFonts w:eastAsiaTheme="minorEastAsia" w:cs="Arial"/>
        </w:rPr>
        <w:t>’</w:t>
      </w:r>
      <w:r w:rsidRPr="00647306">
        <w:rPr>
          <w:rFonts w:eastAsiaTheme="minorEastAsia" w:cs="Arial"/>
        </w:rPr>
        <w:t xml:space="preserve">intervenció com els que </w:t>
      </w:r>
      <w:r w:rsidRPr="00650A89">
        <w:rPr>
          <w:rFonts w:eastAsiaTheme="minorEastAsia" w:cs="Arial"/>
        </w:rPr>
        <w:t xml:space="preserve">s’han esmentat anteriorment o </w:t>
      </w:r>
      <w:r>
        <w:rPr>
          <w:rFonts w:eastAsiaTheme="minorEastAsia" w:cs="Arial"/>
        </w:rPr>
        <w:t>esmentarem més endavant</w:t>
      </w:r>
      <w:r w:rsidRPr="00647306">
        <w:rPr>
          <w:rFonts w:eastAsiaTheme="minorEastAsia" w:cs="Arial"/>
        </w:rPr>
        <w:t>. Però en aquest apartat cal destacar dos projectes que, per la forma en qu</w:t>
      </w:r>
      <w:r>
        <w:rPr>
          <w:rFonts w:eastAsiaTheme="minorEastAsia" w:cs="Arial"/>
        </w:rPr>
        <w:t>è</w:t>
      </w:r>
      <w:r w:rsidRPr="00647306">
        <w:rPr>
          <w:rFonts w:eastAsiaTheme="minorEastAsia" w:cs="Arial"/>
        </w:rPr>
        <w:t xml:space="preserve"> s</w:t>
      </w:r>
      <w:r>
        <w:rPr>
          <w:rFonts w:eastAsiaTheme="minorEastAsia" w:cs="Arial"/>
        </w:rPr>
        <w:t>’</w:t>
      </w:r>
      <w:r w:rsidRPr="00647306">
        <w:rPr>
          <w:rFonts w:eastAsiaTheme="minorEastAsia" w:cs="Arial"/>
        </w:rPr>
        <w:t>han configurat i pel fet que incideixen directament en la integració del penat en el seu entorn, obren una línia de futur en el model d</w:t>
      </w:r>
      <w:r>
        <w:rPr>
          <w:rFonts w:eastAsiaTheme="minorEastAsia" w:cs="Arial"/>
        </w:rPr>
        <w:t>’</w:t>
      </w:r>
      <w:r w:rsidRPr="00647306">
        <w:rPr>
          <w:rFonts w:eastAsiaTheme="minorEastAsia" w:cs="Arial"/>
        </w:rPr>
        <w:t>intervenció</w:t>
      </w:r>
      <w:r>
        <w:rPr>
          <w:rFonts w:eastAsiaTheme="minorEastAsia" w:cs="Arial"/>
        </w:rPr>
        <w:t>:</w:t>
      </w:r>
    </w:p>
    <w:p w:rsidR="006A4109" w:rsidRPr="00647306" w:rsidRDefault="006A4109" w:rsidP="00E930B2">
      <w:pPr>
        <w:ind w:left="567" w:hanging="283"/>
        <w:rPr>
          <w:rFonts w:eastAsiaTheme="minorEastAsia" w:cs="Arial"/>
        </w:rPr>
      </w:pPr>
      <w:r>
        <w:rPr>
          <w:rFonts w:eastAsiaTheme="minorEastAsia" w:cs="Arial"/>
        </w:rPr>
        <w:t>‒</w:t>
      </w:r>
      <w:r>
        <w:rPr>
          <w:rFonts w:eastAsiaTheme="minorEastAsia" w:cs="Arial"/>
        </w:rPr>
        <w:tab/>
      </w:r>
      <w:r w:rsidRPr="00647306">
        <w:rPr>
          <w:rFonts w:eastAsiaTheme="minorEastAsia" w:cs="Arial"/>
        </w:rPr>
        <w:t xml:space="preserve">Els </w:t>
      </w:r>
      <w:r>
        <w:rPr>
          <w:rFonts w:eastAsiaTheme="minorEastAsia" w:cs="Arial"/>
        </w:rPr>
        <w:t>c</w:t>
      </w:r>
      <w:r w:rsidRPr="00647306">
        <w:rPr>
          <w:rFonts w:eastAsiaTheme="minorEastAsia" w:cs="Arial"/>
        </w:rPr>
        <w:t xml:space="preserve">ercles de </w:t>
      </w:r>
      <w:r>
        <w:rPr>
          <w:rFonts w:eastAsiaTheme="minorEastAsia" w:cs="Arial"/>
        </w:rPr>
        <w:t>s</w:t>
      </w:r>
      <w:r w:rsidRPr="00647306">
        <w:rPr>
          <w:rFonts w:eastAsiaTheme="minorEastAsia" w:cs="Arial"/>
        </w:rPr>
        <w:t xml:space="preserve">uport i </w:t>
      </w:r>
      <w:r>
        <w:rPr>
          <w:rFonts w:eastAsiaTheme="minorEastAsia" w:cs="Arial"/>
        </w:rPr>
        <w:t>r</w:t>
      </w:r>
      <w:r w:rsidRPr="00647306">
        <w:rPr>
          <w:rFonts w:eastAsiaTheme="minorEastAsia" w:cs="Arial"/>
        </w:rPr>
        <w:t xml:space="preserve">esponsabilitat. Aquesta és una intervenció específica per </w:t>
      </w:r>
      <w:r>
        <w:rPr>
          <w:rFonts w:eastAsiaTheme="minorEastAsia" w:cs="Arial"/>
        </w:rPr>
        <w:t xml:space="preserve">a </w:t>
      </w:r>
      <w:r w:rsidRPr="00647306">
        <w:rPr>
          <w:rFonts w:eastAsiaTheme="minorEastAsia" w:cs="Arial"/>
        </w:rPr>
        <w:t xml:space="preserve">penats per delictes contra la llibertat sexual que </w:t>
      </w:r>
      <w:r>
        <w:rPr>
          <w:rFonts w:eastAsiaTheme="minorEastAsia" w:cs="Arial"/>
        </w:rPr>
        <w:t>estan</w:t>
      </w:r>
      <w:r w:rsidRPr="00647306">
        <w:rPr>
          <w:rFonts w:eastAsiaTheme="minorEastAsia" w:cs="Arial"/>
        </w:rPr>
        <w:t xml:space="preserve"> en situació de semillibertat (règim obert o llibertat condicional) i que, pels seus antecedents</w:t>
      </w:r>
      <w:r>
        <w:rPr>
          <w:rFonts w:eastAsiaTheme="minorEastAsia" w:cs="Arial"/>
        </w:rPr>
        <w:t>,</w:t>
      </w:r>
      <w:r w:rsidRPr="00647306">
        <w:rPr>
          <w:rFonts w:eastAsiaTheme="minorEastAsia" w:cs="Arial"/>
        </w:rPr>
        <w:t xml:space="preserve"> presenten un alt risc de reincidència, tot i haver aprofitat el tractament en règim ordinari.</w:t>
      </w:r>
    </w:p>
    <w:p w:rsidR="006A4109" w:rsidRPr="00647306" w:rsidRDefault="006A4109" w:rsidP="00E930B2">
      <w:pPr>
        <w:ind w:left="567"/>
        <w:rPr>
          <w:rFonts w:eastAsiaTheme="minorEastAsia" w:cs="Arial"/>
        </w:rPr>
      </w:pPr>
      <w:r w:rsidRPr="00647306">
        <w:rPr>
          <w:rFonts w:eastAsiaTheme="minorEastAsia" w:cs="Arial"/>
        </w:rPr>
        <w:t>L</w:t>
      </w:r>
      <w:r>
        <w:rPr>
          <w:rFonts w:eastAsiaTheme="minorEastAsia" w:cs="Arial"/>
        </w:rPr>
        <w:t>’</w:t>
      </w:r>
      <w:r w:rsidRPr="00647306">
        <w:rPr>
          <w:rFonts w:eastAsiaTheme="minorEastAsia" w:cs="Arial"/>
        </w:rPr>
        <w:t xml:space="preserve">objectiu és acompanyar el procés de retorn al medi social ajudant </w:t>
      </w:r>
      <w:r>
        <w:rPr>
          <w:rFonts w:eastAsiaTheme="minorEastAsia" w:cs="Arial"/>
        </w:rPr>
        <w:t>el</w:t>
      </w:r>
      <w:r w:rsidRPr="00647306">
        <w:rPr>
          <w:rFonts w:eastAsiaTheme="minorEastAsia" w:cs="Arial"/>
        </w:rPr>
        <w:t xml:space="preserve"> penat amb les dificultats pròpies d</w:t>
      </w:r>
      <w:r>
        <w:rPr>
          <w:rFonts w:eastAsiaTheme="minorEastAsia" w:cs="Arial"/>
        </w:rPr>
        <w:t>’</w:t>
      </w:r>
      <w:r w:rsidRPr="00647306">
        <w:rPr>
          <w:rFonts w:eastAsiaTheme="minorEastAsia" w:cs="Arial"/>
        </w:rPr>
        <w:t>aquest procés, ampliant la xarxa de suport social no professional. Alhora</w:t>
      </w:r>
      <w:r>
        <w:rPr>
          <w:rFonts w:eastAsiaTheme="minorEastAsia" w:cs="Arial"/>
        </w:rPr>
        <w:t>,</w:t>
      </w:r>
      <w:r w:rsidRPr="00647306">
        <w:rPr>
          <w:rFonts w:eastAsiaTheme="minorEastAsia" w:cs="Arial"/>
        </w:rPr>
        <w:t xml:space="preserve"> els </w:t>
      </w:r>
      <w:r>
        <w:rPr>
          <w:rFonts w:eastAsiaTheme="minorEastAsia" w:cs="Arial"/>
        </w:rPr>
        <w:t>c</w:t>
      </w:r>
      <w:r w:rsidRPr="00647306">
        <w:rPr>
          <w:rFonts w:eastAsiaTheme="minorEastAsia" w:cs="Arial"/>
        </w:rPr>
        <w:t xml:space="preserve">ercles fan una funció de supervisió i de prevenció de la reincidència, atès que proporcionen un coneixement més ampli de com és la vida de la persona fora de la institució. Un cercle està configurat per un grup de voluntaris coordinats per un professional que acompanyen </w:t>
      </w:r>
      <w:r>
        <w:rPr>
          <w:rFonts w:eastAsiaTheme="minorEastAsia" w:cs="Arial"/>
        </w:rPr>
        <w:t>e</w:t>
      </w:r>
      <w:r w:rsidRPr="00647306">
        <w:rPr>
          <w:rFonts w:eastAsiaTheme="minorEastAsia" w:cs="Arial"/>
        </w:rPr>
        <w:t>l penat en el procés de retorn al medi social, l</w:t>
      </w:r>
      <w:r>
        <w:rPr>
          <w:rFonts w:eastAsiaTheme="minorEastAsia" w:cs="Arial"/>
        </w:rPr>
        <w:t>’</w:t>
      </w:r>
      <w:r w:rsidRPr="00647306">
        <w:rPr>
          <w:rFonts w:eastAsiaTheme="minorEastAsia" w:cs="Arial"/>
        </w:rPr>
        <w:t xml:space="preserve">ajuden a establir noves relacions i activitats, i informen </w:t>
      </w:r>
      <w:r>
        <w:rPr>
          <w:rFonts w:eastAsiaTheme="minorEastAsia" w:cs="Arial"/>
        </w:rPr>
        <w:t>e</w:t>
      </w:r>
      <w:r w:rsidRPr="00647306">
        <w:rPr>
          <w:rFonts w:eastAsiaTheme="minorEastAsia" w:cs="Arial"/>
        </w:rPr>
        <w:t>ls professionals tant dels avenços com de les situacions de risc que es donen en aquest procés.</w:t>
      </w:r>
    </w:p>
    <w:p w:rsidR="006A4109" w:rsidRPr="00647306" w:rsidRDefault="006A4109" w:rsidP="00E930B2">
      <w:pPr>
        <w:ind w:left="567"/>
        <w:rPr>
          <w:rFonts w:eastAsiaTheme="minorEastAsia" w:cs="Arial"/>
        </w:rPr>
      </w:pPr>
      <w:r w:rsidRPr="00647306">
        <w:rPr>
          <w:rFonts w:eastAsiaTheme="minorEastAsia" w:cs="Arial"/>
        </w:rPr>
        <w:t>El programa, ja en funcionament a</w:t>
      </w:r>
      <w:r>
        <w:rPr>
          <w:rFonts w:eastAsiaTheme="minorEastAsia" w:cs="Arial"/>
        </w:rPr>
        <w:t>l</w:t>
      </w:r>
      <w:r w:rsidRPr="00647306">
        <w:rPr>
          <w:rFonts w:eastAsiaTheme="minorEastAsia" w:cs="Arial"/>
        </w:rPr>
        <w:t xml:space="preserve"> Canadà i </w:t>
      </w:r>
      <w:r>
        <w:rPr>
          <w:rFonts w:eastAsiaTheme="minorEastAsia" w:cs="Arial"/>
        </w:rPr>
        <w:t xml:space="preserve">a </w:t>
      </w:r>
      <w:r w:rsidRPr="00647306">
        <w:rPr>
          <w:rFonts w:eastAsiaTheme="minorEastAsia" w:cs="Arial"/>
        </w:rPr>
        <w:t>altres països d</w:t>
      </w:r>
      <w:r>
        <w:rPr>
          <w:rFonts w:eastAsiaTheme="minorEastAsia" w:cs="Arial"/>
        </w:rPr>
        <w:t>’</w:t>
      </w:r>
      <w:r w:rsidRPr="00647306">
        <w:rPr>
          <w:rFonts w:eastAsiaTheme="minorEastAsia" w:cs="Arial"/>
        </w:rPr>
        <w:t>Europa des de fa anys, va ser adaptat a la nostra realitat gràcies a una investigació finançada pel CEJFE i a la participació en un projecte de la Unió Europea. Aquest és un projecte que aprofita sin</w:t>
      </w:r>
      <w:r>
        <w:rPr>
          <w:rFonts w:eastAsiaTheme="minorEastAsia" w:cs="Arial"/>
        </w:rPr>
        <w:t>e</w:t>
      </w:r>
      <w:r w:rsidRPr="00647306">
        <w:rPr>
          <w:rFonts w:eastAsiaTheme="minorEastAsia" w:cs="Arial"/>
        </w:rPr>
        <w:t>rgies entre la pràctica, la investigació i la cooperació internacional</w:t>
      </w:r>
      <w:r>
        <w:rPr>
          <w:rFonts w:eastAsiaTheme="minorEastAsia" w:cs="Arial"/>
        </w:rPr>
        <w:t>,</w:t>
      </w:r>
      <w:r w:rsidRPr="00647306">
        <w:rPr>
          <w:rFonts w:eastAsiaTheme="minorEastAsia" w:cs="Arial"/>
        </w:rPr>
        <w:t xml:space="preserve"> i que defineix una via de futur pe</w:t>
      </w:r>
      <w:r>
        <w:rPr>
          <w:rFonts w:eastAsiaTheme="minorEastAsia" w:cs="Arial"/>
        </w:rPr>
        <w:t>r a</w:t>
      </w:r>
      <w:r w:rsidRPr="00647306">
        <w:rPr>
          <w:rFonts w:eastAsiaTheme="minorEastAsia" w:cs="Arial"/>
        </w:rPr>
        <w:t>l desenvolupament del model d</w:t>
      </w:r>
      <w:r>
        <w:rPr>
          <w:rFonts w:eastAsiaTheme="minorEastAsia" w:cs="Arial"/>
        </w:rPr>
        <w:t>’</w:t>
      </w:r>
      <w:r w:rsidRPr="00647306">
        <w:rPr>
          <w:rFonts w:eastAsiaTheme="minorEastAsia" w:cs="Arial"/>
        </w:rPr>
        <w:t>intervenció.</w:t>
      </w:r>
    </w:p>
    <w:p w:rsidR="006A4109" w:rsidRPr="00647306" w:rsidRDefault="006A4109" w:rsidP="00E930B2">
      <w:pPr>
        <w:ind w:left="567" w:hanging="283"/>
        <w:rPr>
          <w:rFonts w:eastAsiaTheme="minorEastAsia" w:cs="Arial"/>
        </w:rPr>
      </w:pPr>
      <w:r>
        <w:rPr>
          <w:rFonts w:eastAsiaTheme="minorEastAsia" w:cs="Arial"/>
        </w:rPr>
        <w:t>‒</w:t>
      </w:r>
      <w:r>
        <w:rPr>
          <w:rFonts w:eastAsiaTheme="minorEastAsia" w:cs="Arial"/>
        </w:rPr>
        <w:tab/>
      </w:r>
      <w:r w:rsidRPr="00647306">
        <w:rPr>
          <w:rFonts w:eastAsiaTheme="minorEastAsia" w:cs="Arial"/>
        </w:rPr>
        <w:t xml:space="preserve">Projecte </w:t>
      </w:r>
      <w:r>
        <w:rPr>
          <w:rFonts w:eastAsiaTheme="minorEastAsia" w:cs="Arial"/>
        </w:rPr>
        <w:t>“</w:t>
      </w:r>
      <w:r w:rsidRPr="00647306">
        <w:rPr>
          <w:rFonts w:eastAsiaTheme="minorEastAsia" w:cs="Arial"/>
        </w:rPr>
        <w:t>De la presó a la comunitat</w:t>
      </w:r>
      <w:r>
        <w:rPr>
          <w:rFonts w:eastAsiaTheme="minorEastAsia" w:cs="Arial"/>
        </w:rPr>
        <w:t>”</w:t>
      </w:r>
      <w:r w:rsidRPr="00647306">
        <w:rPr>
          <w:rFonts w:eastAsiaTheme="minorEastAsia" w:cs="Arial"/>
        </w:rPr>
        <w:t>. El medi obert i la llibertat condicional s</w:t>
      </w:r>
      <w:r>
        <w:rPr>
          <w:rFonts w:eastAsiaTheme="minorEastAsia" w:cs="Arial"/>
        </w:rPr>
        <w:t>ón</w:t>
      </w:r>
      <w:r w:rsidRPr="00647306">
        <w:rPr>
          <w:rFonts w:eastAsiaTheme="minorEastAsia" w:cs="Arial"/>
        </w:rPr>
        <w:t xml:space="preserve"> les etapes per les qu</w:t>
      </w:r>
      <w:r>
        <w:rPr>
          <w:rFonts w:eastAsiaTheme="minorEastAsia" w:cs="Arial"/>
        </w:rPr>
        <w:t>als</w:t>
      </w:r>
      <w:r w:rsidRPr="00647306">
        <w:rPr>
          <w:rFonts w:eastAsiaTheme="minorEastAsia" w:cs="Arial"/>
        </w:rPr>
        <w:t xml:space="preserve"> passa el procés de reinserció quan l</w:t>
      </w:r>
      <w:r>
        <w:rPr>
          <w:rFonts w:eastAsiaTheme="minorEastAsia" w:cs="Arial"/>
        </w:rPr>
        <w:t>’</w:t>
      </w:r>
      <w:r w:rsidRPr="00647306">
        <w:rPr>
          <w:rFonts w:eastAsiaTheme="minorEastAsia" w:cs="Arial"/>
        </w:rPr>
        <w:t>intern progressa en el seu tractament. No obstant</w:t>
      </w:r>
      <w:r>
        <w:rPr>
          <w:rFonts w:eastAsiaTheme="minorEastAsia" w:cs="Arial"/>
        </w:rPr>
        <w:t xml:space="preserve"> això</w:t>
      </w:r>
      <w:r w:rsidRPr="00647306">
        <w:rPr>
          <w:rFonts w:eastAsiaTheme="minorEastAsia" w:cs="Arial"/>
        </w:rPr>
        <w:t xml:space="preserve">, encara hi ha un nombre important de penats que arriben a la llibertat definitiva sense haver assolit aquests objectius, </w:t>
      </w:r>
      <w:r>
        <w:rPr>
          <w:rFonts w:eastAsiaTheme="minorEastAsia" w:cs="Arial"/>
        </w:rPr>
        <w:t xml:space="preserve">a causa de </w:t>
      </w:r>
      <w:r w:rsidRPr="00647306">
        <w:rPr>
          <w:rFonts w:eastAsiaTheme="minorEastAsia" w:cs="Arial"/>
        </w:rPr>
        <w:t xml:space="preserve">la baixa participació en els programes, la seva conducta a presó o mancances importants en el suport social. El projecte </w:t>
      </w:r>
      <w:r>
        <w:rPr>
          <w:rFonts w:eastAsiaTheme="minorEastAsia" w:cs="Arial"/>
        </w:rPr>
        <w:t>“</w:t>
      </w:r>
      <w:r w:rsidRPr="00647306">
        <w:rPr>
          <w:rFonts w:eastAsiaTheme="minorEastAsia" w:cs="Arial"/>
        </w:rPr>
        <w:t>De la presó a la comunitat</w:t>
      </w:r>
      <w:r>
        <w:rPr>
          <w:rFonts w:eastAsiaTheme="minorEastAsia" w:cs="Arial"/>
        </w:rPr>
        <w:t>”</w:t>
      </w:r>
      <w:r w:rsidRPr="00647306">
        <w:rPr>
          <w:rFonts w:eastAsiaTheme="minorEastAsia" w:cs="Arial"/>
        </w:rPr>
        <w:t xml:space="preserve"> neix com una solució per preparar el procés de reinserció per </w:t>
      </w:r>
      <w:r>
        <w:rPr>
          <w:rFonts w:eastAsiaTheme="minorEastAsia" w:cs="Arial"/>
        </w:rPr>
        <w:t xml:space="preserve">a </w:t>
      </w:r>
      <w:r w:rsidRPr="00647306">
        <w:rPr>
          <w:rFonts w:eastAsiaTheme="minorEastAsia" w:cs="Arial"/>
        </w:rPr>
        <w:t>aquest perfil d</w:t>
      </w:r>
      <w:r>
        <w:rPr>
          <w:rFonts w:eastAsiaTheme="minorEastAsia" w:cs="Arial"/>
        </w:rPr>
        <w:t>’</w:t>
      </w:r>
      <w:r w:rsidRPr="00647306">
        <w:rPr>
          <w:rFonts w:eastAsiaTheme="minorEastAsia" w:cs="Arial"/>
        </w:rPr>
        <w:t>interns. Finançat mitjançant un ajut a la investigació de Recercaixa, el projecte consisteix en una investigació - acció, en el sentit que posa a prova una intervenció alhora que avalua els seus resultats i s</w:t>
      </w:r>
      <w:r>
        <w:rPr>
          <w:rFonts w:eastAsiaTheme="minorEastAsia" w:cs="Arial"/>
        </w:rPr>
        <w:t>’</w:t>
      </w:r>
      <w:r w:rsidRPr="00647306">
        <w:rPr>
          <w:rFonts w:eastAsiaTheme="minorEastAsia" w:cs="Arial"/>
        </w:rPr>
        <w:t xml:space="preserve">obtenen conclusions per </w:t>
      </w:r>
      <w:r>
        <w:rPr>
          <w:rFonts w:eastAsiaTheme="minorEastAsia" w:cs="Arial"/>
        </w:rPr>
        <w:t xml:space="preserve">a </w:t>
      </w:r>
      <w:r w:rsidRPr="00647306">
        <w:rPr>
          <w:rFonts w:eastAsiaTheme="minorEastAsia" w:cs="Arial"/>
        </w:rPr>
        <w:t>la millora futura de l</w:t>
      </w:r>
      <w:r>
        <w:rPr>
          <w:rFonts w:eastAsiaTheme="minorEastAsia" w:cs="Arial"/>
        </w:rPr>
        <w:t>’</w:t>
      </w:r>
      <w:r w:rsidRPr="00647306">
        <w:rPr>
          <w:rFonts w:eastAsiaTheme="minorEastAsia" w:cs="Arial"/>
        </w:rPr>
        <w:t>aplicació i la seva implementació estable. És un projecte conjunt entre dos equips d</w:t>
      </w:r>
      <w:r>
        <w:rPr>
          <w:rFonts w:eastAsiaTheme="minorEastAsia" w:cs="Arial"/>
        </w:rPr>
        <w:t>’</w:t>
      </w:r>
      <w:r w:rsidRPr="00647306">
        <w:rPr>
          <w:rFonts w:eastAsiaTheme="minorEastAsia" w:cs="Arial"/>
        </w:rPr>
        <w:t xml:space="preserve">investigadors de la Universitat Autònoma de Barcelona i la Universitat de Barcelona, en col·laboració amb el CEJFE i </w:t>
      </w:r>
      <w:r w:rsidRPr="00647306">
        <w:rPr>
          <w:rFonts w:eastAsiaTheme="minorEastAsia" w:cs="Arial"/>
        </w:rPr>
        <w:lastRenderedPageBreak/>
        <w:t xml:space="preserve">la Direcció General de Serveis Penitenciaris. En el projecte </w:t>
      </w:r>
      <w:r>
        <w:rPr>
          <w:rFonts w:eastAsiaTheme="minorEastAsia" w:cs="Arial"/>
        </w:rPr>
        <w:t xml:space="preserve">hi </w:t>
      </w:r>
      <w:r w:rsidRPr="00647306">
        <w:rPr>
          <w:rFonts w:eastAsiaTheme="minorEastAsia" w:cs="Arial"/>
        </w:rPr>
        <w:t xml:space="preserve">participen també 8 entitats socials que </w:t>
      </w:r>
      <w:r>
        <w:rPr>
          <w:rFonts w:eastAsiaTheme="minorEastAsia" w:cs="Arial"/>
        </w:rPr>
        <w:t>tenen</w:t>
      </w:r>
      <w:r w:rsidRPr="00647306">
        <w:rPr>
          <w:rFonts w:eastAsiaTheme="minorEastAsia" w:cs="Arial"/>
        </w:rPr>
        <w:t xml:space="preserve"> una llarga experiència en la col·laboració amb el Departament de Justícia en programes de reinserció. </w:t>
      </w:r>
    </w:p>
    <w:p w:rsidR="006A4109" w:rsidRPr="00647306" w:rsidRDefault="006A4109" w:rsidP="00E930B2">
      <w:pPr>
        <w:ind w:left="567"/>
        <w:rPr>
          <w:rFonts w:eastAsiaTheme="minorEastAsia" w:cs="Arial"/>
        </w:rPr>
      </w:pPr>
      <w:r w:rsidRPr="00647306">
        <w:rPr>
          <w:rFonts w:eastAsiaTheme="minorEastAsia" w:cs="Arial"/>
        </w:rPr>
        <w:t xml:space="preserve">La intervenció consisteix </w:t>
      </w:r>
      <w:r>
        <w:rPr>
          <w:rFonts w:eastAsiaTheme="minorEastAsia" w:cs="Arial"/>
        </w:rPr>
        <w:t>a</w:t>
      </w:r>
      <w:r w:rsidRPr="00647306">
        <w:rPr>
          <w:rFonts w:eastAsiaTheme="minorEastAsia" w:cs="Arial"/>
        </w:rPr>
        <w:t xml:space="preserve"> oferir als interns pròxims a la llibertat definitiva i que es troben en règim ordinari el suport d</w:t>
      </w:r>
      <w:r>
        <w:rPr>
          <w:rFonts w:eastAsiaTheme="minorEastAsia" w:cs="Arial"/>
        </w:rPr>
        <w:t>’</w:t>
      </w:r>
      <w:r w:rsidRPr="00647306">
        <w:rPr>
          <w:rFonts w:eastAsiaTheme="minorEastAsia" w:cs="Arial"/>
        </w:rPr>
        <w:t xml:space="preserve">un mentor que </w:t>
      </w:r>
      <w:r>
        <w:rPr>
          <w:rFonts w:eastAsiaTheme="minorEastAsia" w:cs="Arial"/>
        </w:rPr>
        <w:t xml:space="preserve">els </w:t>
      </w:r>
      <w:r w:rsidRPr="00647306">
        <w:rPr>
          <w:rFonts w:eastAsiaTheme="minorEastAsia" w:cs="Arial"/>
        </w:rPr>
        <w:t xml:space="preserve">acompanyarà durant tot el procés, quatre mesos abans </w:t>
      </w:r>
      <w:r>
        <w:rPr>
          <w:rFonts w:eastAsiaTheme="minorEastAsia" w:cs="Arial"/>
        </w:rPr>
        <w:t>d’obtenir la</w:t>
      </w:r>
      <w:r w:rsidRPr="00647306">
        <w:rPr>
          <w:rFonts w:eastAsiaTheme="minorEastAsia" w:cs="Arial"/>
        </w:rPr>
        <w:t xml:space="preserve"> llibertat i els vuit mesos posteriors. Els mentors s</w:t>
      </w:r>
      <w:r>
        <w:rPr>
          <w:rFonts w:eastAsiaTheme="minorEastAsia" w:cs="Arial"/>
        </w:rPr>
        <w:t>ó</w:t>
      </w:r>
      <w:r w:rsidRPr="00647306">
        <w:rPr>
          <w:rFonts w:eastAsiaTheme="minorEastAsia" w:cs="Arial"/>
        </w:rPr>
        <w:t>n voluntaris, però compten amb la supervisió d</w:t>
      </w:r>
      <w:r>
        <w:rPr>
          <w:rFonts w:eastAsiaTheme="minorEastAsia" w:cs="Arial"/>
        </w:rPr>
        <w:t>’</w:t>
      </w:r>
      <w:r w:rsidRPr="00647306">
        <w:rPr>
          <w:rFonts w:eastAsiaTheme="minorEastAsia" w:cs="Arial"/>
        </w:rPr>
        <w:t>un professional expert en aquest camp. Tant els mentors com els professionals han participat en una formació específica pel programa. El projecte ha començat a principis de l</w:t>
      </w:r>
      <w:r>
        <w:rPr>
          <w:rFonts w:eastAsiaTheme="minorEastAsia" w:cs="Arial"/>
        </w:rPr>
        <w:t>’</w:t>
      </w:r>
      <w:r w:rsidRPr="00647306">
        <w:rPr>
          <w:rFonts w:eastAsiaTheme="minorEastAsia" w:cs="Arial"/>
        </w:rPr>
        <w:t>any 2016 i a finals de 2017 es valoraran els primers resultats.</w:t>
      </w:r>
    </w:p>
    <w:p w:rsidR="006A4109" w:rsidRPr="00647306" w:rsidRDefault="006A4109" w:rsidP="00E930B2">
      <w:pPr>
        <w:rPr>
          <w:rFonts w:eastAsiaTheme="minorEastAsia" w:cs="Arial"/>
        </w:rPr>
      </w:pPr>
    </w:p>
    <w:p w:rsidR="006A4109" w:rsidRPr="00F02D52" w:rsidRDefault="006A4109" w:rsidP="0070401F">
      <w:pPr>
        <w:pStyle w:val="Ttol3"/>
      </w:pPr>
      <w:bookmarkStart w:id="283" w:name="_Toc463867778"/>
      <w:bookmarkStart w:id="284" w:name="_Toc464685665"/>
      <w:bookmarkStart w:id="285" w:name="_Toc465293396"/>
      <w:r w:rsidRPr="00F02D52">
        <w:t xml:space="preserve">La </w:t>
      </w:r>
      <w:r w:rsidRPr="00EB1B4D">
        <w:t>prevenció</w:t>
      </w:r>
      <w:r w:rsidRPr="00F02D52">
        <w:t xml:space="preserve"> de la reincidència</w:t>
      </w:r>
      <w:bookmarkEnd w:id="283"/>
      <w:bookmarkEnd w:id="284"/>
      <w:bookmarkEnd w:id="285"/>
    </w:p>
    <w:p w:rsidR="006A4109" w:rsidRPr="00647306" w:rsidRDefault="006A4109" w:rsidP="00E930B2">
      <w:pPr>
        <w:rPr>
          <w:rFonts w:eastAsiaTheme="minorEastAsia" w:cs="Arial"/>
        </w:rPr>
      </w:pPr>
      <w:r w:rsidRPr="00647306">
        <w:rPr>
          <w:rFonts w:eastAsiaTheme="minorEastAsia" w:cs="Arial"/>
        </w:rPr>
        <w:t>Des de 1992, el CEJFE ha fet quatre estudis sobre les taxes de reincidència dels interns que surten de les presons catalanes. S</w:t>
      </w:r>
      <w:r>
        <w:rPr>
          <w:rFonts w:eastAsiaTheme="minorEastAsia" w:cs="Arial"/>
        </w:rPr>
        <w:t>’</w:t>
      </w:r>
      <w:r w:rsidRPr="00647306">
        <w:rPr>
          <w:rFonts w:eastAsiaTheme="minorEastAsia" w:cs="Arial"/>
        </w:rPr>
        <w:t>han pogut obtenir importants conclusions sobre com s</w:t>
      </w:r>
      <w:r>
        <w:rPr>
          <w:rFonts w:eastAsiaTheme="minorEastAsia" w:cs="Arial"/>
        </w:rPr>
        <w:t>’</w:t>
      </w:r>
      <w:r w:rsidRPr="00647306">
        <w:rPr>
          <w:rFonts w:eastAsiaTheme="minorEastAsia" w:cs="Arial"/>
        </w:rPr>
        <w:t>ha de millorar la intervenció per prevenir la nova comissió de delictes de les persones que compleixen la seva condemna als centres penitenciaris de Catalunya.</w:t>
      </w:r>
    </w:p>
    <w:p w:rsidR="006A4109" w:rsidRPr="00647306" w:rsidRDefault="006A4109" w:rsidP="00E930B2">
      <w:pPr>
        <w:rPr>
          <w:rFonts w:eastAsiaTheme="minorEastAsia" w:cs="Arial"/>
        </w:rPr>
      </w:pPr>
      <w:r w:rsidRPr="00647306">
        <w:rPr>
          <w:rFonts w:eastAsiaTheme="minorEastAsia" w:cs="Arial"/>
        </w:rPr>
        <w:t xml:space="preserve">Pel que fa a la taxa de reincidència, veiem com </w:t>
      </w:r>
      <w:r>
        <w:rPr>
          <w:rFonts w:eastAsiaTheme="minorEastAsia" w:cs="Arial"/>
        </w:rPr>
        <w:t>ha registrat</w:t>
      </w:r>
      <w:r w:rsidRPr="00647306">
        <w:rPr>
          <w:rFonts w:eastAsiaTheme="minorEastAsia" w:cs="Arial"/>
        </w:rPr>
        <w:t xml:space="preserve"> una important disminució, </w:t>
      </w:r>
      <w:r>
        <w:rPr>
          <w:rFonts w:eastAsiaTheme="minorEastAsia" w:cs="Arial"/>
        </w:rPr>
        <w:t>ja que ha passat de gairebé el</w:t>
      </w:r>
      <w:r w:rsidRPr="00647306">
        <w:rPr>
          <w:rFonts w:eastAsiaTheme="minorEastAsia" w:cs="Arial"/>
        </w:rPr>
        <w:t xml:space="preserve"> 40</w:t>
      </w:r>
      <w:r>
        <w:rPr>
          <w:rFonts w:eastAsiaTheme="minorEastAsia" w:cs="Arial"/>
        </w:rPr>
        <w:t xml:space="preserve"> </w:t>
      </w:r>
      <w:r w:rsidRPr="00647306">
        <w:rPr>
          <w:rFonts w:eastAsiaTheme="minorEastAsia" w:cs="Arial"/>
        </w:rPr>
        <w:t>% a una del 30</w:t>
      </w:r>
      <w:r>
        <w:rPr>
          <w:rFonts w:eastAsiaTheme="minorEastAsia" w:cs="Arial"/>
        </w:rPr>
        <w:t xml:space="preserve"> </w:t>
      </w:r>
      <w:r w:rsidRPr="00647306">
        <w:rPr>
          <w:rFonts w:eastAsiaTheme="minorEastAsia" w:cs="Arial"/>
        </w:rPr>
        <w:t>% en la darrera anàlisi. Sens dubte, aquesta disminució no és conseqüència directa de la intervenció, atès el gran nombre de factors demogràfics, socials i econòmics que hi intervenen. Però s</w:t>
      </w:r>
      <w:r>
        <w:rPr>
          <w:rFonts w:eastAsiaTheme="minorEastAsia" w:cs="Arial"/>
        </w:rPr>
        <w:t>í</w:t>
      </w:r>
      <w:r w:rsidRPr="00647306">
        <w:rPr>
          <w:rFonts w:eastAsiaTheme="minorEastAsia" w:cs="Arial"/>
        </w:rPr>
        <w:t xml:space="preserve"> que podem afirmar que, si més no, els resultats avalen el nostre model d</w:t>
      </w:r>
      <w:r>
        <w:rPr>
          <w:rFonts w:eastAsiaTheme="minorEastAsia" w:cs="Arial"/>
        </w:rPr>
        <w:t>’</w:t>
      </w:r>
      <w:r w:rsidRPr="00647306">
        <w:rPr>
          <w:rFonts w:eastAsiaTheme="minorEastAsia" w:cs="Arial"/>
        </w:rPr>
        <w:t>intervenció</w:t>
      </w:r>
      <w:r>
        <w:rPr>
          <w:rFonts w:eastAsiaTheme="minorEastAsia" w:cs="Arial"/>
        </w:rPr>
        <w:t>, m</w:t>
      </w:r>
      <w:r w:rsidRPr="00647306">
        <w:rPr>
          <w:rFonts w:eastAsiaTheme="minorEastAsia" w:cs="Arial"/>
        </w:rPr>
        <w:t xml:space="preserve">és </w:t>
      </w:r>
      <w:r>
        <w:rPr>
          <w:rFonts w:eastAsiaTheme="minorEastAsia" w:cs="Arial"/>
        </w:rPr>
        <w:t xml:space="preserve">encara </w:t>
      </w:r>
      <w:r w:rsidRPr="00647306">
        <w:rPr>
          <w:rFonts w:eastAsiaTheme="minorEastAsia" w:cs="Arial"/>
        </w:rPr>
        <w:t>si tenim en compte que la taxa mitja</w:t>
      </w:r>
      <w:r>
        <w:rPr>
          <w:rFonts w:eastAsiaTheme="minorEastAsia" w:cs="Arial"/>
        </w:rPr>
        <w:t>na</w:t>
      </w:r>
      <w:r w:rsidRPr="00647306">
        <w:rPr>
          <w:rFonts w:eastAsiaTheme="minorEastAsia" w:cs="Arial"/>
        </w:rPr>
        <w:t xml:space="preserve"> </w:t>
      </w:r>
      <w:r>
        <w:rPr>
          <w:rFonts w:eastAsiaTheme="minorEastAsia" w:cs="Arial"/>
        </w:rPr>
        <w:t>en els</w:t>
      </w:r>
      <w:r w:rsidRPr="00647306">
        <w:rPr>
          <w:rFonts w:eastAsiaTheme="minorEastAsia" w:cs="Arial"/>
        </w:rPr>
        <w:t xml:space="preserve"> estudis internacionals similars s</w:t>
      </w:r>
      <w:r>
        <w:rPr>
          <w:rFonts w:eastAsiaTheme="minorEastAsia" w:cs="Arial"/>
        </w:rPr>
        <w:t>’</w:t>
      </w:r>
      <w:r w:rsidRPr="00647306">
        <w:rPr>
          <w:rFonts w:eastAsiaTheme="minorEastAsia" w:cs="Arial"/>
        </w:rPr>
        <w:t>aproxima al 50</w:t>
      </w:r>
      <w:r>
        <w:rPr>
          <w:rFonts w:eastAsiaTheme="minorEastAsia" w:cs="Arial"/>
        </w:rPr>
        <w:t xml:space="preserve"> </w:t>
      </w:r>
      <w:r w:rsidRPr="00647306">
        <w:rPr>
          <w:rFonts w:eastAsiaTheme="minorEastAsia" w:cs="Arial"/>
        </w:rPr>
        <w:t>%.</w:t>
      </w:r>
    </w:p>
    <w:p w:rsidR="006A4109" w:rsidRPr="00650A89" w:rsidRDefault="006A4109" w:rsidP="00E930B2">
      <w:pPr>
        <w:rPr>
          <w:rFonts w:eastAsiaTheme="minorEastAsia" w:cs="Arial"/>
          <w:b/>
          <w:i/>
          <w:sz w:val="20"/>
          <w:szCs w:val="20"/>
        </w:rPr>
      </w:pPr>
    </w:p>
    <w:p w:rsidR="007B2744" w:rsidRDefault="006A4109" w:rsidP="007B2744">
      <w:pPr>
        <w:keepNext/>
        <w:jc w:val="center"/>
      </w:pPr>
      <w:r w:rsidRPr="00F02D52">
        <w:rPr>
          <w:rFonts w:eastAsiaTheme="minorEastAsia" w:cs="Arial"/>
          <w:b/>
          <w:i/>
          <w:noProof/>
          <w:lang w:eastAsia="ca-ES"/>
        </w:rPr>
        <w:drawing>
          <wp:inline distT="0" distB="0" distL="0" distR="0" wp14:anchorId="4B509672" wp14:editId="6DA882C1">
            <wp:extent cx="3945618" cy="2334491"/>
            <wp:effectExtent l="19050" t="0" r="0" b="0"/>
            <wp:docPr id="1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srcRect/>
                    <a:stretch>
                      <a:fillRect/>
                    </a:stretch>
                  </pic:blipFill>
                  <pic:spPr bwMode="auto">
                    <a:xfrm>
                      <a:off x="0" y="0"/>
                      <a:ext cx="3953164" cy="2338956"/>
                    </a:xfrm>
                    <a:prstGeom prst="rect">
                      <a:avLst/>
                    </a:prstGeom>
                    <a:noFill/>
                    <a:ln w="9525">
                      <a:noFill/>
                      <a:miter lim="800000"/>
                      <a:headEnd/>
                      <a:tailEnd/>
                    </a:ln>
                  </pic:spPr>
                </pic:pic>
              </a:graphicData>
            </a:graphic>
          </wp:inline>
        </w:drawing>
      </w:r>
    </w:p>
    <w:p w:rsidR="006A4109" w:rsidRDefault="009A1F67" w:rsidP="007B2744">
      <w:pPr>
        <w:pStyle w:val="Llegenda"/>
        <w:jc w:val="center"/>
        <w:rPr>
          <w:rFonts w:eastAsiaTheme="minorEastAsia" w:cs="Arial"/>
          <w:b w:val="0"/>
          <w:i/>
        </w:rPr>
      </w:pPr>
      <w:bookmarkStart w:id="286" w:name="_Toc465293825"/>
      <w:r>
        <w:t>Gràfic</w:t>
      </w:r>
      <w:r w:rsidR="007B2744">
        <w:t xml:space="preserve"> </w:t>
      </w:r>
      <w:r w:rsidR="00DB496B">
        <w:fldChar w:fldCharType="begin"/>
      </w:r>
      <w:r w:rsidR="00DB496B">
        <w:instrText xml:space="preserve"> SEQ Il·lustració \* ARABIC </w:instrText>
      </w:r>
      <w:r w:rsidR="00DB496B">
        <w:fldChar w:fldCharType="separate"/>
      </w:r>
      <w:r w:rsidR="00C952DF">
        <w:rPr>
          <w:noProof/>
        </w:rPr>
        <w:t>19</w:t>
      </w:r>
      <w:r w:rsidR="00DB496B">
        <w:rPr>
          <w:noProof/>
        </w:rPr>
        <w:fldChar w:fldCharType="end"/>
      </w:r>
      <w:r w:rsidR="007B2744">
        <w:t xml:space="preserve">. </w:t>
      </w:r>
      <w:r w:rsidR="007B2744" w:rsidRPr="001112C8">
        <w:t>Evolució de les taxes de reincidència a Catalunya</w:t>
      </w:r>
      <w:bookmarkEnd w:id="286"/>
    </w:p>
    <w:p w:rsidR="006A4109" w:rsidRPr="00650A89" w:rsidRDefault="006A4109" w:rsidP="00E930B2">
      <w:pPr>
        <w:rPr>
          <w:rFonts w:eastAsiaTheme="minorEastAsia" w:cs="Arial"/>
          <w:i/>
        </w:rPr>
      </w:pPr>
    </w:p>
    <w:p w:rsidR="006A4109" w:rsidRPr="00647306" w:rsidRDefault="006A4109" w:rsidP="00E930B2">
      <w:pPr>
        <w:rPr>
          <w:rFonts w:eastAsiaTheme="minorEastAsia" w:cs="Arial"/>
        </w:rPr>
      </w:pPr>
      <w:r w:rsidRPr="00647306">
        <w:rPr>
          <w:rFonts w:eastAsiaTheme="minorEastAsia" w:cs="Arial"/>
        </w:rPr>
        <w:t>D</w:t>
      </w:r>
      <w:r>
        <w:rPr>
          <w:rFonts w:eastAsiaTheme="minorEastAsia" w:cs="Arial"/>
        </w:rPr>
        <w:t>’</w:t>
      </w:r>
      <w:r w:rsidRPr="00647306">
        <w:rPr>
          <w:rFonts w:eastAsiaTheme="minorEastAsia" w:cs="Arial"/>
        </w:rPr>
        <w:t>aquest estudi</w:t>
      </w:r>
      <w:r>
        <w:rPr>
          <w:rFonts w:eastAsiaTheme="minorEastAsia" w:cs="Arial"/>
        </w:rPr>
        <w:t>,</w:t>
      </w:r>
      <w:r w:rsidRPr="00647306">
        <w:rPr>
          <w:rFonts w:eastAsiaTheme="minorEastAsia" w:cs="Arial"/>
        </w:rPr>
        <w:t xml:space="preserve"> s</w:t>
      </w:r>
      <w:r>
        <w:rPr>
          <w:rFonts w:eastAsiaTheme="minorEastAsia" w:cs="Arial"/>
        </w:rPr>
        <w:t>e n’</w:t>
      </w:r>
      <w:r w:rsidRPr="00647306">
        <w:rPr>
          <w:rFonts w:eastAsiaTheme="minorEastAsia" w:cs="Arial"/>
        </w:rPr>
        <w:t>obtenen les conclusions</w:t>
      </w:r>
      <w:r w:rsidRPr="00554DCA">
        <w:rPr>
          <w:rFonts w:eastAsiaTheme="minorEastAsia" w:cs="Arial"/>
        </w:rPr>
        <w:t xml:space="preserve"> </w:t>
      </w:r>
      <w:r w:rsidRPr="00647306">
        <w:rPr>
          <w:rFonts w:eastAsiaTheme="minorEastAsia" w:cs="Arial"/>
        </w:rPr>
        <w:t>següents:</w:t>
      </w:r>
    </w:p>
    <w:p w:rsidR="006A4109" w:rsidRPr="00647306" w:rsidRDefault="006A4109" w:rsidP="00AE0A20">
      <w:pPr>
        <w:pStyle w:val="Pargrafdellista"/>
        <w:numPr>
          <w:ilvl w:val="0"/>
          <w:numId w:val="6"/>
        </w:numPr>
        <w:ind w:left="714" w:hanging="357"/>
        <w:contextualSpacing w:val="0"/>
        <w:rPr>
          <w:rFonts w:eastAsiaTheme="minorEastAsia" w:cs="Arial"/>
        </w:rPr>
      </w:pPr>
      <w:r w:rsidRPr="00647306">
        <w:rPr>
          <w:rFonts w:eastAsiaTheme="minorEastAsia" w:cs="Arial"/>
        </w:rPr>
        <w:t>Els penats que finalitzen la seva condemna en règim obert o llibertat condicional mostren taxes de reincidència clarament inferiors a la mitjana del 30</w:t>
      </w:r>
      <w:r>
        <w:rPr>
          <w:rFonts w:eastAsiaTheme="minorEastAsia" w:cs="Arial"/>
        </w:rPr>
        <w:t xml:space="preserve"> </w:t>
      </w:r>
      <w:r w:rsidRPr="00647306">
        <w:rPr>
          <w:rFonts w:eastAsiaTheme="minorEastAsia" w:cs="Arial"/>
        </w:rPr>
        <w:t>%. Així, dels interns que arriben a la llibertat des del règim obert reincideix un 18</w:t>
      </w:r>
      <w:r>
        <w:rPr>
          <w:rFonts w:eastAsiaTheme="minorEastAsia" w:cs="Arial"/>
        </w:rPr>
        <w:t xml:space="preserve"> </w:t>
      </w:r>
      <w:r w:rsidRPr="00647306">
        <w:rPr>
          <w:rFonts w:eastAsiaTheme="minorEastAsia" w:cs="Arial"/>
        </w:rPr>
        <w:t>% i, si el pas previ a la llibertat definitiva és la llibertat condicional, la taxa és de</w:t>
      </w:r>
      <w:r>
        <w:rPr>
          <w:rFonts w:eastAsiaTheme="minorEastAsia" w:cs="Arial"/>
        </w:rPr>
        <w:t xml:space="preserve"> l’</w:t>
      </w:r>
      <w:r w:rsidRPr="00647306">
        <w:rPr>
          <w:rFonts w:eastAsiaTheme="minorEastAsia" w:cs="Arial"/>
        </w:rPr>
        <w:t>11,6</w:t>
      </w:r>
      <w:r>
        <w:rPr>
          <w:rFonts w:eastAsiaTheme="minorEastAsia" w:cs="Arial"/>
        </w:rPr>
        <w:t xml:space="preserve"> </w:t>
      </w:r>
      <w:r w:rsidRPr="00647306">
        <w:rPr>
          <w:rFonts w:eastAsiaTheme="minorEastAsia" w:cs="Arial"/>
        </w:rPr>
        <w:t>%. Aquestes dades corroboren l</w:t>
      </w:r>
      <w:r>
        <w:rPr>
          <w:rFonts w:eastAsiaTheme="minorEastAsia" w:cs="Arial"/>
        </w:rPr>
        <w:t>’</w:t>
      </w:r>
      <w:r w:rsidRPr="00647306">
        <w:rPr>
          <w:rFonts w:eastAsiaTheme="minorEastAsia" w:cs="Arial"/>
        </w:rPr>
        <w:t>afirmació que l</w:t>
      </w:r>
      <w:r>
        <w:rPr>
          <w:rFonts w:eastAsiaTheme="minorEastAsia" w:cs="Arial"/>
        </w:rPr>
        <w:t>’</w:t>
      </w:r>
      <w:r w:rsidRPr="00647306">
        <w:rPr>
          <w:rFonts w:eastAsiaTheme="minorEastAsia" w:cs="Arial"/>
        </w:rPr>
        <w:t>aplicació de mecanismes de semillibertat d</w:t>
      </w:r>
      <w:r>
        <w:rPr>
          <w:rFonts w:eastAsiaTheme="minorEastAsia" w:cs="Arial"/>
        </w:rPr>
        <w:t>ó</w:t>
      </w:r>
      <w:r w:rsidRPr="00647306">
        <w:rPr>
          <w:rFonts w:eastAsiaTheme="minorEastAsia" w:cs="Arial"/>
        </w:rPr>
        <w:t>na bons resultats respecte a la reinserció i que</w:t>
      </w:r>
      <w:r>
        <w:rPr>
          <w:rFonts w:eastAsiaTheme="minorEastAsia" w:cs="Arial"/>
        </w:rPr>
        <w:t>,</w:t>
      </w:r>
      <w:r w:rsidRPr="00647306">
        <w:rPr>
          <w:rFonts w:eastAsiaTheme="minorEastAsia" w:cs="Arial"/>
        </w:rPr>
        <w:t xml:space="preserve"> probablement</w:t>
      </w:r>
      <w:r>
        <w:rPr>
          <w:rFonts w:eastAsiaTheme="minorEastAsia" w:cs="Arial"/>
        </w:rPr>
        <w:t>,</w:t>
      </w:r>
      <w:r w:rsidRPr="00647306">
        <w:rPr>
          <w:rFonts w:eastAsiaTheme="minorEastAsia" w:cs="Arial"/>
        </w:rPr>
        <w:t xml:space="preserve"> es podria ampliar el nombre d</w:t>
      </w:r>
      <w:r>
        <w:rPr>
          <w:rFonts w:eastAsiaTheme="minorEastAsia" w:cs="Arial"/>
        </w:rPr>
        <w:t>’</w:t>
      </w:r>
      <w:r w:rsidRPr="00647306">
        <w:rPr>
          <w:rFonts w:eastAsiaTheme="minorEastAsia" w:cs="Arial"/>
        </w:rPr>
        <w:t>interns que hi accedeixen i el temps que romanen en aquesta situació.</w:t>
      </w:r>
    </w:p>
    <w:p w:rsidR="006A4109" w:rsidRPr="00647306" w:rsidRDefault="006A4109" w:rsidP="00AE0A20">
      <w:pPr>
        <w:pStyle w:val="Pargrafdellista"/>
        <w:numPr>
          <w:ilvl w:val="0"/>
          <w:numId w:val="6"/>
        </w:numPr>
        <w:ind w:left="714" w:hanging="357"/>
        <w:contextualSpacing w:val="0"/>
        <w:rPr>
          <w:rFonts w:eastAsiaTheme="minorEastAsia" w:cs="Arial"/>
        </w:rPr>
      </w:pPr>
      <w:r w:rsidRPr="00647306">
        <w:rPr>
          <w:rFonts w:eastAsiaTheme="minorEastAsia" w:cs="Arial"/>
        </w:rPr>
        <w:lastRenderedPageBreak/>
        <w:t xml:space="preserve">RisCanvi es confirma com una eina vàlida per </w:t>
      </w:r>
      <w:r>
        <w:rPr>
          <w:rFonts w:eastAsiaTheme="minorEastAsia" w:cs="Arial"/>
        </w:rPr>
        <w:t xml:space="preserve">a </w:t>
      </w:r>
      <w:r w:rsidRPr="00647306">
        <w:rPr>
          <w:rFonts w:eastAsiaTheme="minorEastAsia" w:cs="Arial"/>
        </w:rPr>
        <w:t>l</w:t>
      </w:r>
      <w:r>
        <w:rPr>
          <w:rFonts w:eastAsiaTheme="minorEastAsia" w:cs="Arial"/>
        </w:rPr>
        <w:t>’</w:t>
      </w:r>
      <w:r w:rsidRPr="00647306">
        <w:rPr>
          <w:rFonts w:eastAsiaTheme="minorEastAsia" w:cs="Arial"/>
        </w:rPr>
        <w:t>avaluació del risc de reincidència: aquells interns que han estat valorats amb risc alt de reincidència violenta mostren una taxa del 39</w:t>
      </w:r>
      <w:r>
        <w:rPr>
          <w:rFonts w:eastAsiaTheme="minorEastAsia" w:cs="Arial"/>
        </w:rPr>
        <w:t xml:space="preserve"> </w:t>
      </w:r>
      <w:r w:rsidRPr="00647306">
        <w:rPr>
          <w:rFonts w:eastAsiaTheme="minorEastAsia" w:cs="Arial"/>
        </w:rPr>
        <w:t>%, 9 punts superiors a la taxa mitja</w:t>
      </w:r>
      <w:r>
        <w:rPr>
          <w:rFonts w:eastAsiaTheme="minorEastAsia" w:cs="Arial"/>
        </w:rPr>
        <w:t>na</w:t>
      </w:r>
      <w:r w:rsidRPr="00647306">
        <w:rPr>
          <w:rFonts w:eastAsiaTheme="minorEastAsia" w:cs="Arial"/>
        </w:rPr>
        <w:t>. Pe</w:t>
      </w:r>
      <w:r>
        <w:rPr>
          <w:rFonts w:eastAsiaTheme="minorEastAsia" w:cs="Arial"/>
        </w:rPr>
        <w:t>r</w:t>
      </w:r>
      <w:r w:rsidRPr="00647306">
        <w:rPr>
          <w:rFonts w:eastAsiaTheme="minorEastAsia" w:cs="Arial"/>
        </w:rPr>
        <w:t xml:space="preserve"> contra</w:t>
      </w:r>
      <w:r>
        <w:rPr>
          <w:rFonts w:eastAsiaTheme="minorEastAsia" w:cs="Arial"/>
        </w:rPr>
        <w:t xml:space="preserve">, </w:t>
      </w:r>
      <w:r w:rsidRPr="00647306">
        <w:rPr>
          <w:rFonts w:eastAsiaTheme="minorEastAsia" w:cs="Arial"/>
        </w:rPr>
        <w:t>els interns amb risc baix mostren una taxa del 17,4</w:t>
      </w:r>
      <w:r>
        <w:rPr>
          <w:rFonts w:eastAsiaTheme="minorEastAsia" w:cs="Arial"/>
        </w:rPr>
        <w:t xml:space="preserve"> </w:t>
      </w:r>
      <w:r w:rsidRPr="00647306">
        <w:rPr>
          <w:rFonts w:eastAsiaTheme="minorEastAsia" w:cs="Arial"/>
        </w:rPr>
        <w:t>%.</w:t>
      </w:r>
    </w:p>
    <w:p w:rsidR="006A4109" w:rsidRPr="00647306" w:rsidRDefault="006A4109" w:rsidP="00AE0A20">
      <w:pPr>
        <w:pStyle w:val="Pargrafdellista"/>
        <w:numPr>
          <w:ilvl w:val="0"/>
          <w:numId w:val="6"/>
        </w:numPr>
        <w:ind w:left="714" w:hanging="357"/>
        <w:contextualSpacing w:val="0"/>
        <w:rPr>
          <w:rFonts w:eastAsiaTheme="minorEastAsia" w:cs="Arial"/>
        </w:rPr>
      </w:pPr>
      <w:r w:rsidRPr="00647306">
        <w:rPr>
          <w:rFonts w:eastAsiaTheme="minorEastAsia" w:cs="Arial"/>
        </w:rPr>
        <w:t xml:space="preserve">El protocol RisCanvi ens permet, a més, conèixer els factors que estan més presents entre els subjectes que tornen a delinquir. Entre els factors que poden ser subjecte de la intervenció </w:t>
      </w:r>
      <w:r>
        <w:rPr>
          <w:rFonts w:eastAsiaTheme="minorEastAsia" w:cs="Arial"/>
        </w:rPr>
        <w:t>penitenciària</w:t>
      </w:r>
      <w:r w:rsidRPr="00647306">
        <w:rPr>
          <w:rFonts w:eastAsiaTheme="minorEastAsia" w:cs="Arial"/>
        </w:rPr>
        <w:t xml:space="preserve"> destaquen els problemes d</w:t>
      </w:r>
      <w:r>
        <w:rPr>
          <w:rFonts w:eastAsiaTheme="minorEastAsia" w:cs="Arial"/>
        </w:rPr>
        <w:t>’</w:t>
      </w:r>
      <w:r w:rsidRPr="00647306">
        <w:rPr>
          <w:rFonts w:eastAsiaTheme="minorEastAsia" w:cs="Arial"/>
        </w:rPr>
        <w:t xml:space="preserve">ocupació i </w:t>
      </w:r>
      <w:r>
        <w:rPr>
          <w:rFonts w:eastAsiaTheme="minorEastAsia" w:cs="Arial"/>
        </w:rPr>
        <w:t xml:space="preserve">la </w:t>
      </w:r>
      <w:r w:rsidRPr="00647306">
        <w:rPr>
          <w:rFonts w:eastAsiaTheme="minorEastAsia" w:cs="Arial"/>
        </w:rPr>
        <w:t>manca de recursos econòmics, l</w:t>
      </w:r>
      <w:r>
        <w:rPr>
          <w:rFonts w:eastAsiaTheme="minorEastAsia" w:cs="Arial"/>
        </w:rPr>
        <w:t>’</w:t>
      </w:r>
      <w:r w:rsidRPr="00647306">
        <w:rPr>
          <w:rFonts w:eastAsiaTheme="minorEastAsia" w:cs="Arial"/>
        </w:rPr>
        <w:t xml:space="preserve">absència de plans de futur i </w:t>
      </w:r>
      <w:r>
        <w:rPr>
          <w:rFonts w:eastAsiaTheme="minorEastAsia" w:cs="Arial"/>
        </w:rPr>
        <w:t xml:space="preserve">les </w:t>
      </w:r>
      <w:r w:rsidRPr="00647306">
        <w:rPr>
          <w:rFonts w:eastAsiaTheme="minorEastAsia" w:cs="Arial"/>
        </w:rPr>
        <w:t>mancances en el suport social, les addiccions no superades així com la manca d</w:t>
      </w:r>
      <w:r>
        <w:rPr>
          <w:rFonts w:eastAsiaTheme="minorEastAsia" w:cs="Arial"/>
        </w:rPr>
        <w:t>’</w:t>
      </w:r>
      <w:r w:rsidRPr="00647306">
        <w:rPr>
          <w:rFonts w:eastAsiaTheme="minorEastAsia" w:cs="Arial"/>
        </w:rPr>
        <w:t xml:space="preserve">aprofitament del tractament. La conflictivitat a presó també és un factor prevalent: conductes autolesives, expedients disciplinaris i conflictes amb altres interns. També destaquen alguns aspectes del comportament, la motivació i les emocions com </w:t>
      </w:r>
      <w:r>
        <w:rPr>
          <w:rFonts w:eastAsiaTheme="minorEastAsia" w:cs="Arial"/>
        </w:rPr>
        <w:t xml:space="preserve">ara </w:t>
      </w:r>
      <w:r w:rsidRPr="00647306">
        <w:rPr>
          <w:rFonts w:eastAsiaTheme="minorEastAsia" w:cs="Arial"/>
        </w:rPr>
        <w:t xml:space="preserve">la impulsivitat i </w:t>
      </w:r>
      <w:r>
        <w:rPr>
          <w:rFonts w:eastAsiaTheme="minorEastAsia" w:cs="Arial"/>
        </w:rPr>
        <w:t xml:space="preserve">la </w:t>
      </w:r>
      <w:r w:rsidRPr="00647306">
        <w:rPr>
          <w:rFonts w:eastAsiaTheme="minorEastAsia" w:cs="Arial"/>
        </w:rPr>
        <w:t xml:space="preserve">inestabilitat emocional, </w:t>
      </w:r>
      <w:r>
        <w:rPr>
          <w:rFonts w:eastAsiaTheme="minorEastAsia" w:cs="Arial"/>
        </w:rPr>
        <w:t xml:space="preserve">els </w:t>
      </w:r>
      <w:r w:rsidRPr="00647306">
        <w:rPr>
          <w:rFonts w:eastAsiaTheme="minorEastAsia" w:cs="Arial"/>
        </w:rPr>
        <w:t xml:space="preserve">valors procriminals i la irresponsabilitat. </w:t>
      </w:r>
      <w:r>
        <w:rPr>
          <w:rFonts w:eastAsiaTheme="minorEastAsia" w:cs="Arial"/>
        </w:rPr>
        <w:t>Per acabar</w:t>
      </w:r>
      <w:r w:rsidRPr="00647306">
        <w:rPr>
          <w:rFonts w:eastAsiaTheme="minorEastAsia" w:cs="Arial"/>
        </w:rPr>
        <w:t>, els interns reincidents han passat períodes més llargs d</w:t>
      </w:r>
      <w:r>
        <w:rPr>
          <w:rFonts w:eastAsiaTheme="minorEastAsia" w:cs="Arial"/>
        </w:rPr>
        <w:t>’</w:t>
      </w:r>
      <w:r w:rsidRPr="00647306">
        <w:rPr>
          <w:rFonts w:eastAsiaTheme="minorEastAsia" w:cs="Arial"/>
        </w:rPr>
        <w:t xml:space="preserve">internament. </w:t>
      </w:r>
    </w:p>
    <w:p w:rsidR="006A4109" w:rsidRPr="00647306" w:rsidRDefault="006A4109" w:rsidP="00AE0A20">
      <w:pPr>
        <w:pStyle w:val="Pargrafdellista"/>
        <w:numPr>
          <w:ilvl w:val="0"/>
          <w:numId w:val="6"/>
        </w:numPr>
        <w:ind w:left="714" w:hanging="357"/>
        <w:contextualSpacing w:val="0"/>
        <w:rPr>
          <w:rFonts w:eastAsiaTheme="minorEastAsia" w:cs="Arial"/>
        </w:rPr>
      </w:pPr>
      <w:r w:rsidRPr="00647306">
        <w:rPr>
          <w:rFonts w:eastAsiaTheme="minorEastAsia" w:cs="Arial"/>
        </w:rPr>
        <w:t>L</w:t>
      </w:r>
      <w:r>
        <w:rPr>
          <w:rFonts w:eastAsiaTheme="minorEastAsia" w:cs="Arial"/>
        </w:rPr>
        <w:t>’</w:t>
      </w:r>
      <w:r w:rsidRPr="00647306">
        <w:rPr>
          <w:rFonts w:eastAsiaTheme="minorEastAsia" w:cs="Arial"/>
        </w:rPr>
        <w:t>estudi defineix dos perfils diferents que tenen unes taxes més altes de reincidència: els anomenats persistents (amb antecedents penitenciaris, amb delictes contra la propietat i violents, que tenen condemnes llargues i mostren alta conflictivitat a presó). L</w:t>
      </w:r>
      <w:r>
        <w:rPr>
          <w:rFonts w:eastAsiaTheme="minorEastAsia" w:cs="Arial"/>
        </w:rPr>
        <w:t>’</w:t>
      </w:r>
      <w:r w:rsidRPr="00647306">
        <w:rPr>
          <w:rFonts w:eastAsiaTheme="minorEastAsia" w:cs="Arial"/>
        </w:rPr>
        <w:t xml:space="preserve">altre perfil, el de </w:t>
      </w:r>
      <w:r w:rsidRPr="00F93DB3">
        <w:rPr>
          <w:rFonts w:eastAsiaTheme="minorEastAsia" w:cs="Arial"/>
          <w:i/>
        </w:rPr>
        <w:t>porta giratòria</w:t>
      </w:r>
      <w:r w:rsidRPr="00647306">
        <w:rPr>
          <w:rFonts w:eastAsiaTheme="minorEastAsia" w:cs="Arial"/>
        </w:rPr>
        <w:t xml:space="preserve">, està format per interns amb condemnes molt curtes, que ja tenen antecedents delictius, i que, </w:t>
      </w:r>
      <w:r>
        <w:rPr>
          <w:rFonts w:eastAsiaTheme="minorEastAsia" w:cs="Arial"/>
        </w:rPr>
        <w:t>a causa de la</w:t>
      </w:r>
      <w:r w:rsidRPr="00647306">
        <w:rPr>
          <w:rFonts w:eastAsiaTheme="minorEastAsia" w:cs="Arial"/>
        </w:rPr>
        <w:t xml:space="preserve"> curta durada de l</w:t>
      </w:r>
      <w:r>
        <w:rPr>
          <w:rFonts w:eastAsiaTheme="minorEastAsia" w:cs="Arial"/>
        </w:rPr>
        <w:t>’</w:t>
      </w:r>
      <w:r w:rsidRPr="00647306">
        <w:rPr>
          <w:rFonts w:eastAsiaTheme="minorEastAsia" w:cs="Arial"/>
        </w:rPr>
        <w:t>empresonament, no s</w:t>
      </w:r>
      <w:r>
        <w:rPr>
          <w:rFonts w:eastAsiaTheme="minorEastAsia" w:cs="Arial"/>
        </w:rPr>
        <w:t>ó</w:t>
      </w:r>
      <w:r w:rsidRPr="00647306">
        <w:rPr>
          <w:rFonts w:eastAsiaTheme="minorEastAsia" w:cs="Arial"/>
        </w:rPr>
        <w:t>n classificats i no segueixen, per tant</w:t>
      </w:r>
      <w:r>
        <w:rPr>
          <w:rFonts w:eastAsiaTheme="minorEastAsia" w:cs="Arial"/>
        </w:rPr>
        <w:t>,</w:t>
      </w:r>
      <w:r w:rsidRPr="00647306">
        <w:rPr>
          <w:rFonts w:eastAsiaTheme="minorEastAsia" w:cs="Arial"/>
        </w:rPr>
        <w:t xml:space="preserve"> una intervenció planificada. </w:t>
      </w:r>
    </w:p>
    <w:p w:rsidR="006A4109" w:rsidRPr="00647306" w:rsidRDefault="006A4109" w:rsidP="00E930B2">
      <w:pPr>
        <w:rPr>
          <w:rFonts w:eastAsiaTheme="minorEastAsia" w:cs="Arial"/>
        </w:rPr>
      </w:pPr>
    </w:p>
    <w:p w:rsidR="006A4109" w:rsidRPr="00F02D52" w:rsidRDefault="006A4109" w:rsidP="0070401F">
      <w:pPr>
        <w:pStyle w:val="Ttol3"/>
      </w:pPr>
      <w:bookmarkStart w:id="287" w:name="_Toc463867779"/>
      <w:bookmarkStart w:id="288" w:name="_Toc464685666"/>
      <w:bookmarkStart w:id="289" w:name="_Toc465293397"/>
      <w:r w:rsidRPr="00EB1B4D">
        <w:t>Panorama</w:t>
      </w:r>
      <w:r w:rsidRPr="00F02D52">
        <w:t xml:space="preserve"> actual i reptes</w:t>
      </w:r>
      <w:bookmarkEnd w:id="287"/>
      <w:bookmarkEnd w:id="288"/>
      <w:bookmarkEnd w:id="289"/>
    </w:p>
    <w:p w:rsidR="006A4109" w:rsidRPr="00425C02" w:rsidRDefault="006A4109" w:rsidP="00E930B2">
      <w:pPr>
        <w:rPr>
          <w:rFonts w:eastAsiaTheme="minorEastAsia" w:cs="Arial"/>
        </w:rPr>
      </w:pPr>
      <w:r w:rsidRPr="00425C02">
        <w:rPr>
          <w:rFonts w:eastAsiaTheme="minorEastAsia" w:cs="Arial"/>
        </w:rPr>
        <w:t>Cal potenciar el règim obert i la llibertat condicional. Cal estructurar la intervenció dels equips dels centres i dotar-los d</w:t>
      </w:r>
      <w:r>
        <w:rPr>
          <w:rFonts w:eastAsiaTheme="minorEastAsia" w:cs="Arial"/>
        </w:rPr>
        <w:t>’</w:t>
      </w:r>
      <w:r w:rsidRPr="00425C02">
        <w:rPr>
          <w:rFonts w:eastAsiaTheme="minorEastAsia" w:cs="Arial"/>
        </w:rPr>
        <w:t xml:space="preserve">eines </w:t>
      </w:r>
      <w:r>
        <w:rPr>
          <w:rFonts w:eastAsiaTheme="minorEastAsia" w:cs="Arial"/>
        </w:rPr>
        <w:t>perquè</w:t>
      </w:r>
      <w:r w:rsidRPr="00425C02">
        <w:rPr>
          <w:rFonts w:eastAsiaTheme="minorEastAsia" w:cs="Arial"/>
        </w:rPr>
        <w:t xml:space="preserve"> el PIT prevegi una part de la condemna en semillibertat, amb una aplicació efectiva i generalitzada </w:t>
      </w:r>
      <w:r>
        <w:rPr>
          <w:rFonts w:eastAsiaTheme="minorEastAsia" w:cs="Arial"/>
        </w:rPr>
        <w:t>del</w:t>
      </w:r>
      <w:r w:rsidRPr="00425C02">
        <w:rPr>
          <w:rFonts w:eastAsiaTheme="minorEastAsia" w:cs="Arial"/>
        </w:rPr>
        <w:t xml:space="preserve">s criteris </w:t>
      </w:r>
      <w:r>
        <w:rPr>
          <w:rFonts w:eastAsiaTheme="minorEastAsia" w:cs="Arial"/>
        </w:rPr>
        <w:t xml:space="preserve">que estableix </w:t>
      </w:r>
      <w:r w:rsidRPr="00425C02">
        <w:rPr>
          <w:rFonts w:eastAsiaTheme="minorEastAsia" w:cs="Arial"/>
        </w:rPr>
        <w:t xml:space="preserve">la </w:t>
      </w:r>
      <w:r w:rsidRPr="00F93DB3">
        <w:rPr>
          <w:rFonts w:eastAsiaTheme="minorEastAsia" w:cs="Arial"/>
        </w:rPr>
        <w:t>Circular 2/2012</w:t>
      </w:r>
      <w:r>
        <w:rPr>
          <w:rFonts w:eastAsiaTheme="minorEastAsia" w:cs="Arial"/>
        </w:rPr>
        <w:t xml:space="preserve">, </w:t>
      </w:r>
      <w:r w:rsidRPr="00F93DB3">
        <w:rPr>
          <w:rFonts w:eastAsiaTheme="minorEastAsia" w:cs="Arial"/>
        </w:rPr>
        <w:t>de la Direcció General de Serveis Penitenciaris, sobre la gestió, execució i seguiment de la llibertat condicional</w:t>
      </w:r>
      <w:r>
        <w:rPr>
          <w:rFonts w:eastAsiaTheme="minorEastAsia" w:cs="Arial"/>
        </w:rPr>
        <w:t>.</w:t>
      </w:r>
    </w:p>
    <w:p w:rsidR="006A4109" w:rsidRPr="00425C02" w:rsidRDefault="006A4109" w:rsidP="00E930B2">
      <w:pPr>
        <w:rPr>
          <w:rFonts w:eastAsiaTheme="minorEastAsia" w:cs="Arial"/>
        </w:rPr>
      </w:pPr>
      <w:r w:rsidRPr="00425C02">
        <w:rPr>
          <w:rFonts w:eastAsiaTheme="minorEastAsia" w:cs="Arial"/>
        </w:rPr>
        <w:t>La intervenció comunitària per reforçar el suport social d</w:t>
      </w:r>
      <w:r>
        <w:rPr>
          <w:rFonts w:eastAsiaTheme="minorEastAsia" w:cs="Arial"/>
        </w:rPr>
        <w:t>’</w:t>
      </w:r>
      <w:r w:rsidRPr="00425C02">
        <w:rPr>
          <w:rFonts w:eastAsiaTheme="minorEastAsia" w:cs="Arial"/>
        </w:rPr>
        <w:t xml:space="preserve">aquells que presenten mancances </w:t>
      </w:r>
      <w:r>
        <w:rPr>
          <w:rFonts w:eastAsiaTheme="minorEastAsia" w:cs="Arial"/>
        </w:rPr>
        <w:t>e</w:t>
      </w:r>
      <w:r w:rsidRPr="00425C02">
        <w:rPr>
          <w:rFonts w:eastAsiaTheme="minorEastAsia" w:cs="Arial"/>
        </w:rPr>
        <w:t xml:space="preserve">s converteix en una prioritat. En aquest sentit, en el futur caldrà reforçar els equips penitenciaris de serveis socials </w:t>
      </w:r>
      <w:r>
        <w:rPr>
          <w:rFonts w:eastAsiaTheme="minorEastAsia" w:cs="Arial"/>
        </w:rPr>
        <w:t>perquè</w:t>
      </w:r>
      <w:r w:rsidRPr="00425C02">
        <w:rPr>
          <w:rFonts w:eastAsiaTheme="minorEastAsia" w:cs="Arial"/>
        </w:rPr>
        <w:t xml:space="preserve"> siguin més multidisciplinaris i </w:t>
      </w:r>
      <w:r>
        <w:rPr>
          <w:rFonts w:eastAsiaTheme="minorEastAsia" w:cs="Arial"/>
        </w:rPr>
        <w:t>disposin d’</w:t>
      </w:r>
      <w:r w:rsidRPr="00425C02">
        <w:rPr>
          <w:rFonts w:eastAsiaTheme="minorEastAsia" w:cs="Arial"/>
        </w:rPr>
        <w:t>eines i models d</w:t>
      </w:r>
      <w:r>
        <w:rPr>
          <w:rFonts w:eastAsiaTheme="minorEastAsia" w:cs="Arial"/>
        </w:rPr>
        <w:t>’</w:t>
      </w:r>
      <w:r w:rsidRPr="00425C02">
        <w:rPr>
          <w:rFonts w:eastAsiaTheme="minorEastAsia" w:cs="Arial"/>
        </w:rPr>
        <w:t xml:space="preserve">intervenció </w:t>
      </w:r>
      <w:r>
        <w:rPr>
          <w:rFonts w:eastAsiaTheme="minorEastAsia" w:cs="Arial"/>
        </w:rPr>
        <w:t>adreçats</w:t>
      </w:r>
      <w:r w:rsidRPr="00425C02">
        <w:rPr>
          <w:rFonts w:eastAsiaTheme="minorEastAsia" w:cs="Arial"/>
        </w:rPr>
        <w:t xml:space="preserve"> a aquest propòsit. Cal aprofundir en les estratègies d</w:t>
      </w:r>
      <w:r>
        <w:rPr>
          <w:rFonts w:eastAsiaTheme="minorEastAsia" w:cs="Arial"/>
        </w:rPr>
        <w:t>’</w:t>
      </w:r>
      <w:r w:rsidRPr="00425C02">
        <w:rPr>
          <w:rFonts w:eastAsiaTheme="minorEastAsia" w:cs="Arial"/>
        </w:rPr>
        <w:t>intervenció amb les famílies com a agents de suport i complicitat en els programes individuals.</w:t>
      </w:r>
    </w:p>
    <w:p w:rsidR="006A4109" w:rsidRPr="00425C02" w:rsidRDefault="006A4109" w:rsidP="00E930B2">
      <w:pPr>
        <w:rPr>
          <w:rFonts w:eastAsiaTheme="minorEastAsia" w:cs="Arial"/>
        </w:rPr>
      </w:pPr>
      <w:r w:rsidRPr="00425C02">
        <w:rPr>
          <w:rFonts w:eastAsiaTheme="minorEastAsia" w:cs="Arial"/>
        </w:rPr>
        <w:t xml:space="preserve">La nova concepció de la llibertat condicional, com a suspensió de la pena, suposa un risc per </w:t>
      </w:r>
      <w:r>
        <w:rPr>
          <w:rFonts w:eastAsiaTheme="minorEastAsia" w:cs="Arial"/>
        </w:rPr>
        <w:t xml:space="preserve">a </w:t>
      </w:r>
      <w:r w:rsidRPr="00425C02">
        <w:rPr>
          <w:rFonts w:eastAsiaTheme="minorEastAsia" w:cs="Arial"/>
        </w:rPr>
        <w:t>l</w:t>
      </w:r>
      <w:r>
        <w:rPr>
          <w:rFonts w:eastAsiaTheme="minorEastAsia" w:cs="Arial"/>
        </w:rPr>
        <w:t>’</w:t>
      </w:r>
      <w:r w:rsidRPr="00425C02">
        <w:rPr>
          <w:rFonts w:eastAsiaTheme="minorEastAsia" w:cs="Arial"/>
        </w:rPr>
        <w:t>assoliment d</w:t>
      </w:r>
      <w:r>
        <w:rPr>
          <w:rFonts w:eastAsiaTheme="minorEastAsia" w:cs="Arial"/>
        </w:rPr>
        <w:t>’</w:t>
      </w:r>
      <w:r w:rsidRPr="00425C02">
        <w:rPr>
          <w:rFonts w:eastAsiaTheme="minorEastAsia" w:cs="Arial"/>
        </w:rPr>
        <w:t>aquest objectiu; és probable que l</w:t>
      </w:r>
      <w:r>
        <w:rPr>
          <w:rFonts w:eastAsiaTheme="minorEastAsia" w:cs="Arial"/>
        </w:rPr>
        <w:t>’</w:t>
      </w:r>
      <w:r w:rsidRPr="00425C02">
        <w:rPr>
          <w:rFonts w:eastAsiaTheme="minorEastAsia" w:cs="Arial"/>
        </w:rPr>
        <w:t xml:space="preserve">expansió del control penal que suposa sigui un factor dissuasiu per </w:t>
      </w:r>
      <w:r>
        <w:rPr>
          <w:rFonts w:eastAsiaTheme="minorEastAsia" w:cs="Arial"/>
        </w:rPr>
        <w:t xml:space="preserve">a </w:t>
      </w:r>
      <w:r w:rsidRPr="00425C02">
        <w:rPr>
          <w:rFonts w:eastAsiaTheme="minorEastAsia" w:cs="Arial"/>
        </w:rPr>
        <w:t>molts penats i que, cons</w:t>
      </w:r>
      <w:r>
        <w:rPr>
          <w:rFonts w:eastAsiaTheme="minorEastAsia" w:cs="Arial"/>
        </w:rPr>
        <w:t>eg</w:t>
      </w:r>
      <w:r w:rsidRPr="00425C02">
        <w:rPr>
          <w:rFonts w:eastAsiaTheme="minorEastAsia" w:cs="Arial"/>
        </w:rPr>
        <w:t>üentment, sigui difícil, no ja augmentar el nombre d</w:t>
      </w:r>
      <w:r>
        <w:rPr>
          <w:rFonts w:eastAsiaTheme="minorEastAsia" w:cs="Arial"/>
        </w:rPr>
        <w:t>’</w:t>
      </w:r>
      <w:r w:rsidRPr="00425C02">
        <w:rPr>
          <w:rFonts w:eastAsiaTheme="minorEastAsia" w:cs="Arial"/>
        </w:rPr>
        <w:t xml:space="preserve">interns sota aquesta mesura </w:t>
      </w:r>
      <w:r>
        <w:rPr>
          <w:rFonts w:eastAsiaTheme="minorEastAsia" w:cs="Arial"/>
        </w:rPr>
        <w:t>sinó</w:t>
      </w:r>
      <w:r w:rsidRPr="00425C02">
        <w:rPr>
          <w:rFonts w:eastAsiaTheme="minorEastAsia" w:cs="Arial"/>
        </w:rPr>
        <w:t xml:space="preserve"> mantenir les proporcions actuals. </w:t>
      </w:r>
    </w:p>
    <w:p w:rsidR="006A4109" w:rsidRPr="00425C02" w:rsidRDefault="006A4109" w:rsidP="00E930B2">
      <w:pPr>
        <w:rPr>
          <w:rFonts w:eastAsiaTheme="minorEastAsia" w:cs="Arial"/>
        </w:rPr>
      </w:pPr>
      <w:r>
        <w:rPr>
          <w:rFonts w:eastAsiaTheme="minorEastAsia" w:cs="Arial"/>
        </w:rPr>
        <w:t>També c</w:t>
      </w:r>
      <w:r w:rsidRPr="00425C02">
        <w:rPr>
          <w:rFonts w:eastAsiaTheme="minorEastAsia" w:cs="Arial"/>
        </w:rPr>
        <w:t>al desenvolupar itineraris específics d</w:t>
      </w:r>
      <w:r>
        <w:rPr>
          <w:rFonts w:eastAsiaTheme="minorEastAsia" w:cs="Arial"/>
        </w:rPr>
        <w:t>’</w:t>
      </w:r>
      <w:r w:rsidRPr="00425C02">
        <w:rPr>
          <w:rFonts w:eastAsiaTheme="minorEastAsia" w:cs="Arial"/>
        </w:rPr>
        <w:t>intervenció pe</w:t>
      </w:r>
      <w:r>
        <w:rPr>
          <w:rFonts w:eastAsiaTheme="minorEastAsia" w:cs="Arial"/>
        </w:rPr>
        <w:t>r a</w:t>
      </w:r>
      <w:r w:rsidRPr="00425C02">
        <w:rPr>
          <w:rFonts w:eastAsiaTheme="minorEastAsia" w:cs="Arial"/>
        </w:rPr>
        <w:t>ls perfils que mostren una taxa més alta de reincidència</w:t>
      </w:r>
      <w:r>
        <w:rPr>
          <w:rFonts w:eastAsiaTheme="minorEastAsia" w:cs="Arial"/>
        </w:rPr>
        <w:t>,</w:t>
      </w:r>
      <w:r w:rsidRPr="00425C02">
        <w:rPr>
          <w:rFonts w:eastAsiaTheme="minorEastAsia" w:cs="Arial"/>
        </w:rPr>
        <w:t xml:space="preserve"> els de </w:t>
      </w:r>
      <w:r w:rsidRPr="00F93DB3">
        <w:rPr>
          <w:rFonts w:eastAsiaTheme="minorEastAsia" w:cs="Arial"/>
          <w:i/>
        </w:rPr>
        <w:t>porta giratòria</w:t>
      </w:r>
      <w:r>
        <w:rPr>
          <w:rFonts w:eastAsiaTheme="minorEastAsia" w:cs="Arial"/>
          <w:i/>
        </w:rPr>
        <w:t>,</w:t>
      </w:r>
      <w:r w:rsidRPr="00425C02">
        <w:rPr>
          <w:rFonts w:eastAsiaTheme="minorEastAsia" w:cs="Arial"/>
        </w:rPr>
        <w:t xml:space="preserve"> amb condemnes curtes</w:t>
      </w:r>
      <w:r>
        <w:rPr>
          <w:rFonts w:eastAsiaTheme="minorEastAsia" w:cs="Arial"/>
        </w:rPr>
        <w:t>,</w:t>
      </w:r>
      <w:r w:rsidRPr="00425C02">
        <w:rPr>
          <w:rFonts w:eastAsiaTheme="minorEastAsia" w:cs="Arial"/>
        </w:rPr>
        <w:t xml:space="preserve"> i els anomenats </w:t>
      </w:r>
      <w:r w:rsidRPr="00F93DB3">
        <w:rPr>
          <w:rFonts w:eastAsiaTheme="minorEastAsia" w:cs="Arial"/>
          <w:i/>
        </w:rPr>
        <w:t>persistents</w:t>
      </w:r>
      <w:r w:rsidRPr="00425C02">
        <w:rPr>
          <w:rFonts w:eastAsiaTheme="minorEastAsia" w:cs="Arial"/>
        </w:rPr>
        <w:t>. Pel que fa a aquest</w:t>
      </w:r>
      <w:r>
        <w:rPr>
          <w:rFonts w:eastAsiaTheme="minorEastAsia" w:cs="Arial"/>
        </w:rPr>
        <w:t>s</w:t>
      </w:r>
      <w:r w:rsidRPr="00425C02">
        <w:rPr>
          <w:rFonts w:eastAsiaTheme="minorEastAsia" w:cs="Arial"/>
        </w:rPr>
        <w:t xml:space="preserve"> últims, està clar que cal aprofundir en intervencions dirigides a la reducció de la conflictivitat i a l</w:t>
      </w:r>
      <w:r>
        <w:rPr>
          <w:rFonts w:eastAsiaTheme="minorEastAsia" w:cs="Arial"/>
        </w:rPr>
        <w:t>’</w:t>
      </w:r>
      <w:r w:rsidRPr="00425C02">
        <w:rPr>
          <w:rFonts w:eastAsiaTheme="minorEastAsia" w:cs="Arial"/>
        </w:rPr>
        <w:t>aprenentatge de noves competències per resoldre els conflictes i per</w:t>
      </w:r>
      <w:r>
        <w:rPr>
          <w:rFonts w:eastAsiaTheme="minorEastAsia" w:cs="Arial"/>
        </w:rPr>
        <w:t xml:space="preserve"> millorar</w:t>
      </w:r>
      <w:r w:rsidRPr="00425C02">
        <w:rPr>
          <w:rFonts w:eastAsiaTheme="minorEastAsia" w:cs="Arial"/>
        </w:rPr>
        <w:t xml:space="preserve"> l</w:t>
      </w:r>
      <w:r>
        <w:rPr>
          <w:rFonts w:eastAsiaTheme="minorEastAsia" w:cs="Arial"/>
        </w:rPr>
        <w:t>’</w:t>
      </w:r>
      <w:r w:rsidRPr="00425C02">
        <w:rPr>
          <w:rFonts w:eastAsiaTheme="minorEastAsia" w:cs="Arial"/>
        </w:rPr>
        <w:t xml:space="preserve">autocontrol. </w:t>
      </w:r>
    </w:p>
    <w:p w:rsidR="006A4109" w:rsidRPr="00647306" w:rsidRDefault="006A4109" w:rsidP="00E930B2">
      <w:pPr>
        <w:rPr>
          <w:rFonts w:eastAsiaTheme="minorEastAsia" w:cs="Arial"/>
        </w:rPr>
      </w:pPr>
      <w:r w:rsidRPr="00425C02">
        <w:rPr>
          <w:rFonts w:eastAsiaTheme="minorEastAsia" w:cs="Arial"/>
        </w:rPr>
        <w:t>Finalment, hem vist com la manca de vinculació al tractament és un factor de risc. En aquest sentit</w:t>
      </w:r>
      <w:r>
        <w:rPr>
          <w:rFonts w:eastAsiaTheme="minorEastAsia" w:cs="Arial"/>
        </w:rPr>
        <w:t>,</w:t>
      </w:r>
      <w:r w:rsidRPr="00425C02">
        <w:rPr>
          <w:rFonts w:eastAsiaTheme="minorEastAsia" w:cs="Arial"/>
        </w:rPr>
        <w:t xml:space="preserve"> s</w:t>
      </w:r>
      <w:r>
        <w:rPr>
          <w:rFonts w:eastAsiaTheme="minorEastAsia" w:cs="Arial"/>
        </w:rPr>
        <w:t>’</w:t>
      </w:r>
      <w:r w:rsidRPr="00425C02">
        <w:rPr>
          <w:rFonts w:eastAsiaTheme="minorEastAsia" w:cs="Arial"/>
        </w:rPr>
        <w:t>han de desenvolupar models d</w:t>
      </w:r>
      <w:r>
        <w:rPr>
          <w:rFonts w:eastAsiaTheme="minorEastAsia" w:cs="Arial"/>
        </w:rPr>
        <w:t>’</w:t>
      </w:r>
      <w:r w:rsidRPr="00425C02">
        <w:rPr>
          <w:rFonts w:eastAsiaTheme="minorEastAsia" w:cs="Arial"/>
        </w:rPr>
        <w:t>intervenció centrats en l</w:t>
      </w:r>
      <w:r>
        <w:rPr>
          <w:rFonts w:eastAsiaTheme="minorEastAsia" w:cs="Arial"/>
        </w:rPr>
        <w:t>’</w:t>
      </w:r>
      <w:r w:rsidRPr="00425C02">
        <w:rPr>
          <w:rFonts w:eastAsiaTheme="minorEastAsia" w:cs="Arial"/>
        </w:rPr>
        <w:t>individu, que el vinculin als recursos de tractament, dotant-lo</w:t>
      </w:r>
      <w:r>
        <w:rPr>
          <w:rFonts w:eastAsiaTheme="minorEastAsia" w:cs="Arial"/>
        </w:rPr>
        <w:t>s</w:t>
      </w:r>
      <w:r w:rsidRPr="00425C02">
        <w:rPr>
          <w:rFonts w:eastAsiaTheme="minorEastAsia" w:cs="Arial"/>
        </w:rPr>
        <w:t xml:space="preserve"> de més significat per </w:t>
      </w:r>
      <w:r>
        <w:rPr>
          <w:rFonts w:eastAsiaTheme="minorEastAsia" w:cs="Arial"/>
        </w:rPr>
        <w:t xml:space="preserve">a </w:t>
      </w:r>
      <w:r w:rsidRPr="00425C02">
        <w:rPr>
          <w:rFonts w:eastAsiaTheme="minorEastAsia" w:cs="Arial"/>
        </w:rPr>
        <w:t>ell i que potenciïn la motivació de canvi.</w:t>
      </w:r>
    </w:p>
    <w:p w:rsidR="006A4109" w:rsidRPr="00F02D52" w:rsidRDefault="006A4109" w:rsidP="00E930B2">
      <w:pPr>
        <w:rPr>
          <w:rFonts w:eastAsiaTheme="majorEastAsia" w:cs="Arial"/>
          <w:b/>
          <w:i/>
          <w:color w:val="1F497D" w:themeColor="text2"/>
        </w:rPr>
      </w:pPr>
      <w:bookmarkStart w:id="290" w:name="_Toc463743331"/>
      <w:r w:rsidRPr="00F02D52">
        <w:rPr>
          <w:rFonts w:eastAsiaTheme="majorEastAsia" w:cs="Arial"/>
          <w:b/>
          <w:i/>
          <w:color w:val="1F497D" w:themeColor="text2"/>
        </w:rPr>
        <w:br w:type="page"/>
      </w:r>
      <w:bookmarkEnd w:id="290"/>
    </w:p>
    <w:p w:rsidR="006A4109" w:rsidRDefault="006A4109" w:rsidP="007B2744"/>
    <w:p w:rsidR="006A4109" w:rsidRDefault="006A4109" w:rsidP="007B2744">
      <w:pPr>
        <w:pStyle w:val="Ttol2"/>
      </w:pPr>
      <w:bookmarkStart w:id="291" w:name="_Toc463867780"/>
      <w:bookmarkStart w:id="292" w:name="_Toc464685667"/>
      <w:bookmarkStart w:id="293" w:name="_Toc465293398"/>
      <w:r>
        <w:t>Els c</w:t>
      </w:r>
      <w:r w:rsidRPr="00F02D52">
        <w:t>ol·</w:t>
      </w:r>
      <w:r w:rsidRPr="00EB1B4D">
        <w:t>lectius</w:t>
      </w:r>
      <w:r w:rsidRPr="00F02D52">
        <w:t xml:space="preserve"> d’</w:t>
      </w:r>
      <w:r>
        <w:t>especial a</w:t>
      </w:r>
      <w:r w:rsidRPr="00F02D52">
        <w:t>tenció</w:t>
      </w:r>
      <w:bookmarkEnd w:id="291"/>
      <w:bookmarkEnd w:id="292"/>
      <w:bookmarkEnd w:id="293"/>
    </w:p>
    <w:p w:rsidR="007B2744" w:rsidRPr="007B2744" w:rsidRDefault="007B2744" w:rsidP="007B2744"/>
    <w:p w:rsidR="006A4109" w:rsidRPr="00F02D52" w:rsidRDefault="006A4109" w:rsidP="0070401F">
      <w:pPr>
        <w:pStyle w:val="Ttol3"/>
      </w:pPr>
      <w:bookmarkStart w:id="294" w:name="_Toc463743332"/>
      <w:bookmarkStart w:id="295" w:name="_Toc463867781"/>
      <w:bookmarkStart w:id="296" w:name="_Toc464685668"/>
      <w:bookmarkStart w:id="297" w:name="_Toc465293399"/>
      <w:r w:rsidRPr="00EB1B4D">
        <w:t>Població</w:t>
      </w:r>
      <w:r w:rsidRPr="00F02D52">
        <w:t xml:space="preserve"> immigrada</w:t>
      </w:r>
      <w:bookmarkEnd w:id="294"/>
      <w:bookmarkEnd w:id="295"/>
      <w:bookmarkEnd w:id="296"/>
      <w:bookmarkEnd w:id="297"/>
    </w:p>
    <w:p w:rsidR="006A4109" w:rsidRPr="00647306" w:rsidRDefault="006A4109" w:rsidP="00E930B2">
      <w:pPr>
        <w:rPr>
          <w:rFonts w:eastAsia="Arial" w:cs="Arial"/>
          <w:color w:val="000000"/>
        </w:rPr>
      </w:pPr>
      <w:r w:rsidRPr="00647306">
        <w:rPr>
          <w:rFonts w:eastAsia="Arial" w:cs="Arial"/>
          <w:color w:val="000000"/>
        </w:rPr>
        <w:t xml:space="preserve">Durant els últims anys l'arribada de persones immigrades ha suposat un important increment de la població a l’Estat espanyol, i a Catalunya en particular. Les dades disponibles situen els anys 2003 i 2004 com el punt d'acceleració de l'arribada d'immigrants, que </w:t>
      </w:r>
      <w:r>
        <w:rPr>
          <w:rFonts w:eastAsia="Arial" w:cs="Arial"/>
          <w:color w:val="000000"/>
        </w:rPr>
        <w:t>a l’</w:t>
      </w:r>
      <w:r w:rsidRPr="00647306">
        <w:rPr>
          <w:rFonts w:eastAsia="Arial" w:cs="Arial"/>
          <w:color w:val="000000"/>
        </w:rPr>
        <w:t xml:space="preserve">entorn </w:t>
      </w:r>
      <w:r>
        <w:rPr>
          <w:rFonts w:eastAsia="Arial" w:cs="Arial"/>
          <w:color w:val="000000"/>
        </w:rPr>
        <w:t>de</w:t>
      </w:r>
      <w:r w:rsidRPr="00647306">
        <w:rPr>
          <w:rFonts w:eastAsia="Arial" w:cs="Arial"/>
          <w:color w:val="000000"/>
        </w:rPr>
        <w:t xml:space="preserve"> l'any 2010 arriba al seu màxim amb un 15,95% de la població. En el moment actual, malgrat la crisi viscuda els darrers anys, la població im</w:t>
      </w:r>
      <w:r>
        <w:rPr>
          <w:rFonts w:eastAsia="Arial" w:cs="Arial"/>
          <w:color w:val="000000"/>
        </w:rPr>
        <w:t xml:space="preserve">migrada a Catalunya l'any 2015 </w:t>
      </w:r>
      <w:r w:rsidRPr="00647306">
        <w:rPr>
          <w:rFonts w:eastAsia="Arial" w:cs="Arial"/>
          <w:color w:val="000000"/>
        </w:rPr>
        <w:t>s</w:t>
      </w:r>
      <w:r>
        <w:rPr>
          <w:rFonts w:eastAsia="Arial" w:cs="Arial"/>
          <w:color w:val="000000"/>
        </w:rPr>
        <w:t>e</w:t>
      </w:r>
      <w:r w:rsidRPr="00647306">
        <w:rPr>
          <w:rFonts w:eastAsia="Arial" w:cs="Arial"/>
          <w:color w:val="000000"/>
        </w:rPr>
        <w:t xml:space="preserve"> situa en un 13,69 %. </w:t>
      </w:r>
    </w:p>
    <w:p w:rsidR="006A4109" w:rsidRPr="00647306" w:rsidRDefault="006A4109" w:rsidP="00E930B2">
      <w:pPr>
        <w:rPr>
          <w:rFonts w:eastAsia="Arial" w:cs="Arial"/>
          <w:color w:val="000000"/>
        </w:rPr>
      </w:pPr>
      <w:r w:rsidRPr="00647306">
        <w:rPr>
          <w:rFonts w:eastAsia="Arial" w:cs="Arial"/>
          <w:color w:val="000000"/>
        </w:rPr>
        <w:t>En paral·lel a aquests canvis, la presència d'interns estrangers als centres penitenciaris s'ha anat incrementat, arribant a un punt màxim d'un 45,8% l'any 2011, i situant-se e</w:t>
      </w:r>
      <w:r>
        <w:rPr>
          <w:rFonts w:eastAsia="Arial" w:cs="Arial"/>
          <w:color w:val="000000"/>
        </w:rPr>
        <w:t>l</w:t>
      </w:r>
      <w:r w:rsidRPr="00647306">
        <w:rPr>
          <w:rFonts w:eastAsia="Arial" w:cs="Arial"/>
          <w:color w:val="000000"/>
        </w:rPr>
        <w:t xml:space="preserve"> 2015 en un 43,5%. </w:t>
      </w:r>
    </w:p>
    <w:p w:rsidR="006A4109" w:rsidRPr="00647306" w:rsidRDefault="006A4109" w:rsidP="00E930B2">
      <w:pPr>
        <w:rPr>
          <w:rFonts w:eastAsia="Arial" w:cs="Arial"/>
          <w:color w:val="000000"/>
        </w:rPr>
      </w:pPr>
      <w:r w:rsidRPr="00647306">
        <w:rPr>
          <w:rFonts w:eastAsia="Arial" w:cs="Arial"/>
          <w:color w:val="000000"/>
        </w:rPr>
        <w:t xml:space="preserve">L'evolució del procés migratori ha anat acompanyat d'un seguit de canvis en la legislació que afecta les persones immigrades. </w:t>
      </w:r>
    </w:p>
    <w:p w:rsidR="006A4109" w:rsidRPr="00647306" w:rsidRDefault="006A4109" w:rsidP="00E930B2">
      <w:pPr>
        <w:rPr>
          <w:rFonts w:eastAsia="Arial" w:cs="Arial"/>
          <w:color w:val="000000"/>
        </w:rPr>
      </w:pPr>
      <w:r w:rsidRPr="00647306">
        <w:rPr>
          <w:rFonts w:eastAsia="Arial" w:cs="Arial"/>
          <w:color w:val="000000"/>
        </w:rPr>
        <w:t xml:space="preserve">La primera llei va ser la Llei </w:t>
      </w:r>
      <w:r>
        <w:rPr>
          <w:rFonts w:eastAsia="Arial" w:cs="Arial"/>
          <w:color w:val="000000"/>
        </w:rPr>
        <w:t>o</w:t>
      </w:r>
      <w:r w:rsidRPr="00647306">
        <w:rPr>
          <w:rFonts w:eastAsia="Arial" w:cs="Arial"/>
          <w:color w:val="000000"/>
        </w:rPr>
        <w:t xml:space="preserve">rgànica 7/1985, d'1 de juliol, sobre drets i llibertats dels estrangers, que feia un tractament policial del fenomen migratori i plantejava una regulació restrictiva en matèria de drets dels estrangers. Aquesta </w:t>
      </w:r>
      <w:r>
        <w:rPr>
          <w:rFonts w:eastAsia="Arial" w:cs="Arial"/>
          <w:color w:val="000000"/>
        </w:rPr>
        <w:t>L</w:t>
      </w:r>
      <w:r w:rsidRPr="00647306">
        <w:rPr>
          <w:rFonts w:eastAsia="Arial" w:cs="Arial"/>
          <w:color w:val="000000"/>
        </w:rPr>
        <w:t xml:space="preserve">lei va ser substituïda per la Llei </w:t>
      </w:r>
      <w:r>
        <w:rPr>
          <w:rFonts w:eastAsia="Arial" w:cs="Arial"/>
          <w:color w:val="000000"/>
        </w:rPr>
        <w:t>o</w:t>
      </w:r>
      <w:r w:rsidRPr="00647306">
        <w:rPr>
          <w:rFonts w:eastAsia="Arial" w:cs="Arial"/>
          <w:color w:val="000000"/>
        </w:rPr>
        <w:t>rgànica 4/2000, que és la que, després d'experimentar diverses modificacions, està en vigor actual</w:t>
      </w:r>
      <w:r>
        <w:rPr>
          <w:rFonts w:eastAsia="Arial" w:cs="Arial"/>
          <w:color w:val="000000"/>
        </w:rPr>
        <w:t>ment</w:t>
      </w:r>
      <w:r w:rsidRPr="00647306">
        <w:rPr>
          <w:rFonts w:eastAsia="Arial" w:cs="Arial"/>
          <w:color w:val="000000"/>
        </w:rPr>
        <w:t xml:space="preserve">. Aquesta Llei va suposar un canvi important, en introduir polítiques d'integració, ampliar els drets dels immigrants i establir un principi general d'igualtat amb la resta de ciutadans. </w:t>
      </w:r>
    </w:p>
    <w:p w:rsidR="006A4109" w:rsidRPr="00647306" w:rsidRDefault="006A4109" w:rsidP="00E930B2">
      <w:pPr>
        <w:rPr>
          <w:rFonts w:eastAsia="Arial" w:cs="Arial"/>
          <w:color w:val="000000"/>
        </w:rPr>
      </w:pPr>
      <w:r w:rsidRPr="00647306">
        <w:rPr>
          <w:rFonts w:eastAsia="Arial" w:cs="Arial"/>
          <w:color w:val="000000"/>
        </w:rPr>
        <w:t xml:space="preserve">El 2001 es va aprovar el Reglament d'aquesta llei (Reial </w:t>
      </w:r>
      <w:r>
        <w:rPr>
          <w:rFonts w:eastAsia="Arial" w:cs="Arial"/>
          <w:color w:val="000000"/>
        </w:rPr>
        <w:t>d</w:t>
      </w:r>
      <w:r w:rsidRPr="00647306">
        <w:rPr>
          <w:rFonts w:eastAsia="Arial" w:cs="Arial"/>
          <w:color w:val="000000"/>
        </w:rPr>
        <w:t>ecret 864/2001).</w:t>
      </w:r>
      <w:r>
        <w:rPr>
          <w:rFonts w:eastAsia="Arial" w:cs="Arial"/>
          <w:color w:val="000000"/>
        </w:rPr>
        <w:t xml:space="preserve"> </w:t>
      </w:r>
      <w:r w:rsidRPr="00647306">
        <w:rPr>
          <w:rFonts w:eastAsia="Arial" w:cs="Arial"/>
          <w:color w:val="000000"/>
        </w:rPr>
        <w:t xml:space="preserve">El 2003 es van produir dues reformes de la </w:t>
      </w:r>
      <w:r>
        <w:rPr>
          <w:rFonts w:eastAsia="Arial" w:cs="Arial"/>
          <w:color w:val="000000"/>
        </w:rPr>
        <w:t>l</w:t>
      </w:r>
      <w:r w:rsidRPr="00647306">
        <w:rPr>
          <w:rFonts w:eastAsia="Arial" w:cs="Arial"/>
          <w:color w:val="000000"/>
        </w:rPr>
        <w:t xml:space="preserve">lei que van afectar fonamentalment a l'expulsió i van establir la commutació de penes de presó de fins a sis anys per l'expulsió. </w:t>
      </w:r>
    </w:p>
    <w:p w:rsidR="006A4109" w:rsidRPr="00647306" w:rsidRDefault="006A4109" w:rsidP="00E930B2">
      <w:pPr>
        <w:rPr>
          <w:rFonts w:eastAsia="Arial" w:cs="Arial"/>
          <w:color w:val="000000"/>
        </w:rPr>
      </w:pPr>
      <w:r w:rsidRPr="00647306">
        <w:rPr>
          <w:rFonts w:eastAsia="Arial" w:cs="Arial"/>
          <w:color w:val="000000"/>
        </w:rPr>
        <w:t>Aquests canvis legals afecten la població penitenci</w:t>
      </w:r>
      <w:r>
        <w:rPr>
          <w:rFonts w:eastAsia="Arial" w:cs="Arial"/>
          <w:color w:val="000000"/>
        </w:rPr>
        <w:t>à</w:t>
      </w:r>
      <w:r w:rsidRPr="00647306">
        <w:rPr>
          <w:rFonts w:eastAsia="Arial" w:cs="Arial"/>
          <w:color w:val="000000"/>
        </w:rPr>
        <w:t xml:space="preserve">ria en diversos sentits. </w:t>
      </w:r>
      <w:r>
        <w:rPr>
          <w:rFonts w:eastAsia="Arial" w:cs="Arial"/>
          <w:color w:val="000000"/>
        </w:rPr>
        <w:t>D’</w:t>
      </w:r>
      <w:r w:rsidRPr="00647306">
        <w:rPr>
          <w:rFonts w:eastAsia="Arial" w:cs="Arial"/>
          <w:color w:val="000000"/>
        </w:rPr>
        <w:t xml:space="preserve">una banda, dificulta la regularització dels estrangers que no compten amb permisos de residència o que els han de renovar. </w:t>
      </w:r>
      <w:r>
        <w:rPr>
          <w:rFonts w:eastAsia="Arial" w:cs="Arial"/>
          <w:color w:val="000000"/>
        </w:rPr>
        <w:t>De l’</w:t>
      </w:r>
      <w:r w:rsidRPr="00647306">
        <w:rPr>
          <w:rFonts w:eastAsia="Arial" w:cs="Arial"/>
          <w:color w:val="000000"/>
        </w:rPr>
        <w:t xml:space="preserve">altra, reforça els supòsits d'expulsió dels estrangers que estiguin processats o condemnats. </w:t>
      </w:r>
    </w:p>
    <w:p w:rsidR="006A4109" w:rsidRPr="00647306" w:rsidRDefault="006A4109" w:rsidP="00E930B2">
      <w:pPr>
        <w:rPr>
          <w:rFonts w:eastAsia="Arial" w:cs="Arial"/>
          <w:color w:val="000000"/>
        </w:rPr>
      </w:pPr>
      <w:r w:rsidRPr="00647306">
        <w:rPr>
          <w:rFonts w:eastAsia="Arial" w:cs="Arial"/>
          <w:color w:val="000000"/>
        </w:rPr>
        <w:t>Les comunitats autònomes també tenen un àmbit competencial important en matèria d’estrangeria amb una clara incidència en relació a</w:t>
      </w:r>
      <w:r>
        <w:rPr>
          <w:rFonts w:eastAsia="Arial" w:cs="Arial"/>
          <w:color w:val="000000"/>
        </w:rPr>
        <w:t>mb</w:t>
      </w:r>
      <w:r w:rsidRPr="00647306">
        <w:rPr>
          <w:rFonts w:eastAsia="Arial" w:cs="Arial"/>
          <w:color w:val="000000"/>
        </w:rPr>
        <w:t xml:space="preserve"> l’habitatge, l’educació, la sanitat o l’assistència social.</w:t>
      </w:r>
    </w:p>
    <w:p w:rsidR="006A4109" w:rsidRPr="00647306" w:rsidRDefault="006A4109" w:rsidP="00E930B2">
      <w:pPr>
        <w:rPr>
          <w:rFonts w:eastAsia="Arial" w:cs="Arial"/>
          <w:color w:val="000000"/>
        </w:rPr>
      </w:pPr>
      <w:r w:rsidRPr="00647306">
        <w:rPr>
          <w:rFonts w:eastAsia="Arial" w:cs="Arial"/>
          <w:color w:val="000000"/>
        </w:rPr>
        <w:t>La Llei orgànica 6/2006 de reforma de l’Estatut d’autonomia de Catalunya, formula les competències de la Generalitat en matèria d’immigració, respecte a acollida, integració, participació social, retorn, autoritzacions de treball i participació en la determinació del contingent d’estrangers treballadors.</w:t>
      </w:r>
    </w:p>
    <w:p w:rsidR="006A4109" w:rsidRPr="00647306" w:rsidRDefault="006A4109" w:rsidP="00E930B2">
      <w:pPr>
        <w:rPr>
          <w:rFonts w:eastAsia="Arial" w:cs="Arial"/>
          <w:color w:val="000000"/>
        </w:rPr>
      </w:pPr>
      <w:r w:rsidRPr="00647306">
        <w:rPr>
          <w:rFonts w:eastAsia="Arial" w:cs="Arial"/>
          <w:color w:val="000000"/>
        </w:rPr>
        <w:t xml:space="preserve">Les previsions estatutàries </w:t>
      </w:r>
      <w:r>
        <w:rPr>
          <w:rFonts w:eastAsia="Arial" w:cs="Arial"/>
          <w:color w:val="000000"/>
        </w:rPr>
        <w:t>van donar</w:t>
      </w:r>
      <w:r w:rsidRPr="00647306">
        <w:rPr>
          <w:rFonts w:eastAsia="Arial" w:cs="Arial"/>
          <w:color w:val="000000"/>
        </w:rPr>
        <w:t xml:space="preserve"> lloc a la Llei 10/2010, de 7 de maig, d’acollida de les persones immigrades i de les retornades a Catalunya. Les finalitats de la llei són «promoure l’autonomia i la igualtat d’oportunitats de les persones immigrades i les retornades i també remoure els obstacles que ho impedeixen a causa, principalment, de la manca de competències lingüístiques bàsiques i el desconeixement de la societat i de l’ordenament jurídic, amb l’objectiu de fer efectiu el principi d’igualtat i assolir una major cohesió social»</w:t>
      </w:r>
      <w:r>
        <w:rPr>
          <w:rFonts w:eastAsia="Arial" w:cs="Arial"/>
          <w:color w:val="000000"/>
        </w:rPr>
        <w:t>.</w:t>
      </w:r>
    </w:p>
    <w:p w:rsidR="006A4109" w:rsidRPr="00647306" w:rsidRDefault="006A4109" w:rsidP="00E930B2">
      <w:pPr>
        <w:rPr>
          <w:rFonts w:eastAsia="Arial" w:cs="Arial"/>
          <w:color w:val="000000"/>
        </w:rPr>
      </w:pPr>
      <w:r w:rsidRPr="00647306">
        <w:rPr>
          <w:rFonts w:eastAsia="Arial" w:cs="Arial"/>
          <w:color w:val="000000"/>
        </w:rPr>
        <w:t xml:space="preserve">A nivell global, els canvis en l'estructura </w:t>
      </w:r>
      <w:r>
        <w:rPr>
          <w:rFonts w:eastAsia="Arial" w:cs="Arial"/>
          <w:color w:val="000000"/>
        </w:rPr>
        <w:t xml:space="preserve">de la </w:t>
      </w:r>
      <w:r w:rsidRPr="00647306">
        <w:rPr>
          <w:rFonts w:eastAsia="Arial" w:cs="Arial"/>
          <w:color w:val="000000"/>
        </w:rPr>
        <w:t>poblaci</w:t>
      </w:r>
      <w:r>
        <w:rPr>
          <w:rFonts w:eastAsia="Arial" w:cs="Arial"/>
          <w:color w:val="000000"/>
        </w:rPr>
        <w:t>ó</w:t>
      </w:r>
      <w:r w:rsidRPr="00647306">
        <w:rPr>
          <w:rFonts w:eastAsia="Arial" w:cs="Arial"/>
          <w:color w:val="000000"/>
        </w:rPr>
        <w:t xml:space="preserve"> que la migració ha produït han portat el Govern a impulsar diferents mesures per tal d'atendre les necessitats socials que se'n deriven. El Pacte Nacional per la Immigració, de desembre de 2008, s'estructura en tres </w:t>
      </w:r>
      <w:r w:rsidRPr="00647306">
        <w:rPr>
          <w:rFonts w:eastAsia="Arial" w:cs="Arial"/>
          <w:color w:val="000000"/>
        </w:rPr>
        <w:lastRenderedPageBreak/>
        <w:t xml:space="preserve">eixos: gestió dels fluxos migratoris i l'accés al mercat de treball, adaptació dels serveis públics a una societat diversa i integració en una cultura pública comuna. </w:t>
      </w:r>
    </w:p>
    <w:p w:rsidR="006A4109" w:rsidRPr="00647306" w:rsidRDefault="006A4109" w:rsidP="00E930B2">
      <w:pPr>
        <w:rPr>
          <w:rFonts w:eastAsia="Arial" w:cs="Arial"/>
          <w:color w:val="000000"/>
        </w:rPr>
      </w:pPr>
      <w:r w:rsidRPr="00647306">
        <w:rPr>
          <w:rFonts w:eastAsia="Arial" w:cs="Arial"/>
          <w:color w:val="000000"/>
        </w:rPr>
        <w:t xml:space="preserve">El Pacte sintetitza les idees i l'experiència dels diferents plans quadriennals en els qual la Generalitat plasma la seva política migratòria. La finalitat d'aquests plans és concretar els eixos i els mecanismes de manera que la política migratòria sigui plenament operativa, quant als mitjans, i realista, quant als objectius. </w:t>
      </w:r>
    </w:p>
    <w:p w:rsidR="006A4109" w:rsidRPr="00647306" w:rsidRDefault="006A4109" w:rsidP="00E930B2">
      <w:pPr>
        <w:rPr>
          <w:rFonts w:eastAsia="Arial" w:cs="Arial"/>
          <w:color w:val="000000"/>
        </w:rPr>
      </w:pPr>
      <w:r w:rsidRPr="00647306">
        <w:rPr>
          <w:rFonts w:eastAsia="Arial" w:cs="Arial"/>
          <w:color w:val="000000"/>
        </w:rPr>
        <w:t xml:space="preserve">En l'àmbit penitenciari, tot aquest escenari planteja un impacte particular. No </w:t>
      </w:r>
      <w:r>
        <w:rPr>
          <w:rFonts w:eastAsia="Arial" w:cs="Arial"/>
          <w:color w:val="000000"/>
        </w:rPr>
        <w:t>únicament</w:t>
      </w:r>
      <w:r w:rsidRPr="00647306">
        <w:rPr>
          <w:rFonts w:eastAsia="Arial" w:cs="Arial"/>
          <w:color w:val="000000"/>
        </w:rPr>
        <w:t xml:space="preserve"> de caràcter quantitatiu, com s'ha </w:t>
      </w:r>
      <w:r>
        <w:rPr>
          <w:rFonts w:eastAsia="Arial" w:cs="Arial"/>
          <w:color w:val="000000"/>
        </w:rPr>
        <w:t>as</w:t>
      </w:r>
      <w:r w:rsidRPr="00647306">
        <w:rPr>
          <w:rFonts w:eastAsia="Arial" w:cs="Arial"/>
          <w:color w:val="000000"/>
        </w:rPr>
        <w:t>senyalat al començament, sinó també de caràcter qualitatiu.</w:t>
      </w:r>
    </w:p>
    <w:p w:rsidR="006A4109" w:rsidRPr="00647306" w:rsidRDefault="006A4109" w:rsidP="00E930B2">
      <w:pPr>
        <w:rPr>
          <w:rFonts w:eastAsia="Arial" w:cs="Arial"/>
          <w:color w:val="000000"/>
        </w:rPr>
      </w:pPr>
      <w:r w:rsidRPr="00647306">
        <w:rPr>
          <w:rFonts w:eastAsia="Arial" w:cs="Arial"/>
          <w:color w:val="000000"/>
        </w:rPr>
        <w:t xml:space="preserve">Són diverses les raons d'aquest increment de la població estrangera a les presons, però pel que correspon estrictament al sistema penal, s'ha detectat que a tots els països europeus es donen dos factors que l'afavoreixen: d’una banda, als estrangers se’ls aplica la presó preventiva en major mesura que a la població nacional, i </w:t>
      </w:r>
      <w:r>
        <w:rPr>
          <w:rFonts w:eastAsia="Arial" w:cs="Arial"/>
          <w:color w:val="000000"/>
        </w:rPr>
        <w:t>de l’</w:t>
      </w:r>
      <w:r w:rsidRPr="00647306">
        <w:rPr>
          <w:rFonts w:eastAsia="Arial" w:cs="Arial"/>
          <w:color w:val="000000"/>
        </w:rPr>
        <w:t>altra, se’ls apliquen menys les mesures d’execució penal a la comunitat. Es destaca que el que marca la diferència a l’hora d’explicar aquestes tendències no són les variables de perfil criminològic ni personal, sinó les variables legals associades a la condició d’estranger i les variables socials pròpies de la manca de disponibilitat de mitjans propis o de suport extern per a la subsistència.</w:t>
      </w:r>
    </w:p>
    <w:p w:rsidR="006A4109" w:rsidRPr="00647306" w:rsidRDefault="006A4109" w:rsidP="00E930B2">
      <w:pPr>
        <w:rPr>
          <w:rFonts w:eastAsia="Arial" w:cs="Arial"/>
          <w:color w:val="000000"/>
        </w:rPr>
      </w:pPr>
      <w:r w:rsidRPr="00647306">
        <w:rPr>
          <w:rFonts w:eastAsia="Arial" w:cs="Arial"/>
          <w:color w:val="000000"/>
        </w:rPr>
        <w:t xml:space="preserve">La situació dels estrangers a presó es veu afectada també per la legislació d'estrangeria. En general, molts estrangers tenen dificultats per regularitzar la seva situació i obtenir la residència legal, i això pot incrementar els riscos d'exclusió, marginalitat i manca d'integració social. L'ingrés a presó afegeix complexitat en aquest context, </w:t>
      </w:r>
      <w:r>
        <w:rPr>
          <w:rFonts w:eastAsia="Arial" w:cs="Arial"/>
          <w:color w:val="000000"/>
        </w:rPr>
        <w:t>atès</w:t>
      </w:r>
      <w:r w:rsidRPr="00647306">
        <w:rPr>
          <w:rFonts w:eastAsia="Arial" w:cs="Arial"/>
          <w:color w:val="000000"/>
        </w:rPr>
        <w:t xml:space="preserve"> que accentua les dificultats dels estrangers no regularitzats i sovint provoca la pèrdua de la regularització dels que sí </w:t>
      </w:r>
      <w:r>
        <w:rPr>
          <w:rFonts w:eastAsia="Arial" w:cs="Arial"/>
          <w:color w:val="000000"/>
        </w:rPr>
        <w:t xml:space="preserve">que ho </w:t>
      </w:r>
      <w:r w:rsidRPr="00647306">
        <w:rPr>
          <w:rFonts w:eastAsia="Arial" w:cs="Arial"/>
          <w:color w:val="000000"/>
        </w:rPr>
        <w:t xml:space="preserve">estaven. </w:t>
      </w:r>
      <w:r>
        <w:rPr>
          <w:rFonts w:eastAsia="Arial" w:cs="Arial"/>
          <w:color w:val="000000"/>
        </w:rPr>
        <w:t>C</w:t>
      </w:r>
      <w:r w:rsidRPr="00647306">
        <w:rPr>
          <w:rFonts w:eastAsia="Arial" w:cs="Arial"/>
          <w:color w:val="000000"/>
        </w:rPr>
        <w:t>onseqüentment</w:t>
      </w:r>
      <w:r>
        <w:rPr>
          <w:rFonts w:eastAsia="Arial" w:cs="Arial"/>
          <w:color w:val="000000"/>
        </w:rPr>
        <w:t>,</w:t>
      </w:r>
      <w:r w:rsidRPr="00647306">
        <w:rPr>
          <w:rFonts w:eastAsia="Arial" w:cs="Arial"/>
          <w:color w:val="000000"/>
        </w:rPr>
        <w:t xml:space="preserve"> això comporta dificultats per </w:t>
      </w:r>
      <w:r>
        <w:rPr>
          <w:rFonts w:eastAsia="Arial" w:cs="Arial"/>
          <w:color w:val="000000"/>
        </w:rPr>
        <w:t>programar</w:t>
      </w:r>
      <w:r w:rsidRPr="00647306">
        <w:rPr>
          <w:rFonts w:eastAsia="Arial" w:cs="Arial"/>
          <w:color w:val="000000"/>
        </w:rPr>
        <w:t xml:space="preserve"> actuacions que fomentin processos de reinserció social. </w:t>
      </w:r>
    </w:p>
    <w:p w:rsidR="006A4109" w:rsidRPr="00647306" w:rsidRDefault="006A4109" w:rsidP="00E930B2">
      <w:pPr>
        <w:rPr>
          <w:rFonts w:eastAsia="Arial" w:cs="Arial"/>
          <w:color w:val="000000"/>
        </w:rPr>
      </w:pPr>
      <w:r w:rsidRPr="00647306">
        <w:rPr>
          <w:rFonts w:eastAsia="Arial" w:cs="Arial"/>
          <w:color w:val="000000"/>
        </w:rPr>
        <w:t xml:space="preserve">La investigació “Estrangers a les presons catalanes” (2010) realitzada per l’Àrea d’Investigació i Formació Social i Criminològica del CEFJE, juntament amb el Grup de Recerca sobre Interculturalitat i Desenvolupament de la Universitat de Lleida (GRID), </w:t>
      </w:r>
      <w:r>
        <w:rPr>
          <w:rFonts w:eastAsia="Arial" w:cs="Arial"/>
          <w:color w:val="000000"/>
        </w:rPr>
        <w:t>aporta molta</w:t>
      </w:r>
      <w:r w:rsidRPr="00647306">
        <w:rPr>
          <w:rFonts w:eastAsia="Arial" w:cs="Arial"/>
          <w:color w:val="000000"/>
        </w:rPr>
        <w:t xml:space="preserve"> informaci</w:t>
      </w:r>
      <w:r>
        <w:rPr>
          <w:rFonts w:eastAsia="Arial" w:cs="Arial"/>
          <w:color w:val="000000"/>
        </w:rPr>
        <w:t>ó</w:t>
      </w:r>
      <w:r w:rsidRPr="00647306">
        <w:rPr>
          <w:rFonts w:eastAsia="Arial" w:cs="Arial"/>
          <w:color w:val="000000"/>
        </w:rPr>
        <w:t xml:space="preserve"> sobre la dificultat d'articular els processos de reinserció amb la situació dels interns estrangers. </w:t>
      </w:r>
    </w:p>
    <w:p w:rsidR="006A4109" w:rsidRPr="00647306" w:rsidRDefault="006A4109" w:rsidP="00E930B2">
      <w:pPr>
        <w:rPr>
          <w:rFonts w:eastAsia="Arial" w:cs="Arial"/>
          <w:color w:val="000000"/>
        </w:rPr>
      </w:pPr>
      <w:r w:rsidRPr="00647306">
        <w:rPr>
          <w:rFonts w:eastAsia="Arial" w:cs="Arial"/>
          <w:color w:val="000000"/>
        </w:rPr>
        <w:t>Aquest estudi ha establert una sèrie de factors rellevants que permeten establir quatre grans grups, els qual presenten diferents perspectives d’inserció, que ajuden a constatar la necessitat de planificar diferents tipus d’intervenció:</w:t>
      </w:r>
    </w:p>
    <w:p w:rsidR="006A4109" w:rsidRPr="00647306" w:rsidRDefault="006A4109" w:rsidP="00AE0A20">
      <w:pPr>
        <w:pStyle w:val="Pargrafdellista"/>
        <w:numPr>
          <w:ilvl w:val="0"/>
          <w:numId w:val="7"/>
        </w:numPr>
        <w:rPr>
          <w:rFonts w:eastAsia="Arial" w:cs="Arial"/>
          <w:color w:val="000000"/>
        </w:rPr>
      </w:pPr>
      <w:r w:rsidRPr="00647306">
        <w:rPr>
          <w:rFonts w:eastAsia="Arial" w:cs="Arial"/>
          <w:color w:val="000000"/>
        </w:rPr>
        <w:t>Grup 1: són el 20% dels interns estrangers. No volen retornar al seu país, no han tingut mai cap tipus de documentació, no disposen de capital social aquí i no tenen un projecte migratori definit. En sortir de la presó no podran regularitzar la seva situació admini</w:t>
      </w:r>
      <w:r>
        <w:rPr>
          <w:rFonts w:eastAsia="Arial" w:cs="Arial"/>
          <w:color w:val="000000"/>
        </w:rPr>
        <w:t>strativa fins que puguin cancel·</w:t>
      </w:r>
      <w:r w:rsidRPr="00647306">
        <w:rPr>
          <w:rFonts w:eastAsia="Arial" w:cs="Arial"/>
          <w:color w:val="000000"/>
        </w:rPr>
        <w:t xml:space="preserve">lar els seus antecedents penals, cinc anys després. </w:t>
      </w:r>
    </w:p>
    <w:p w:rsidR="006A4109" w:rsidRPr="00647306" w:rsidRDefault="006A4109" w:rsidP="00AE0A20">
      <w:pPr>
        <w:pStyle w:val="Pargrafdellista"/>
        <w:numPr>
          <w:ilvl w:val="0"/>
          <w:numId w:val="7"/>
        </w:numPr>
        <w:rPr>
          <w:rFonts w:eastAsia="Arial" w:cs="Arial"/>
          <w:color w:val="000000"/>
        </w:rPr>
      </w:pPr>
      <w:r w:rsidRPr="00647306">
        <w:rPr>
          <w:rFonts w:eastAsia="Arial" w:cs="Arial"/>
          <w:color w:val="000000"/>
        </w:rPr>
        <w:t>Grup 2: són aproximadament un 20% dels interns estrangers. Manifesten que volen marxar. No disposen ni han disposat mai de documentació espanyola (empadronament, targeta sanitària, permís de residencia i/o de treball). No disposen de capital social aquí ni van arribar amb un projecte migratori clar. No presenten gaires problemes disciplinaris dins de la presó. El seu pronòstic d’inserció social a la sortida és moderadament optimista, per bé que focalitzat en un retorn als països d’origen.</w:t>
      </w:r>
    </w:p>
    <w:p w:rsidR="006A4109" w:rsidRPr="00647306" w:rsidRDefault="006A4109" w:rsidP="00AE0A20">
      <w:pPr>
        <w:pStyle w:val="Pargrafdellista"/>
        <w:numPr>
          <w:ilvl w:val="0"/>
          <w:numId w:val="7"/>
        </w:numPr>
        <w:rPr>
          <w:rFonts w:eastAsia="Arial" w:cs="Arial"/>
          <w:color w:val="000000"/>
        </w:rPr>
      </w:pPr>
      <w:r w:rsidRPr="00647306">
        <w:rPr>
          <w:rFonts w:eastAsia="Arial" w:cs="Arial"/>
          <w:color w:val="000000"/>
        </w:rPr>
        <w:t xml:space="preserve">Grup 3: són aproximadament un 30% del total. No volen retornar al seu país, han tingut o tenen </w:t>
      </w:r>
      <w:r>
        <w:rPr>
          <w:rFonts w:eastAsia="Arial" w:cs="Arial"/>
          <w:color w:val="000000"/>
        </w:rPr>
        <w:t xml:space="preserve">una </w:t>
      </w:r>
      <w:r w:rsidRPr="00647306">
        <w:rPr>
          <w:rFonts w:eastAsia="Arial" w:cs="Arial"/>
          <w:color w:val="000000"/>
        </w:rPr>
        <w:t xml:space="preserve">documentació regularitzada, disposen de capital social aquí i van arribar amb un projecte migratori clar. El seu perfil penal i penitenciari és el següent: no tenen antecedents penitenciaris coneguts, presenten un bon comportament dins de la presó i no </w:t>
      </w:r>
      <w:r>
        <w:rPr>
          <w:rFonts w:eastAsia="Arial" w:cs="Arial"/>
          <w:color w:val="000000"/>
        </w:rPr>
        <w:t>tenen</w:t>
      </w:r>
      <w:r w:rsidRPr="00647306">
        <w:rPr>
          <w:rFonts w:eastAsia="Arial" w:cs="Arial"/>
          <w:color w:val="000000"/>
        </w:rPr>
        <w:t xml:space="preserve"> problemes d’abús de drogues. Per edat, són més grans en el moment d’ingr</w:t>
      </w:r>
      <w:r>
        <w:rPr>
          <w:rFonts w:eastAsia="Arial" w:cs="Arial"/>
          <w:color w:val="000000"/>
        </w:rPr>
        <w:t xml:space="preserve">essar </w:t>
      </w:r>
      <w:r w:rsidRPr="00647306">
        <w:rPr>
          <w:rFonts w:eastAsia="Arial" w:cs="Arial"/>
          <w:color w:val="000000"/>
        </w:rPr>
        <w:t>a la presó. El pronòstic d’inserció social és mo</w:t>
      </w:r>
      <w:r>
        <w:rPr>
          <w:rFonts w:eastAsia="Arial" w:cs="Arial"/>
          <w:color w:val="000000"/>
        </w:rPr>
        <w:t>deradament optimista, és el col·</w:t>
      </w:r>
      <w:r w:rsidRPr="00647306">
        <w:rPr>
          <w:rFonts w:eastAsia="Arial" w:cs="Arial"/>
          <w:color w:val="000000"/>
        </w:rPr>
        <w:t xml:space="preserve">lectiu més predisposat a restablir una vida normalitzada. A causa </w:t>
      </w:r>
      <w:r w:rsidRPr="00647306">
        <w:rPr>
          <w:rFonts w:eastAsia="Arial" w:cs="Arial"/>
          <w:color w:val="000000"/>
        </w:rPr>
        <w:lastRenderedPageBreak/>
        <w:t>dels antecedents penals, el principal handicap que s’ha de superar és la renovació dels permisos de residència i treball.</w:t>
      </w:r>
    </w:p>
    <w:p w:rsidR="006A4109" w:rsidRPr="00647306" w:rsidRDefault="006A4109" w:rsidP="00AE0A20">
      <w:pPr>
        <w:pStyle w:val="Pargrafdellista"/>
        <w:numPr>
          <w:ilvl w:val="0"/>
          <w:numId w:val="7"/>
        </w:numPr>
        <w:rPr>
          <w:rFonts w:eastAsia="Arial" w:cs="Arial"/>
          <w:color w:val="000000"/>
        </w:rPr>
      </w:pPr>
      <w:r w:rsidRPr="00647306">
        <w:rPr>
          <w:rFonts w:eastAsia="Arial" w:cs="Arial"/>
          <w:color w:val="000000"/>
        </w:rPr>
        <w:t xml:space="preserve">Grup 4: són aproximadament un 30% del total. Tampoc volen marxar del país, han tingut o tenen </w:t>
      </w:r>
      <w:r>
        <w:rPr>
          <w:rFonts w:eastAsia="Arial" w:cs="Arial"/>
          <w:color w:val="000000"/>
        </w:rPr>
        <w:t xml:space="preserve">una </w:t>
      </w:r>
      <w:r w:rsidRPr="00647306">
        <w:rPr>
          <w:rFonts w:eastAsia="Arial" w:cs="Arial"/>
          <w:color w:val="000000"/>
        </w:rPr>
        <w:t>documentació regularitzada, disposen de capital social aquí i van arribar amb un projecte migratori clar, però el seu pronòstic d’inserció social és incert perquè tenen problemes de toxicomanies i el seu comportament a la presó és disruptiu.</w:t>
      </w:r>
    </w:p>
    <w:p w:rsidR="006A4109" w:rsidRPr="00647306" w:rsidRDefault="006A4109" w:rsidP="00E930B2">
      <w:pPr>
        <w:rPr>
          <w:rFonts w:eastAsia="Arial" w:cs="Arial"/>
          <w:color w:val="000000"/>
        </w:rPr>
      </w:pPr>
      <w:r w:rsidRPr="00647306">
        <w:rPr>
          <w:rFonts w:eastAsia="Arial" w:cs="Arial"/>
          <w:color w:val="000000"/>
        </w:rPr>
        <w:t xml:space="preserve">Sobre aquesta ordenació de la població estrangera s'ha anat establint un model d'intervenció que es regula en les orientacions de la Circular 1/2013 sobre estrangeria als centres penitenciaris, a la qual ens referirem més endavant  </w:t>
      </w:r>
    </w:p>
    <w:p w:rsidR="006A4109" w:rsidRPr="00647306" w:rsidRDefault="006A4109" w:rsidP="00E930B2">
      <w:pPr>
        <w:rPr>
          <w:rFonts w:eastAsia="Arial" w:cs="Arial"/>
          <w:color w:val="000000"/>
        </w:rPr>
      </w:pPr>
      <w:r w:rsidRPr="00647306">
        <w:rPr>
          <w:rFonts w:eastAsia="Arial" w:cs="Arial"/>
          <w:color w:val="000000"/>
        </w:rPr>
        <w:t xml:space="preserve">En sintonia amb les polítiques de la Generalitat de Catalunya, la Direcció General de Serveis Penitenciaris impulsa un seguit d'actuacions per tal d’atendre la població estrangera als centres penitenciaris. </w:t>
      </w:r>
    </w:p>
    <w:p w:rsidR="006A4109" w:rsidRPr="00647306" w:rsidRDefault="006A4109" w:rsidP="00E930B2">
      <w:pPr>
        <w:rPr>
          <w:rFonts w:eastAsia="Arial" w:cs="Arial"/>
          <w:color w:val="000000"/>
        </w:rPr>
      </w:pPr>
      <w:r w:rsidRPr="00647306">
        <w:rPr>
          <w:rFonts w:eastAsia="Arial" w:cs="Arial"/>
          <w:color w:val="000000"/>
        </w:rPr>
        <w:t>Les actuacions formen part del Pla de ciutadania i de les migracions i s'encaixen en els eixos i programes que defineix:</w:t>
      </w:r>
    </w:p>
    <w:p w:rsidR="006A4109" w:rsidRPr="00647306" w:rsidRDefault="006A4109" w:rsidP="00E930B2">
      <w:pPr>
        <w:rPr>
          <w:rFonts w:eastAsia="Arial" w:cs="Arial"/>
          <w:color w:val="000000"/>
        </w:rPr>
      </w:pPr>
      <w:r w:rsidRPr="00647306">
        <w:rPr>
          <w:rFonts w:eastAsia="Arial" w:cs="Arial"/>
          <w:color w:val="000000"/>
        </w:rPr>
        <w:t>Disposem d’una àmplia oferta formativa reglada per atendre les necessitats educatives dels interns, amb una oferta específica pe</w:t>
      </w:r>
      <w:r>
        <w:rPr>
          <w:rFonts w:eastAsia="Arial" w:cs="Arial"/>
          <w:color w:val="000000"/>
        </w:rPr>
        <w:t xml:space="preserve">r als interns d'origen immigrant, </w:t>
      </w:r>
      <w:r w:rsidRPr="00647306">
        <w:rPr>
          <w:rFonts w:eastAsia="Arial" w:cs="Arial"/>
          <w:color w:val="000000"/>
        </w:rPr>
        <w:t>especialment pe</w:t>
      </w:r>
      <w:r>
        <w:rPr>
          <w:rFonts w:eastAsia="Arial" w:cs="Arial"/>
          <w:color w:val="000000"/>
        </w:rPr>
        <w:t>r a</w:t>
      </w:r>
      <w:r w:rsidRPr="00647306">
        <w:rPr>
          <w:rFonts w:eastAsia="Arial" w:cs="Arial"/>
          <w:color w:val="000000"/>
        </w:rPr>
        <w:t xml:space="preserve">l desenvolupament de competències lingüístiques tant en català com en castellà, impartides en els CFPA dels centres penitenciaris. </w:t>
      </w:r>
    </w:p>
    <w:p w:rsidR="006A4109" w:rsidRPr="00647306" w:rsidRDefault="006A4109" w:rsidP="00E930B2">
      <w:pPr>
        <w:rPr>
          <w:rFonts w:eastAsia="Arial" w:cs="Arial"/>
          <w:color w:val="000000"/>
        </w:rPr>
      </w:pPr>
      <w:r w:rsidRPr="00647306">
        <w:rPr>
          <w:rFonts w:eastAsia="Arial" w:cs="Arial"/>
          <w:color w:val="000000"/>
        </w:rPr>
        <w:t>Des de l'any 2001 es du a terme el P</w:t>
      </w:r>
      <w:r>
        <w:rPr>
          <w:rFonts w:eastAsia="Arial" w:cs="Arial"/>
          <w:color w:val="000000"/>
        </w:rPr>
        <w:t>rograma marc d’educació per la convivència en la d</w:t>
      </w:r>
      <w:r w:rsidRPr="00647306">
        <w:rPr>
          <w:rFonts w:eastAsia="Arial" w:cs="Arial"/>
          <w:color w:val="000000"/>
        </w:rPr>
        <w:t xml:space="preserve">iversitat, a través del qual es fomenta la visibilitat de la diversitat com un valor que enriqueix la societat i es promouen els valors de la cultura pública comuna. </w:t>
      </w:r>
    </w:p>
    <w:p w:rsidR="006A4109" w:rsidRPr="00647306" w:rsidRDefault="006A4109" w:rsidP="00E930B2">
      <w:pPr>
        <w:rPr>
          <w:rFonts w:eastAsia="Arial" w:cs="Arial"/>
          <w:color w:val="000000"/>
        </w:rPr>
      </w:pPr>
      <w:r w:rsidRPr="00647306">
        <w:rPr>
          <w:rFonts w:eastAsia="Arial" w:cs="Arial"/>
          <w:color w:val="000000"/>
        </w:rPr>
        <w:t xml:space="preserve">De manera equivalent, el Programa de </w:t>
      </w:r>
      <w:r>
        <w:rPr>
          <w:rFonts w:eastAsia="Arial" w:cs="Arial"/>
          <w:color w:val="000000"/>
        </w:rPr>
        <w:t>m</w:t>
      </w:r>
      <w:r w:rsidRPr="00647306">
        <w:rPr>
          <w:rFonts w:eastAsia="Arial" w:cs="Arial"/>
          <w:color w:val="000000"/>
        </w:rPr>
        <w:t xml:space="preserve">ediació </w:t>
      </w:r>
      <w:r>
        <w:rPr>
          <w:rFonts w:eastAsia="Arial" w:cs="Arial"/>
          <w:color w:val="000000"/>
        </w:rPr>
        <w:t>i</w:t>
      </w:r>
      <w:r w:rsidRPr="00647306">
        <w:rPr>
          <w:rFonts w:eastAsia="Arial" w:cs="Arial"/>
          <w:color w:val="000000"/>
        </w:rPr>
        <w:t xml:space="preserve">ntercultural que es du a terme en diversos centres penitenciaris des de l'any 2001, estableix mecanismes de foment del coneixement i de la comunicació entre persones procedents de societats i cultures diverses i també facilita l’exercici dels drets i deures de </w:t>
      </w:r>
      <w:r>
        <w:rPr>
          <w:rFonts w:eastAsia="Arial" w:cs="Arial"/>
          <w:color w:val="000000"/>
        </w:rPr>
        <w:t xml:space="preserve">la </w:t>
      </w:r>
      <w:r w:rsidRPr="00647306">
        <w:rPr>
          <w:rFonts w:eastAsia="Arial" w:cs="Arial"/>
          <w:color w:val="000000"/>
        </w:rPr>
        <w:t xml:space="preserve">ciutadania. </w:t>
      </w:r>
    </w:p>
    <w:p w:rsidR="006A4109" w:rsidRPr="00647306" w:rsidRDefault="006A4109" w:rsidP="00E930B2">
      <w:pPr>
        <w:rPr>
          <w:rFonts w:eastAsia="Arial" w:cs="Arial"/>
          <w:color w:val="000000"/>
        </w:rPr>
      </w:pPr>
      <w:r w:rsidRPr="00647306">
        <w:rPr>
          <w:rFonts w:eastAsia="Arial" w:cs="Arial"/>
          <w:color w:val="000000"/>
        </w:rPr>
        <w:t>La Instrucció 1/2005 ha establert un procediment que permet que els interns de diferents religions puguin rebre assistència religiosa per part de representants de les seves confessions.</w:t>
      </w:r>
    </w:p>
    <w:p w:rsidR="006A4109" w:rsidRPr="00647306" w:rsidRDefault="006A4109" w:rsidP="00E930B2">
      <w:pPr>
        <w:rPr>
          <w:rFonts w:eastAsia="Arial" w:cs="Arial"/>
          <w:color w:val="000000"/>
        </w:rPr>
      </w:pPr>
      <w:r w:rsidRPr="00647306">
        <w:rPr>
          <w:rFonts w:eastAsia="Arial" w:cs="Arial"/>
          <w:color w:val="000000"/>
        </w:rPr>
        <w:t xml:space="preserve">Oferta de recursos residencials per a interns estrangers, que no en disposen, quan surten de permís. </w:t>
      </w:r>
    </w:p>
    <w:p w:rsidR="006A4109" w:rsidRPr="00647306" w:rsidRDefault="006A4109" w:rsidP="00E930B2">
      <w:pPr>
        <w:rPr>
          <w:rFonts w:eastAsia="Arial" w:cs="Arial"/>
          <w:color w:val="000000"/>
        </w:rPr>
      </w:pPr>
      <w:r>
        <w:rPr>
          <w:rFonts w:eastAsia="Arial" w:cs="Arial"/>
          <w:color w:val="000000"/>
        </w:rPr>
        <w:t>Q</w:t>
      </w:r>
      <w:r w:rsidRPr="00647306">
        <w:rPr>
          <w:rFonts w:eastAsia="Arial" w:cs="Arial"/>
          <w:color w:val="000000"/>
        </w:rPr>
        <w:t xml:space="preserve">uant a l’accés al treball penitenciari i la formació, mitjançant </w:t>
      </w:r>
      <w:r>
        <w:rPr>
          <w:rFonts w:eastAsia="Arial" w:cs="Arial"/>
          <w:color w:val="000000"/>
        </w:rPr>
        <w:t xml:space="preserve">el </w:t>
      </w:r>
      <w:r w:rsidRPr="00647306">
        <w:rPr>
          <w:rFonts w:eastAsia="Arial" w:cs="Arial"/>
          <w:color w:val="000000"/>
        </w:rPr>
        <w:t>CIRE, s’ofereix l’activitat sota el principi d’igualtat d’oportunitats.</w:t>
      </w:r>
    </w:p>
    <w:p w:rsidR="006A4109" w:rsidRPr="00647306" w:rsidRDefault="006A4109" w:rsidP="00E930B2">
      <w:pPr>
        <w:rPr>
          <w:rFonts w:eastAsia="Arial" w:cs="Arial"/>
          <w:color w:val="000000"/>
        </w:rPr>
      </w:pPr>
      <w:r>
        <w:rPr>
          <w:rFonts w:eastAsia="Arial" w:cs="Arial"/>
          <w:color w:val="000000"/>
        </w:rPr>
        <w:t>Q</w:t>
      </w:r>
      <w:r w:rsidRPr="00647306">
        <w:rPr>
          <w:rFonts w:eastAsia="Arial" w:cs="Arial"/>
          <w:color w:val="000000"/>
        </w:rPr>
        <w:t>uan</w:t>
      </w:r>
      <w:r>
        <w:rPr>
          <w:rFonts w:eastAsia="Arial" w:cs="Arial"/>
          <w:color w:val="000000"/>
        </w:rPr>
        <w:t>t</w:t>
      </w:r>
      <w:r w:rsidRPr="00647306">
        <w:rPr>
          <w:rFonts w:eastAsia="Arial" w:cs="Arial"/>
          <w:color w:val="000000"/>
        </w:rPr>
        <w:t xml:space="preserve"> a l'atenció de les autoritzacions de treball i dels permisos de residència, el CIRE compta amb un servei jurídic d’assessorament i tramitació documental.</w:t>
      </w:r>
    </w:p>
    <w:p w:rsidR="006A4109" w:rsidRPr="00647306" w:rsidRDefault="006A4109" w:rsidP="00E930B2">
      <w:pPr>
        <w:rPr>
          <w:rFonts w:eastAsia="Arial" w:cs="Arial"/>
          <w:color w:val="000000"/>
        </w:rPr>
      </w:pPr>
      <w:r w:rsidRPr="00647306">
        <w:rPr>
          <w:rFonts w:eastAsia="Arial" w:cs="Arial"/>
          <w:color w:val="000000"/>
        </w:rPr>
        <w:t xml:space="preserve">El CEJFE ofereix diferents cursos sobre temàtiques relacionades amb </w:t>
      </w:r>
      <w:r>
        <w:rPr>
          <w:rFonts w:eastAsia="Arial" w:cs="Arial"/>
          <w:color w:val="000000"/>
        </w:rPr>
        <w:t xml:space="preserve">la </w:t>
      </w:r>
      <w:r w:rsidRPr="00647306">
        <w:rPr>
          <w:rFonts w:eastAsia="Arial" w:cs="Arial"/>
          <w:color w:val="000000"/>
        </w:rPr>
        <w:t>ciutadania i immigració als professionals dels serveis penitenciaris.</w:t>
      </w:r>
    </w:p>
    <w:p w:rsidR="006A4109" w:rsidRPr="00647306" w:rsidRDefault="006A4109" w:rsidP="00E930B2">
      <w:pPr>
        <w:rPr>
          <w:rFonts w:eastAsia="Arial" w:cs="Arial"/>
          <w:color w:val="000000"/>
        </w:rPr>
      </w:pPr>
    </w:p>
    <w:p w:rsidR="006A4109" w:rsidRPr="00647306" w:rsidRDefault="006A4109" w:rsidP="00E930B2">
      <w:pPr>
        <w:rPr>
          <w:rFonts w:eastAsia="Arial" w:cs="Arial"/>
          <w:color w:val="000000"/>
        </w:rPr>
      </w:pPr>
      <w:r w:rsidRPr="00647306">
        <w:rPr>
          <w:rFonts w:eastAsia="Arial" w:cs="Arial"/>
          <w:color w:val="000000"/>
        </w:rPr>
        <w:t xml:space="preserve">Com s'ha </w:t>
      </w:r>
      <w:r>
        <w:rPr>
          <w:rFonts w:eastAsia="Arial" w:cs="Arial"/>
          <w:color w:val="000000"/>
        </w:rPr>
        <w:t>as</w:t>
      </w:r>
      <w:r w:rsidRPr="00647306">
        <w:rPr>
          <w:rFonts w:eastAsia="Arial" w:cs="Arial"/>
          <w:color w:val="000000"/>
        </w:rPr>
        <w:t>senyalat anteriorment, els canvis en la legislació d'estrangeria han provocat modificacions en la legislació penal i penitenci</w:t>
      </w:r>
      <w:r>
        <w:rPr>
          <w:rFonts w:eastAsia="Arial" w:cs="Arial"/>
          <w:color w:val="000000"/>
        </w:rPr>
        <w:t>à</w:t>
      </w:r>
      <w:r w:rsidRPr="00647306">
        <w:rPr>
          <w:rFonts w:eastAsia="Arial" w:cs="Arial"/>
          <w:color w:val="000000"/>
        </w:rPr>
        <w:t xml:space="preserve">ria, que han afectat la situació dels estrangers a presó. Per tal d'adaptar el mandat constitucional de la reinserció social amb aquests condicionants legals vigents, la DGSP va dictar la </w:t>
      </w:r>
      <w:bookmarkStart w:id="298" w:name="__DdeLink__1386_1484764714"/>
      <w:r w:rsidRPr="00647306">
        <w:rPr>
          <w:rFonts w:eastAsia="Arial" w:cs="Arial"/>
          <w:color w:val="000000"/>
        </w:rPr>
        <w:t xml:space="preserve">Circular 1/2013 </w:t>
      </w:r>
      <w:bookmarkEnd w:id="298"/>
      <w:r w:rsidRPr="00647306">
        <w:rPr>
          <w:rFonts w:eastAsia="Arial" w:cs="Arial"/>
          <w:color w:val="000000"/>
        </w:rPr>
        <w:t xml:space="preserve">sobre estrangeria als centres penitenciaris. </w:t>
      </w:r>
    </w:p>
    <w:p w:rsidR="006A4109" w:rsidRPr="00647306" w:rsidRDefault="006A4109" w:rsidP="00E930B2">
      <w:pPr>
        <w:rPr>
          <w:rFonts w:eastAsia="Arial" w:cs="Arial"/>
          <w:color w:val="000000"/>
        </w:rPr>
      </w:pPr>
      <w:r>
        <w:rPr>
          <w:rFonts w:eastAsia="Arial" w:cs="Arial"/>
          <w:color w:val="000000"/>
        </w:rPr>
        <w:t>Aquesta C</w:t>
      </w:r>
      <w:r w:rsidRPr="00647306">
        <w:rPr>
          <w:rFonts w:eastAsia="Arial" w:cs="Arial"/>
          <w:color w:val="000000"/>
        </w:rPr>
        <w:t>ircular té com a objectiu, entre d'altres, millorar la recollida i informatització de les dades rellevants de les persones internes estrangeres; definir les peculiaritats dels objectius de treball amb la persona interna estrangera envers la seva reinserció: gestió de documentació, coneixements d’expulsions, contactes consulars, etc.</w:t>
      </w:r>
    </w:p>
    <w:p w:rsidR="006A4109" w:rsidRPr="00647306" w:rsidRDefault="006A4109" w:rsidP="00E930B2">
      <w:pPr>
        <w:rPr>
          <w:rFonts w:eastAsia="Arial" w:cs="Arial"/>
          <w:color w:val="000000"/>
        </w:rPr>
      </w:pPr>
      <w:r w:rsidRPr="00647306">
        <w:rPr>
          <w:rFonts w:eastAsia="Arial" w:cs="Arial"/>
          <w:color w:val="000000"/>
        </w:rPr>
        <w:lastRenderedPageBreak/>
        <w:t xml:space="preserve">Així mateix pretén millorar la informació que es facilita a les persones internes estrangeres i concretar programes individuals de tractament amb objectius de futur adaptats a la seva situació real  d’inserció, de manera que els permeti construir una perspectiva de futur realista; evitar l’aïllament social i els circuits de marginalitat de la persona estrangera; millorar la coordinació amb les autoritats judicials, policials i administratives. </w:t>
      </w:r>
    </w:p>
    <w:p w:rsidR="006A4109" w:rsidRPr="00647306" w:rsidRDefault="006A4109" w:rsidP="00E930B2">
      <w:pPr>
        <w:rPr>
          <w:rFonts w:eastAsia="Arial" w:cs="Arial"/>
          <w:color w:val="000000"/>
        </w:rPr>
      </w:pPr>
      <w:r w:rsidRPr="00647306">
        <w:rPr>
          <w:rFonts w:eastAsia="Arial" w:cs="Arial"/>
          <w:color w:val="000000"/>
        </w:rPr>
        <w:t xml:space="preserve">Estableix els procediments informatius que s'han de dur a terme des de l'ingrés dels interns estrangers a </w:t>
      </w:r>
      <w:r>
        <w:rPr>
          <w:rFonts w:eastAsia="Arial" w:cs="Arial"/>
          <w:color w:val="000000"/>
        </w:rPr>
        <w:t xml:space="preserve">la </w:t>
      </w:r>
      <w:r w:rsidRPr="00647306">
        <w:rPr>
          <w:rFonts w:eastAsia="Arial" w:cs="Arial"/>
          <w:color w:val="000000"/>
        </w:rPr>
        <w:t xml:space="preserve">presó. </w:t>
      </w:r>
      <w:r>
        <w:rPr>
          <w:rFonts w:eastAsia="Arial" w:cs="Arial"/>
          <w:color w:val="000000"/>
        </w:rPr>
        <w:t>D’</w:t>
      </w:r>
      <w:r w:rsidRPr="00647306">
        <w:rPr>
          <w:rFonts w:eastAsia="Arial" w:cs="Arial"/>
          <w:color w:val="000000"/>
        </w:rPr>
        <w:t xml:space="preserve">una banda, els que van </w:t>
      </w:r>
      <w:r>
        <w:rPr>
          <w:rFonts w:eastAsia="Arial" w:cs="Arial"/>
          <w:color w:val="000000"/>
        </w:rPr>
        <w:t>adreçats</w:t>
      </w:r>
      <w:r w:rsidRPr="00647306">
        <w:rPr>
          <w:rFonts w:eastAsia="Arial" w:cs="Arial"/>
          <w:color w:val="000000"/>
        </w:rPr>
        <w:t xml:space="preserve"> als mateixos interns respecte als seus drets, marc legal i mesures que afectin a la seva situació penal i processal</w:t>
      </w:r>
      <w:r>
        <w:rPr>
          <w:rFonts w:eastAsia="Arial" w:cs="Arial"/>
          <w:color w:val="000000"/>
        </w:rPr>
        <w:t>.</w:t>
      </w:r>
      <w:r w:rsidRPr="00647306">
        <w:rPr>
          <w:rFonts w:eastAsia="Arial" w:cs="Arial"/>
          <w:color w:val="000000"/>
        </w:rPr>
        <w:t xml:space="preserve"> </w:t>
      </w:r>
      <w:r>
        <w:rPr>
          <w:rFonts w:eastAsia="Arial" w:cs="Arial"/>
          <w:color w:val="000000"/>
        </w:rPr>
        <w:t>De l’</w:t>
      </w:r>
      <w:r w:rsidRPr="00647306">
        <w:rPr>
          <w:rFonts w:eastAsia="Arial" w:cs="Arial"/>
          <w:color w:val="000000"/>
        </w:rPr>
        <w:t>altra, la comunicació amb les autoritats policials i judicials per tal de donar a conèixer la situació d</w:t>
      </w:r>
      <w:r>
        <w:rPr>
          <w:rFonts w:eastAsia="Arial" w:cs="Arial"/>
          <w:color w:val="000000"/>
        </w:rPr>
        <w:t>’</w:t>
      </w:r>
      <w:r w:rsidRPr="00647306">
        <w:rPr>
          <w:rFonts w:eastAsia="Arial" w:cs="Arial"/>
          <w:color w:val="000000"/>
        </w:rPr>
        <w:t>empresonament de la persona estrangera i reca</w:t>
      </w:r>
      <w:r>
        <w:rPr>
          <w:rFonts w:eastAsia="Arial" w:cs="Arial"/>
          <w:color w:val="000000"/>
        </w:rPr>
        <w:t>pt</w:t>
      </w:r>
      <w:r w:rsidRPr="00647306">
        <w:rPr>
          <w:rFonts w:eastAsia="Arial" w:cs="Arial"/>
          <w:color w:val="000000"/>
        </w:rPr>
        <w:t>ar informació sobre la situació de regulació de l’intern.</w:t>
      </w:r>
    </w:p>
    <w:p w:rsidR="006A4109" w:rsidRPr="00647306" w:rsidRDefault="006A4109" w:rsidP="00E930B2">
      <w:pPr>
        <w:rPr>
          <w:rFonts w:eastAsia="Arial" w:cs="Arial"/>
          <w:color w:val="000000"/>
        </w:rPr>
      </w:pPr>
      <w:r w:rsidRPr="00647306">
        <w:rPr>
          <w:rFonts w:eastAsia="Arial" w:cs="Arial"/>
          <w:color w:val="000000"/>
        </w:rPr>
        <w:t>També marca el procediment que s'ha de seguir en els diferents supòsits en qu</w:t>
      </w:r>
      <w:r>
        <w:rPr>
          <w:rFonts w:eastAsia="Arial" w:cs="Arial"/>
          <w:color w:val="000000"/>
        </w:rPr>
        <w:t>è</w:t>
      </w:r>
      <w:r w:rsidRPr="00647306">
        <w:rPr>
          <w:rFonts w:eastAsia="Arial" w:cs="Arial"/>
          <w:color w:val="000000"/>
        </w:rPr>
        <w:t xml:space="preserve"> les persones internes estrangeres es trobin en situació de ser expulsa</w:t>
      </w:r>
      <w:r>
        <w:rPr>
          <w:rFonts w:eastAsia="Arial" w:cs="Arial"/>
          <w:color w:val="000000"/>
        </w:rPr>
        <w:t>de</w:t>
      </w:r>
      <w:r w:rsidRPr="00647306">
        <w:rPr>
          <w:rFonts w:eastAsia="Arial" w:cs="Arial"/>
          <w:color w:val="000000"/>
        </w:rPr>
        <w:t xml:space="preserve">s als seus països d’origen o residència. </w:t>
      </w:r>
    </w:p>
    <w:p w:rsidR="006A4109" w:rsidRPr="00647306" w:rsidRDefault="006A4109" w:rsidP="00E930B2">
      <w:pPr>
        <w:rPr>
          <w:rFonts w:eastAsia="Arial" w:cs="Arial"/>
          <w:color w:val="000000"/>
        </w:rPr>
      </w:pPr>
      <w:r>
        <w:rPr>
          <w:rFonts w:eastAsia="Arial" w:cs="Arial"/>
          <w:color w:val="000000"/>
        </w:rPr>
        <w:t>La Circular 1/2013 insta</w:t>
      </w:r>
      <w:r w:rsidRPr="00647306">
        <w:rPr>
          <w:rFonts w:eastAsia="Arial" w:cs="Arial"/>
          <w:color w:val="000000"/>
        </w:rPr>
        <w:t xml:space="preserve"> que, des del moment de l'ingrés, es tingui especial cura amb el control i la intervenció sobre variables específiques imprescindibles, per poder avaluar el nivell real de possibilitats de reintegració en el nostre país i les alternatives legals disponibles. En aquesta valoració</w:t>
      </w:r>
      <w:r>
        <w:rPr>
          <w:rFonts w:eastAsia="Arial" w:cs="Arial"/>
          <w:color w:val="000000"/>
        </w:rPr>
        <w:t>,</w:t>
      </w:r>
      <w:r w:rsidRPr="00647306">
        <w:rPr>
          <w:rFonts w:eastAsia="Arial" w:cs="Arial"/>
          <w:color w:val="000000"/>
        </w:rPr>
        <w:t xml:space="preserve"> s’ha d’incloure especialment la planificació d’objectius de treball que evitin situacions de sortida a l’exterior on la persona estrangera es vegi abocada a la inclusió en circuïts de marginalitat i exclusió social. </w:t>
      </w:r>
    </w:p>
    <w:p w:rsidR="006A4109" w:rsidRPr="00647306" w:rsidRDefault="006A4109" w:rsidP="00E930B2">
      <w:pPr>
        <w:rPr>
          <w:rFonts w:eastAsia="Arial" w:cs="Arial"/>
          <w:color w:val="000000"/>
        </w:rPr>
      </w:pPr>
      <w:r>
        <w:rPr>
          <w:rFonts w:eastAsia="Arial" w:cs="Arial"/>
          <w:color w:val="000000"/>
        </w:rPr>
        <w:t>D’acord amb</w:t>
      </w:r>
      <w:r w:rsidRPr="00647306">
        <w:rPr>
          <w:rFonts w:eastAsia="Arial" w:cs="Arial"/>
          <w:color w:val="000000"/>
        </w:rPr>
        <w:t xml:space="preserve"> tot això estableix dos tipus d’itineraris possibles, el de la regularització i reinserció o el retorn als seus països d'origen. Per </w:t>
      </w:r>
      <w:r>
        <w:rPr>
          <w:rFonts w:eastAsia="Arial" w:cs="Arial"/>
          <w:color w:val="000000"/>
        </w:rPr>
        <w:t xml:space="preserve">a </w:t>
      </w:r>
      <w:r w:rsidRPr="00647306">
        <w:rPr>
          <w:rFonts w:eastAsia="Arial" w:cs="Arial"/>
          <w:color w:val="000000"/>
        </w:rPr>
        <w:t>cada</w:t>
      </w:r>
      <w:r>
        <w:rPr>
          <w:rFonts w:eastAsia="Arial" w:cs="Arial"/>
          <w:color w:val="000000"/>
        </w:rPr>
        <w:t xml:space="preserve"> </w:t>
      </w:r>
      <w:r w:rsidRPr="00647306">
        <w:rPr>
          <w:rFonts w:eastAsia="Arial" w:cs="Arial"/>
          <w:color w:val="000000"/>
        </w:rPr>
        <w:t xml:space="preserve">un d'aquests itineraris defineix els criteris </w:t>
      </w:r>
      <w:r>
        <w:rPr>
          <w:rFonts w:eastAsia="Arial" w:cs="Arial"/>
          <w:color w:val="000000"/>
        </w:rPr>
        <w:t>de</w:t>
      </w:r>
      <w:r w:rsidRPr="00647306">
        <w:rPr>
          <w:rFonts w:eastAsia="Arial" w:cs="Arial"/>
          <w:color w:val="000000"/>
        </w:rPr>
        <w:t xml:space="preserve"> classificació i les sortides a l’exterior: permisos, sortides programades i accés al medi obert. </w:t>
      </w:r>
    </w:p>
    <w:p w:rsidR="006A4109" w:rsidRPr="00647306" w:rsidRDefault="006A4109" w:rsidP="00E930B2">
      <w:pPr>
        <w:rPr>
          <w:rFonts w:eastAsia="Arial" w:cs="Arial"/>
          <w:bCs/>
          <w:color w:val="000000"/>
        </w:rPr>
      </w:pPr>
      <w:r w:rsidRPr="00647306">
        <w:rPr>
          <w:rFonts w:eastAsia="Arial" w:cs="Arial"/>
          <w:color w:val="000000"/>
        </w:rPr>
        <w:t>Les perspectives de futur en relació a</w:t>
      </w:r>
      <w:r>
        <w:rPr>
          <w:rFonts w:eastAsia="Arial" w:cs="Arial"/>
          <w:color w:val="000000"/>
        </w:rPr>
        <w:t>mb la població estrangera ha d’establir</w:t>
      </w:r>
      <w:r w:rsidRPr="00647306">
        <w:rPr>
          <w:rFonts w:eastAsia="Arial" w:cs="Arial"/>
          <w:color w:val="000000"/>
        </w:rPr>
        <w:t>:</w:t>
      </w:r>
    </w:p>
    <w:p w:rsidR="006A4109" w:rsidRPr="00647306" w:rsidRDefault="006A4109" w:rsidP="00E930B2">
      <w:pPr>
        <w:rPr>
          <w:rFonts w:eastAsia="Arial" w:cs="Arial"/>
          <w:color w:val="000000"/>
        </w:rPr>
      </w:pPr>
      <w:r w:rsidRPr="00647306">
        <w:rPr>
          <w:rFonts w:eastAsia="Arial" w:cs="Arial"/>
          <w:color w:val="000000"/>
        </w:rPr>
        <w:t xml:space="preserve">Tot i les previsions a l’alça, la població estrangera a </w:t>
      </w:r>
      <w:r>
        <w:rPr>
          <w:rFonts w:eastAsia="Arial" w:cs="Arial"/>
          <w:color w:val="000000"/>
        </w:rPr>
        <w:t xml:space="preserve">les </w:t>
      </w:r>
      <w:r w:rsidRPr="00647306">
        <w:rPr>
          <w:rFonts w:eastAsia="Arial" w:cs="Arial"/>
          <w:color w:val="000000"/>
        </w:rPr>
        <w:t xml:space="preserve">presons s’ha estancat. Però el seu impacte en l'àmbit penitenciari continua </w:t>
      </w:r>
      <w:r>
        <w:rPr>
          <w:rFonts w:eastAsia="Arial" w:cs="Arial"/>
          <w:color w:val="000000"/>
        </w:rPr>
        <w:t>es</w:t>
      </w:r>
      <w:r w:rsidRPr="00647306">
        <w:rPr>
          <w:rFonts w:eastAsia="Arial" w:cs="Arial"/>
          <w:color w:val="000000"/>
        </w:rPr>
        <w:t xml:space="preserve">sent molt important, no </w:t>
      </w:r>
      <w:r>
        <w:rPr>
          <w:rFonts w:eastAsia="Arial" w:cs="Arial"/>
          <w:color w:val="000000"/>
        </w:rPr>
        <w:t>solament</w:t>
      </w:r>
      <w:r w:rsidRPr="00647306">
        <w:rPr>
          <w:rFonts w:eastAsia="Arial" w:cs="Arial"/>
          <w:color w:val="000000"/>
        </w:rPr>
        <w:t xml:space="preserve"> qualitativa</w:t>
      </w:r>
      <w:r>
        <w:rPr>
          <w:rFonts w:eastAsia="Arial" w:cs="Arial"/>
          <w:color w:val="000000"/>
        </w:rPr>
        <w:t>ment</w:t>
      </w:r>
      <w:r w:rsidRPr="00647306">
        <w:rPr>
          <w:rFonts w:eastAsia="Arial" w:cs="Arial"/>
          <w:color w:val="000000"/>
        </w:rPr>
        <w:t xml:space="preserve"> sinó </w:t>
      </w:r>
      <w:r>
        <w:rPr>
          <w:rFonts w:eastAsia="Arial" w:cs="Arial"/>
          <w:color w:val="000000"/>
        </w:rPr>
        <w:t xml:space="preserve">també </w:t>
      </w:r>
      <w:r w:rsidRPr="00647306">
        <w:rPr>
          <w:rFonts w:eastAsia="Arial" w:cs="Arial"/>
          <w:color w:val="000000"/>
        </w:rPr>
        <w:t>quantitativa</w:t>
      </w:r>
      <w:r>
        <w:rPr>
          <w:rFonts w:eastAsia="Arial" w:cs="Arial"/>
          <w:color w:val="000000"/>
        </w:rPr>
        <w:t xml:space="preserve">. Demana, per tant, </w:t>
      </w:r>
      <w:r w:rsidRPr="00647306">
        <w:rPr>
          <w:rFonts w:eastAsia="Arial" w:cs="Arial"/>
          <w:color w:val="000000"/>
        </w:rPr>
        <w:t>un</w:t>
      </w:r>
      <w:r>
        <w:rPr>
          <w:rFonts w:eastAsia="Arial" w:cs="Arial"/>
          <w:color w:val="000000"/>
        </w:rPr>
        <w:t>a</w:t>
      </w:r>
      <w:r w:rsidRPr="00647306">
        <w:rPr>
          <w:rFonts w:eastAsia="Arial" w:cs="Arial"/>
          <w:color w:val="000000"/>
        </w:rPr>
        <w:t xml:space="preserve"> anàlisi i adaptació cont</w:t>
      </w:r>
      <w:r>
        <w:rPr>
          <w:rFonts w:eastAsia="Arial" w:cs="Arial"/>
          <w:color w:val="000000"/>
        </w:rPr>
        <w:t>í</w:t>
      </w:r>
      <w:r w:rsidRPr="00647306">
        <w:rPr>
          <w:rFonts w:eastAsia="Arial" w:cs="Arial"/>
          <w:color w:val="000000"/>
        </w:rPr>
        <w:t>nua als requeriments de la població i al marc legal.</w:t>
      </w:r>
    </w:p>
    <w:p w:rsidR="006A4109" w:rsidRPr="00647306" w:rsidRDefault="006A4109" w:rsidP="00E930B2">
      <w:pPr>
        <w:rPr>
          <w:rFonts w:eastAsia="Arial" w:cs="Arial"/>
          <w:color w:val="000000"/>
        </w:rPr>
      </w:pPr>
      <w:r>
        <w:rPr>
          <w:rFonts w:eastAsia="Arial" w:cs="Arial"/>
          <w:color w:val="000000"/>
        </w:rPr>
        <w:t xml:space="preserve">És </w:t>
      </w:r>
      <w:r w:rsidRPr="00647306">
        <w:rPr>
          <w:rFonts w:eastAsia="Arial" w:cs="Arial"/>
          <w:color w:val="000000"/>
        </w:rPr>
        <w:t xml:space="preserve">clar que els canvis legislatius han reforçat aspectes restrictius quant a les possibilitats dels estrangers d'accedir a sortides a l'exterior. Amb el temps, això anirà suposant un nombre important d'interns que compliran les seves condemnes íntegrament sense haver tingut contacte amb l'exterior. </w:t>
      </w:r>
    </w:p>
    <w:p w:rsidR="006A4109" w:rsidRPr="00647306" w:rsidRDefault="006A4109" w:rsidP="00E930B2">
      <w:pPr>
        <w:rPr>
          <w:rFonts w:eastAsia="Arial" w:cs="Arial"/>
          <w:color w:val="000000"/>
        </w:rPr>
      </w:pPr>
      <w:r w:rsidRPr="00647306">
        <w:rPr>
          <w:rFonts w:eastAsia="Arial" w:cs="Arial"/>
          <w:color w:val="000000"/>
        </w:rPr>
        <w:t>En la praxi quotidiana la casuística</w:t>
      </w:r>
      <w:r>
        <w:rPr>
          <w:rFonts w:eastAsia="Arial" w:cs="Arial"/>
          <w:color w:val="000000"/>
        </w:rPr>
        <w:t xml:space="preserve"> legal i administrativa és tan à</w:t>
      </w:r>
      <w:r w:rsidRPr="00647306">
        <w:rPr>
          <w:rFonts w:eastAsia="Arial" w:cs="Arial"/>
          <w:color w:val="000000"/>
        </w:rPr>
        <w:t xml:space="preserve">mplia, diversa, i en ocasions capritxosa, que estimula la il·lusió </w:t>
      </w:r>
      <w:r>
        <w:rPr>
          <w:rFonts w:eastAsia="Arial" w:cs="Arial"/>
          <w:color w:val="000000"/>
        </w:rPr>
        <w:t>per</w:t>
      </w:r>
      <w:r w:rsidRPr="00647306">
        <w:rPr>
          <w:rFonts w:eastAsia="Arial" w:cs="Arial"/>
          <w:color w:val="000000"/>
        </w:rPr>
        <w:t xml:space="preserve"> la permanència irregular en el país als interns afectats o, fins i tot, de tendències futures a canvis de marc legal favorables.</w:t>
      </w:r>
    </w:p>
    <w:p w:rsidR="006A4109" w:rsidRPr="00647306" w:rsidRDefault="006A4109" w:rsidP="00E930B2">
      <w:pPr>
        <w:rPr>
          <w:rFonts w:eastAsia="Arial" w:cs="Arial"/>
          <w:color w:val="000000"/>
        </w:rPr>
      </w:pPr>
      <w:r w:rsidRPr="00647306">
        <w:rPr>
          <w:rFonts w:eastAsia="Arial" w:cs="Arial"/>
          <w:color w:val="000000"/>
        </w:rPr>
        <w:t>Aquest escenari ac</w:t>
      </w:r>
      <w:r>
        <w:rPr>
          <w:rFonts w:eastAsia="Arial" w:cs="Arial"/>
          <w:color w:val="000000"/>
        </w:rPr>
        <w:t>tua com un handicap per animar e</w:t>
      </w:r>
      <w:r w:rsidRPr="00647306">
        <w:rPr>
          <w:rFonts w:eastAsia="Arial" w:cs="Arial"/>
          <w:color w:val="000000"/>
        </w:rPr>
        <w:t>ls interns irregulars a acceptar i acollir-se a itineraris de retorn. En aquest sentit, cal ser especialment rigorosos en la definició de perfils i conseqüents en el</w:t>
      </w:r>
      <w:r>
        <w:rPr>
          <w:rFonts w:eastAsia="Arial" w:cs="Arial"/>
          <w:color w:val="000000"/>
        </w:rPr>
        <w:t>s</w:t>
      </w:r>
      <w:r w:rsidRPr="00647306">
        <w:rPr>
          <w:rFonts w:eastAsia="Arial" w:cs="Arial"/>
          <w:color w:val="000000"/>
        </w:rPr>
        <w:t xml:space="preserve"> pl</w:t>
      </w:r>
      <w:r>
        <w:rPr>
          <w:rFonts w:eastAsia="Arial" w:cs="Arial"/>
          <w:color w:val="000000"/>
        </w:rPr>
        <w:t>ans de treball individual. Els S</w:t>
      </w:r>
      <w:r w:rsidRPr="00647306">
        <w:rPr>
          <w:rFonts w:eastAsia="Arial" w:cs="Arial"/>
          <w:color w:val="000000"/>
        </w:rPr>
        <w:t>erve</w:t>
      </w:r>
      <w:r>
        <w:rPr>
          <w:rFonts w:eastAsia="Arial" w:cs="Arial"/>
          <w:color w:val="000000"/>
        </w:rPr>
        <w:t>is C</w:t>
      </w:r>
      <w:r w:rsidRPr="00647306">
        <w:rPr>
          <w:rFonts w:eastAsia="Arial" w:cs="Arial"/>
          <w:color w:val="000000"/>
        </w:rPr>
        <w:t>entrals, amb la seva capacitat supervisora, han de conduir aquest esforç d’interpretació uniforme de l</w:t>
      </w:r>
      <w:r>
        <w:rPr>
          <w:rFonts w:eastAsia="Arial" w:cs="Arial"/>
          <w:color w:val="000000"/>
        </w:rPr>
        <w:t xml:space="preserve">a </w:t>
      </w:r>
      <w:r w:rsidRPr="00647306">
        <w:rPr>
          <w:rFonts w:eastAsia="Arial" w:cs="Arial"/>
          <w:color w:val="000000"/>
        </w:rPr>
        <w:t>Circular</w:t>
      </w:r>
      <w:r w:rsidRPr="00573B2D">
        <w:rPr>
          <w:rFonts w:eastAsia="Arial" w:cs="Arial"/>
          <w:color w:val="000000"/>
        </w:rPr>
        <w:t xml:space="preserve"> </w:t>
      </w:r>
      <w:r w:rsidRPr="00647306">
        <w:rPr>
          <w:rFonts w:eastAsia="Arial" w:cs="Arial"/>
          <w:color w:val="000000"/>
        </w:rPr>
        <w:t>esmentada.</w:t>
      </w:r>
    </w:p>
    <w:p w:rsidR="006A4109" w:rsidRPr="00647306" w:rsidRDefault="006A4109" w:rsidP="00E930B2">
      <w:pPr>
        <w:rPr>
          <w:rFonts w:eastAsia="Arial" w:cs="Arial"/>
          <w:color w:val="000000"/>
        </w:rPr>
      </w:pPr>
      <w:r>
        <w:rPr>
          <w:rFonts w:eastAsia="Arial" w:cs="Arial"/>
          <w:color w:val="000000"/>
        </w:rPr>
        <w:t>A fi d’avaluar-ho,</w:t>
      </w:r>
      <w:r w:rsidRPr="00647306">
        <w:rPr>
          <w:rFonts w:eastAsia="Arial" w:cs="Arial"/>
          <w:color w:val="000000"/>
        </w:rPr>
        <w:t xml:space="preserve"> no es compta amb una informació molt precisa de les expulsions que efectivament es duen a terme en aquests casos, així com es desconeix també el nombre d'aquests interns que en sortir de la presó romanen al territori de l'Estat i de quina manera aquesta sortida en llibertat, sense haver tingut sortides prèvies, ha afectat les seves trajectòries. </w:t>
      </w:r>
    </w:p>
    <w:p w:rsidR="006A4109" w:rsidRPr="00647306" w:rsidRDefault="006A4109" w:rsidP="00E930B2">
      <w:pPr>
        <w:rPr>
          <w:rFonts w:eastAsia="Arial" w:cs="Arial"/>
          <w:color w:val="000000"/>
        </w:rPr>
      </w:pPr>
      <w:r w:rsidRPr="00647306">
        <w:rPr>
          <w:rFonts w:eastAsia="Arial" w:cs="Arial"/>
          <w:color w:val="000000"/>
        </w:rPr>
        <w:t xml:space="preserve">Un cas especial, actualment en estudi, es refereix als joves estrangers que compleixen condemnes. El seu perfil presenta característiques específiques que fan necessari una certa flexibilització dels criteris definits en la Circular 1/2013. </w:t>
      </w:r>
    </w:p>
    <w:p w:rsidR="006A4109" w:rsidRPr="00F02D52" w:rsidRDefault="006A4109" w:rsidP="0070401F">
      <w:pPr>
        <w:pStyle w:val="Ttol3"/>
      </w:pPr>
      <w:bookmarkStart w:id="299" w:name="_Toc463743333"/>
      <w:bookmarkStart w:id="300" w:name="_Toc463867782"/>
      <w:bookmarkStart w:id="301" w:name="_Toc464685669"/>
      <w:bookmarkStart w:id="302" w:name="_Toc465293400"/>
      <w:r>
        <w:lastRenderedPageBreak/>
        <w:t xml:space="preserve">Col·lectiu de </w:t>
      </w:r>
      <w:r w:rsidRPr="00EB1B4D">
        <w:t>dones</w:t>
      </w:r>
      <w:bookmarkEnd w:id="299"/>
      <w:bookmarkEnd w:id="300"/>
      <w:bookmarkEnd w:id="301"/>
      <w:bookmarkEnd w:id="302"/>
    </w:p>
    <w:p w:rsidR="006A4109" w:rsidRPr="00647306" w:rsidRDefault="006A4109" w:rsidP="00E930B2">
      <w:pPr>
        <w:rPr>
          <w:rFonts w:cs="Arial"/>
        </w:rPr>
      </w:pPr>
      <w:r w:rsidRPr="00647306">
        <w:rPr>
          <w:rFonts w:cs="Arial"/>
        </w:rPr>
        <w:t>Al febrer de 1984</w:t>
      </w:r>
      <w:r>
        <w:rPr>
          <w:rFonts w:cs="Arial"/>
        </w:rPr>
        <w:t>,</w:t>
      </w:r>
      <w:r w:rsidRPr="00647306">
        <w:rPr>
          <w:rFonts w:cs="Arial"/>
        </w:rPr>
        <w:t xml:space="preserve"> </w:t>
      </w:r>
      <w:r>
        <w:rPr>
          <w:rFonts w:cs="Arial"/>
        </w:rPr>
        <w:t xml:space="preserve">el </w:t>
      </w:r>
      <w:r w:rsidRPr="00647306">
        <w:rPr>
          <w:rFonts w:cs="Arial"/>
        </w:rPr>
        <w:t>CP de Dones estava ubicat a la Trinitat. La situació estava marcada per unes infraestructures deficitàries, amb un personal insuficient, unes obres de transformac</w:t>
      </w:r>
      <w:r>
        <w:rPr>
          <w:rFonts w:cs="Arial"/>
        </w:rPr>
        <w:t>ió d’aquest Centre per adaptar-l</w:t>
      </w:r>
      <w:r w:rsidRPr="00647306">
        <w:rPr>
          <w:rFonts w:cs="Arial"/>
        </w:rPr>
        <w:t xml:space="preserve">o a un nou </w:t>
      </w:r>
      <w:r>
        <w:rPr>
          <w:rFonts w:cs="Arial"/>
        </w:rPr>
        <w:t>ú</w:t>
      </w:r>
      <w:r w:rsidRPr="00647306">
        <w:rPr>
          <w:rFonts w:cs="Arial"/>
        </w:rPr>
        <w:t>s posterior (futur CP de Joves), amb una empremta present encara de la gestió de les anomenades Cruzades (ordre religiosa), que van rescindir el seu contracte l’any 1978</w:t>
      </w:r>
      <w:r>
        <w:rPr>
          <w:rFonts w:cs="Arial"/>
        </w:rPr>
        <w:t xml:space="preserve"> i van</w:t>
      </w:r>
      <w:r w:rsidRPr="00647306">
        <w:rPr>
          <w:rFonts w:cs="Arial"/>
        </w:rPr>
        <w:t xml:space="preserve"> deixa</w:t>
      </w:r>
      <w:r>
        <w:rPr>
          <w:rFonts w:cs="Arial"/>
        </w:rPr>
        <w:t>r el CP</w:t>
      </w:r>
      <w:r w:rsidRPr="00647306">
        <w:rPr>
          <w:rFonts w:cs="Arial"/>
        </w:rPr>
        <w:t xml:space="preserve"> en un estat de precarietat, fins que progressivament es van incorporar funcion</w:t>
      </w:r>
      <w:r>
        <w:rPr>
          <w:rFonts w:cs="Arial"/>
        </w:rPr>
        <w:t>à</w:t>
      </w:r>
      <w:r w:rsidRPr="00647306">
        <w:rPr>
          <w:rFonts w:cs="Arial"/>
        </w:rPr>
        <w:t>ries professionals del cos d’</w:t>
      </w:r>
      <w:r>
        <w:rPr>
          <w:rFonts w:cs="Arial"/>
        </w:rPr>
        <w:t>institucions penitencià</w:t>
      </w:r>
      <w:r w:rsidRPr="00647306">
        <w:rPr>
          <w:rFonts w:cs="Arial"/>
        </w:rPr>
        <w:t>ries (IP), de l’escala femenina.</w:t>
      </w:r>
    </w:p>
    <w:p w:rsidR="006A4109" w:rsidRPr="00647306" w:rsidRDefault="006A4109" w:rsidP="00E930B2">
      <w:pPr>
        <w:rPr>
          <w:rFonts w:cs="Arial"/>
        </w:rPr>
      </w:pPr>
      <w:r w:rsidRPr="00647306">
        <w:rPr>
          <w:rFonts w:cs="Arial"/>
        </w:rPr>
        <w:t>El CP de Dones (Wad-Ras)</w:t>
      </w:r>
      <w:r>
        <w:rPr>
          <w:rFonts w:cs="Arial"/>
        </w:rPr>
        <w:t xml:space="preserve"> va començar a funcionar com a c</w:t>
      </w:r>
      <w:r w:rsidRPr="00647306">
        <w:rPr>
          <w:rFonts w:cs="Arial"/>
        </w:rPr>
        <w:t>entre el mes d’octubre de 1984. A finals de 1985</w:t>
      </w:r>
      <w:r>
        <w:rPr>
          <w:rFonts w:cs="Arial"/>
        </w:rPr>
        <w:t>,</w:t>
      </w:r>
      <w:r w:rsidRPr="00647306">
        <w:rPr>
          <w:rFonts w:cs="Arial"/>
        </w:rPr>
        <w:t xml:space="preserve"> </w:t>
      </w:r>
      <w:r>
        <w:rPr>
          <w:rFonts w:cs="Arial"/>
        </w:rPr>
        <w:t>s’hi</w:t>
      </w:r>
      <w:r w:rsidRPr="00647306">
        <w:rPr>
          <w:rFonts w:cs="Arial"/>
        </w:rPr>
        <w:t xml:space="preserve"> va incorporar un segon edifici. Les cel</w:t>
      </w:r>
      <w:r>
        <w:rPr>
          <w:rFonts w:cs="Arial"/>
        </w:rPr>
        <w:t>·</w:t>
      </w:r>
      <w:r w:rsidRPr="00647306">
        <w:rPr>
          <w:rFonts w:cs="Arial"/>
        </w:rPr>
        <w:t xml:space="preserve">les eren comunes amb una capacitat de 8 a 10 places. La massificació d’aquell moment </w:t>
      </w:r>
      <w:r>
        <w:rPr>
          <w:rFonts w:cs="Arial"/>
        </w:rPr>
        <w:t xml:space="preserve">va </w:t>
      </w:r>
      <w:r w:rsidRPr="00647306">
        <w:rPr>
          <w:rFonts w:cs="Arial"/>
        </w:rPr>
        <w:t>provoca</w:t>
      </w:r>
      <w:r>
        <w:rPr>
          <w:rFonts w:cs="Arial"/>
        </w:rPr>
        <w:t>r</w:t>
      </w:r>
      <w:r w:rsidRPr="00647306">
        <w:rPr>
          <w:rFonts w:cs="Arial"/>
        </w:rPr>
        <w:t xml:space="preserve"> la presència de 14/16 dones per cel</w:t>
      </w:r>
      <w:r>
        <w:rPr>
          <w:rFonts w:cs="Arial"/>
        </w:rPr>
        <w:t>·la, amb més de 300 dones al c</w:t>
      </w:r>
      <w:r w:rsidRPr="00647306">
        <w:rPr>
          <w:rFonts w:cs="Arial"/>
        </w:rPr>
        <w:t>entre.</w:t>
      </w:r>
    </w:p>
    <w:p w:rsidR="006A4109" w:rsidRPr="00647306" w:rsidRDefault="006A4109" w:rsidP="00E930B2">
      <w:pPr>
        <w:rPr>
          <w:rFonts w:cs="Arial"/>
        </w:rPr>
      </w:pPr>
      <w:r w:rsidRPr="00647306">
        <w:rPr>
          <w:rFonts w:cs="Arial"/>
        </w:rPr>
        <w:t>La dotació transferida de personal de servei interior era escassa, a càrrec de personal</w:t>
      </w:r>
      <w:r>
        <w:rPr>
          <w:rFonts w:cs="Arial"/>
        </w:rPr>
        <w:t xml:space="preserve"> de l’escala femenina del cos d’</w:t>
      </w:r>
      <w:r w:rsidRPr="00647306">
        <w:rPr>
          <w:rFonts w:cs="Arial"/>
        </w:rPr>
        <w:t>IP, i els pocs homes que h</w:t>
      </w:r>
      <w:r>
        <w:rPr>
          <w:rFonts w:cs="Arial"/>
        </w:rPr>
        <w:t>i h</w:t>
      </w:r>
      <w:r w:rsidRPr="00647306">
        <w:rPr>
          <w:rFonts w:cs="Arial"/>
        </w:rPr>
        <w:t xml:space="preserve">avien estaven assignats a serveis sense contacte amb l’interior, amb molta rotació del personal. Pel que </w:t>
      </w:r>
      <w:r>
        <w:rPr>
          <w:rFonts w:cs="Arial"/>
        </w:rPr>
        <w:t>fa</w:t>
      </w:r>
      <w:r w:rsidRPr="00647306">
        <w:rPr>
          <w:rFonts w:cs="Arial"/>
        </w:rPr>
        <w:t xml:space="preserve"> al servei de rehabilitació</w:t>
      </w:r>
      <w:r>
        <w:rPr>
          <w:rFonts w:cs="Arial"/>
        </w:rPr>
        <w:t>,</w:t>
      </w:r>
      <w:r w:rsidRPr="00647306">
        <w:rPr>
          <w:rFonts w:cs="Arial"/>
        </w:rPr>
        <w:t xml:space="preserve"> la dotació era de dues educadores, una treballadora social i una mestra. Va ser l’any 1985 quan es van incorporar una pedagoga, una jurista criminòloga i un psicòleg.  </w:t>
      </w:r>
    </w:p>
    <w:p w:rsidR="006A4109" w:rsidRPr="00647306" w:rsidRDefault="006A4109" w:rsidP="00E930B2">
      <w:pPr>
        <w:rPr>
          <w:rFonts w:cs="Arial"/>
        </w:rPr>
      </w:pPr>
      <w:r w:rsidRPr="00647306">
        <w:rPr>
          <w:rFonts w:cs="Arial"/>
        </w:rPr>
        <w:t>La situació de les internes a</w:t>
      </w:r>
      <w:r>
        <w:rPr>
          <w:rFonts w:cs="Arial"/>
        </w:rPr>
        <w:t>l</w:t>
      </w:r>
      <w:r w:rsidRPr="00647306">
        <w:rPr>
          <w:rFonts w:cs="Arial"/>
        </w:rPr>
        <w:t xml:space="preserve"> territori (Girona, Lleida i Tarragona) es limitava a unes poques places en espais apartats de la resta de la població masculina, no adaptades per donar resposta a les necessitats específiques que podien tenir les dones i sense una intervenció més enllà de l</w:t>
      </w:r>
      <w:r>
        <w:rPr>
          <w:rFonts w:cs="Arial"/>
        </w:rPr>
        <w:t>a que oferia el servei interior</w:t>
      </w:r>
      <w:r w:rsidRPr="00647306">
        <w:rPr>
          <w:rFonts w:cs="Arial"/>
        </w:rPr>
        <w:t xml:space="preserve"> i/o alguna altr</w:t>
      </w:r>
      <w:r>
        <w:rPr>
          <w:rFonts w:cs="Arial"/>
        </w:rPr>
        <w:t>a</w:t>
      </w:r>
      <w:r w:rsidRPr="00647306">
        <w:rPr>
          <w:rFonts w:cs="Arial"/>
        </w:rPr>
        <w:t xml:space="preserve"> del voluntariat religiós. </w:t>
      </w:r>
    </w:p>
    <w:p w:rsidR="006A4109" w:rsidRPr="00647306" w:rsidRDefault="006A4109" w:rsidP="00E930B2">
      <w:pPr>
        <w:rPr>
          <w:rFonts w:cs="Arial"/>
        </w:rPr>
      </w:pPr>
      <w:r w:rsidRPr="00647306">
        <w:rPr>
          <w:rFonts w:cs="Arial"/>
        </w:rPr>
        <w:t xml:space="preserve">A finals dels 80 a Catalunya </w:t>
      </w:r>
      <w:r>
        <w:rPr>
          <w:rFonts w:cs="Arial"/>
        </w:rPr>
        <w:t>se</w:t>
      </w:r>
      <w:r w:rsidRPr="00647306">
        <w:rPr>
          <w:rFonts w:cs="Arial"/>
        </w:rPr>
        <w:t xml:space="preserve"> suprimeixen el</w:t>
      </w:r>
      <w:r>
        <w:rPr>
          <w:rFonts w:cs="Arial"/>
        </w:rPr>
        <w:t>s</w:t>
      </w:r>
      <w:r w:rsidRPr="00647306">
        <w:rPr>
          <w:rFonts w:cs="Arial"/>
        </w:rPr>
        <w:t xml:space="preserve"> cossos de servei interior tradicionals, per gènere, </w:t>
      </w:r>
      <w:r>
        <w:rPr>
          <w:rFonts w:cs="Arial"/>
        </w:rPr>
        <w:t xml:space="preserve">i així es </w:t>
      </w:r>
      <w:r w:rsidRPr="00647306">
        <w:rPr>
          <w:rFonts w:cs="Arial"/>
        </w:rPr>
        <w:t>crea un únic cos. Amb un impacte general de normalitz</w:t>
      </w:r>
      <w:r>
        <w:rPr>
          <w:rFonts w:cs="Arial"/>
        </w:rPr>
        <w:t xml:space="preserve">ació en el sistema penitenciari, </w:t>
      </w:r>
      <w:r w:rsidRPr="00647306">
        <w:rPr>
          <w:rFonts w:cs="Arial"/>
        </w:rPr>
        <w:t>però molt especialment en l’àmbit de la intervenció amb les dones.</w:t>
      </w:r>
    </w:p>
    <w:p w:rsidR="006A4109" w:rsidRPr="00647306" w:rsidRDefault="006A4109" w:rsidP="00E930B2">
      <w:pPr>
        <w:rPr>
          <w:rFonts w:cs="Arial"/>
        </w:rPr>
      </w:pPr>
      <w:r w:rsidRPr="00647306">
        <w:rPr>
          <w:rFonts w:cs="Arial"/>
        </w:rPr>
        <w:t xml:space="preserve">L’any </w:t>
      </w:r>
      <w:r>
        <w:rPr>
          <w:rFonts w:cs="Arial"/>
        </w:rPr>
        <w:t>19</w:t>
      </w:r>
      <w:r w:rsidRPr="00647306">
        <w:rPr>
          <w:rFonts w:cs="Arial"/>
        </w:rPr>
        <w:t xml:space="preserve">90 la situació va </w:t>
      </w:r>
      <w:r>
        <w:rPr>
          <w:rFonts w:cs="Arial"/>
        </w:rPr>
        <w:t>derivar en un augment</w:t>
      </w:r>
      <w:r w:rsidRPr="00647306">
        <w:rPr>
          <w:rFonts w:cs="Arial"/>
        </w:rPr>
        <w:t xml:space="preserve"> de conflictivitat, fins </w:t>
      </w:r>
      <w:r>
        <w:rPr>
          <w:rFonts w:cs="Arial"/>
        </w:rPr>
        <w:t>que es v</w:t>
      </w:r>
      <w:r w:rsidRPr="00647306">
        <w:rPr>
          <w:rFonts w:cs="Arial"/>
        </w:rPr>
        <w:t>a produir un motí, per la qual cosa es van introduir canvis en l’organització i funcionament, de caràcter ambiental, respecte a la dotació de personal, potenciació de l</w:t>
      </w:r>
      <w:r>
        <w:rPr>
          <w:rFonts w:cs="Arial"/>
        </w:rPr>
        <w:t>’</w:t>
      </w:r>
      <w:r w:rsidRPr="00647306">
        <w:rPr>
          <w:rFonts w:cs="Arial"/>
        </w:rPr>
        <w:t>escola,</w:t>
      </w:r>
      <w:r>
        <w:rPr>
          <w:rFonts w:cs="Arial"/>
        </w:rPr>
        <w:t xml:space="preserve"> fet</w:t>
      </w:r>
      <w:r w:rsidRPr="00647306">
        <w:rPr>
          <w:rFonts w:cs="Arial"/>
        </w:rPr>
        <w:t xml:space="preserve"> que </w:t>
      </w:r>
      <w:r>
        <w:rPr>
          <w:rFonts w:cs="Arial"/>
        </w:rPr>
        <w:t xml:space="preserve">va </w:t>
      </w:r>
      <w:r w:rsidRPr="00647306">
        <w:rPr>
          <w:rFonts w:cs="Arial"/>
        </w:rPr>
        <w:t>provocar una mi</w:t>
      </w:r>
      <w:r>
        <w:rPr>
          <w:rFonts w:cs="Arial"/>
        </w:rPr>
        <w:t>llora en la dinàmica del Centre, i</w:t>
      </w:r>
      <w:r w:rsidRPr="00647306">
        <w:rPr>
          <w:rFonts w:cs="Arial"/>
        </w:rPr>
        <w:t xml:space="preserve"> en general en la intervenció penitenci</w:t>
      </w:r>
      <w:r>
        <w:rPr>
          <w:rFonts w:cs="Arial"/>
        </w:rPr>
        <w:t>à</w:t>
      </w:r>
      <w:r w:rsidRPr="00647306">
        <w:rPr>
          <w:rFonts w:cs="Arial"/>
        </w:rPr>
        <w:t xml:space="preserve">ria amb la població femenina </w:t>
      </w:r>
      <w:r>
        <w:rPr>
          <w:rFonts w:cs="Arial"/>
        </w:rPr>
        <w:t>en</w:t>
      </w:r>
      <w:r w:rsidRPr="00647306">
        <w:rPr>
          <w:rFonts w:cs="Arial"/>
        </w:rPr>
        <w:t xml:space="preserve"> començar a tenir present la perspectiva de gènere </w:t>
      </w:r>
      <w:r>
        <w:rPr>
          <w:rFonts w:cs="Arial"/>
        </w:rPr>
        <w:t>per poder-ho abordar adequadament</w:t>
      </w:r>
      <w:r w:rsidRPr="00647306">
        <w:rPr>
          <w:rFonts w:cs="Arial"/>
        </w:rPr>
        <w:t xml:space="preserve">. </w:t>
      </w:r>
    </w:p>
    <w:p w:rsidR="006A4109" w:rsidRPr="00647306" w:rsidRDefault="006A4109" w:rsidP="00E930B2">
      <w:pPr>
        <w:rPr>
          <w:rFonts w:cs="Arial"/>
        </w:rPr>
      </w:pPr>
      <w:r w:rsidRPr="00647306">
        <w:rPr>
          <w:rFonts w:cs="Arial"/>
        </w:rPr>
        <w:t>A la dècada dels 90 s’obren dos mòduls</w:t>
      </w:r>
      <w:r w:rsidRPr="0011090D">
        <w:rPr>
          <w:rFonts w:cs="Arial"/>
        </w:rPr>
        <w:t xml:space="preserve"> </w:t>
      </w:r>
      <w:r w:rsidRPr="00647306">
        <w:rPr>
          <w:rFonts w:cs="Arial"/>
        </w:rPr>
        <w:t xml:space="preserve">nous, un al CP Ponent i un altre al CP Brians Dones (1993). Amb aquesta ampliació d’oferta de places es va poder desmassificar i diversificar la demanda de places en centres/unitats de compliment i  de preventives. </w:t>
      </w:r>
    </w:p>
    <w:p w:rsidR="006A4109" w:rsidRPr="00647306" w:rsidRDefault="006A4109" w:rsidP="00E930B2">
      <w:pPr>
        <w:rPr>
          <w:rFonts w:cs="Arial"/>
        </w:rPr>
      </w:pPr>
      <w:r w:rsidRPr="00647306">
        <w:rPr>
          <w:rFonts w:cs="Arial"/>
        </w:rPr>
        <w:t xml:space="preserve">Els nous equipaments de CP Puig de les Basses (2014) i el CP Mas d’Enric (2015) incorporen un mòdul exclusiu per a dones d’una capacitat aproximada de 60 places. Actualment, cap dels centres penitenciaris són exclusius per a dones, </w:t>
      </w:r>
      <w:r>
        <w:rPr>
          <w:rFonts w:cs="Arial"/>
        </w:rPr>
        <w:t>atès</w:t>
      </w:r>
      <w:r w:rsidRPr="00647306">
        <w:rPr>
          <w:rFonts w:cs="Arial"/>
        </w:rPr>
        <w:t xml:space="preserve"> que el CP </w:t>
      </w:r>
      <w:r>
        <w:rPr>
          <w:rFonts w:cs="Arial"/>
        </w:rPr>
        <w:t xml:space="preserve">de </w:t>
      </w:r>
      <w:r w:rsidRPr="00647306">
        <w:rPr>
          <w:rFonts w:cs="Arial"/>
        </w:rPr>
        <w:t xml:space="preserve">Dones acull una important </w:t>
      </w:r>
      <w:r>
        <w:rPr>
          <w:rFonts w:cs="Arial"/>
        </w:rPr>
        <w:t>s</w:t>
      </w:r>
      <w:r w:rsidRPr="00647306">
        <w:rPr>
          <w:rFonts w:cs="Arial"/>
        </w:rPr>
        <w:t xml:space="preserve">ecció </w:t>
      </w:r>
      <w:r>
        <w:rPr>
          <w:rFonts w:cs="Arial"/>
        </w:rPr>
        <w:t>o</w:t>
      </w:r>
      <w:r w:rsidRPr="00647306">
        <w:rPr>
          <w:rFonts w:cs="Arial"/>
        </w:rPr>
        <w:t xml:space="preserve">berta d’homes. </w:t>
      </w:r>
    </w:p>
    <w:p w:rsidR="006A4109" w:rsidRPr="00647306" w:rsidRDefault="006A4109" w:rsidP="00E930B2">
      <w:pPr>
        <w:rPr>
          <w:rFonts w:cs="Arial"/>
        </w:rPr>
      </w:pPr>
      <w:r w:rsidRPr="00647306">
        <w:rPr>
          <w:rFonts w:cs="Arial"/>
        </w:rPr>
        <w:t xml:space="preserve">El CP </w:t>
      </w:r>
      <w:r>
        <w:rPr>
          <w:rFonts w:cs="Arial"/>
        </w:rPr>
        <w:t xml:space="preserve">de </w:t>
      </w:r>
      <w:r w:rsidRPr="00647306">
        <w:rPr>
          <w:rFonts w:cs="Arial"/>
        </w:rPr>
        <w:t xml:space="preserve">Dones disposa també d’una unitat de mares internes, les quals poden conviure amb els seus fills fins </w:t>
      </w:r>
      <w:r>
        <w:rPr>
          <w:rFonts w:cs="Arial"/>
        </w:rPr>
        <w:t>a</w:t>
      </w:r>
      <w:r w:rsidRPr="00647306">
        <w:rPr>
          <w:rFonts w:cs="Arial"/>
        </w:rPr>
        <w:t>ls 3 anys.</w:t>
      </w:r>
    </w:p>
    <w:p w:rsidR="006A4109" w:rsidRPr="00647306" w:rsidRDefault="006A4109" w:rsidP="00E930B2">
      <w:pPr>
        <w:rPr>
          <w:rFonts w:cs="Arial"/>
        </w:rPr>
      </w:pPr>
      <w:r w:rsidRPr="00647306">
        <w:rPr>
          <w:rFonts w:cs="Arial"/>
        </w:rPr>
        <w:t>Per donar cobertura a les necessitats de la població femenina de medi obert a</w:t>
      </w:r>
      <w:r>
        <w:rPr>
          <w:rFonts w:cs="Arial"/>
        </w:rPr>
        <w:t>l</w:t>
      </w:r>
      <w:r w:rsidRPr="00647306">
        <w:rPr>
          <w:rFonts w:cs="Arial"/>
        </w:rPr>
        <w:t xml:space="preserve"> territori es disposa d’una </w:t>
      </w:r>
      <w:r>
        <w:rPr>
          <w:rFonts w:cs="Arial"/>
        </w:rPr>
        <w:t>u</w:t>
      </w:r>
      <w:r w:rsidRPr="00647306">
        <w:rPr>
          <w:rFonts w:cs="Arial"/>
        </w:rPr>
        <w:t xml:space="preserve">nitat </w:t>
      </w:r>
      <w:r>
        <w:rPr>
          <w:rFonts w:cs="Arial"/>
        </w:rPr>
        <w:t>d</w:t>
      </w:r>
      <w:r w:rsidRPr="00647306">
        <w:rPr>
          <w:rFonts w:cs="Arial"/>
        </w:rPr>
        <w:t>epen</w:t>
      </w:r>
      <w:r>
        <w:rPr>
          <w:rFonts w:cs="Arial"/>
        </w:rPr>
        <w:t>d</w:t>
      </w:r>
      <w:r w:rsidRPr="00647306">
        <w:rPr>
          <w:rFonts w:cs="Arial"/>
        </w:rPr>
        <w:t>ent al Tarragonès i un</w:t>
      </w:r>
      <w:r>
        <w:rPr>
          <w:rFonts w:cs="Arial"/>
        </w:rPr>
        <w:t>a</w:t>
      </w:r>
      <w:r w:rsidRPr="00647306">
        <w:rPr>
          <w:rFonts w:cs="Arial"/>
        </w:rPr>
        <w:t xml:space="preserve"> altr</w:t>
      </w:r>
      <w:r>
        <w:rPr>
          <w:rFonts w:cs="Arial"/>
        </w:rPr>
        <w:t>a</w:t>
      </w:r>
      <w:r w:rsidRPr="00647306">
        <w:rPr>
          <w:rFonts w:cs="Arial"/>
        </w:rPr>
        <w:t xml:space="preserve"> al Segrià.</w:t>
      </w:r>
    </w:p>
    <w:p w:rsidR="006A4109" w:rsidRPr="00647306" w:rsidRDefault="006A4109" w:rsidP="00E930B2">
      <w:pPr>
        <w:rPr>
          <w:rFonts w:cs="Arial"/>
        </w:rPr>
      </w:pPr>
      <w:r w:rsidRPr="00647306">
        <w:rPr>
          <w:rFonts w:cs="Arial"/>
        </w:rPr>
        <w:t xml:space="preserve">Actualment, el sistema penitenciari català, a banda de la normativa sectorial (Llei </w:t>
      </w:r>
      <w:r>
        <w:rPr>
          <w:rFonts w:cs="Arial"/>
        </w:rPr>
        <w:t>o</w:t>
      </w:r>
      <w:r w:rsidRPr="00647306">
        <w:rPr>
          <w:rFonts w:cs="Arial"/>
        </w:rPr>
        <w:t xml:space="preserve">rgànica </w:t>
      </w:r>
      <w:r>
        <w:rPr>
          <w:rFonts w:cs="Arial"/>
        </w:rPr>
        <w:t>penitencià</w:t>
      </w:r>
      <w:r w:rsidRPr="00647306">
        <w:rPr>
          <w:rFonts w:cs="Arial"/>
        </w:rPr>
        <w:t xml:space="preserve">ria, Reglament </w:t>
      </w:r>
      <w:r>
        <w:rPr>
          <w:rFonts w:cs="Arial"/>
        </w:rPr>
        <w:t>p</w:t>
      </w:r>
      <w:r w:rsidRPr="00647306">
        <w:rPr>
          <w:rFonts w:cs="Arial"/>
        </w:rPr>
        <w:t xml:space="preserve">enitenciari, Reglament d’organització i funcionament del Servei d’Execució Penal a Catalunya, </w:t>
      </w:r>
      <w:r>
        <w:rPr>
          <w:rFonts w:cs="Arial"/>
        </w:rPr>
        <w:t>r</w:t>
      </w:r>
      <w:r w:rsidRPr="00647306">
        <w:rPr>
          <w:rFonts w:cs="Arial"/>
        </w:rPr>
        <w:t xml:space="preserve">egles de les Nacions Unides per al tractament de les recluses i mesures </w:t>
      </w:r>
      <w:r>
        <w:rPr>
          <w:rFonts w:cs="Arial"/>
        </w:rPr>
        <w:t xml:space="preserve">no privatives de la llibertat per a les dones delinqüents, </w:t>
      </w:r>
      <w:r w:rsidRPr="00D32AD7">
        <w:rPr>
          <w:rFonts w:cs="Arial"/>
          <w:i/>
        </w:rPr>
        <w:t>Regles de Bangkok</w:t>
      </w:r>
      <w:r w:rsidRPr="00647306">
        <w:rPr>
          <w:rFonts w:cs="Arial"/>
        </w:rPr>
        <w:t>) recull el model de societat proposat per l’Estatut de Catalunya de 2006, basat en el respecte i la garantia dels drets de les dones i la igualtat d’oportunitats dels ciutadans sens</w:t>
      </w:r>
      <w:r>
        <w:rPr>
          <w:rFonts w:cs="Arial"/>
        </w:rPr>
        <w:t>e</w:t>
      </w:r>
      <w:r w:rsidRPr="00647306">
        <w:rPr>
          <w:rFonts w:cs="Arial"/>
        </w:rPr>
        <w:t xml:space="preserve"> distinció de sexe (art. 19).</w:t>
      </w:r>
    </w:p>
    <w:p w:rsidR="006A4109" w:rsidRPr="00647306" w:rsidRDefault="006A4109" w:rsidP="00E930B2">
      <w:pPr>
        <w:rPr>
          <w:rFonts w:cs="Arial"/>
        </w:rPr>
      </w:pPr>
      <w:r w:rsidRPr="00647306">
        <w:rPr>
          <w:rFonts w:cs="Arial"/>
        </w:rPr>
        <w:lastRenderedPageBreak/>
        <w:t>Un pas normatiu important en el desplegament d’aquest principi ha estat l’aprovació de la Llei 17/2015, d’igualtat efectiva de dones i homes que complementa la Llei orgànica 3/2007 per a la igualtat efectiva de dones i homes, que estableix mesures transversals en tots els ordres de la vida amb la finalitat d’eradicar discriminacions. En l’àmbit penitenciari ha estat especialment remarcable el seu article 54, on manifesta que “Els serveis i els centres d’execució penal han d’incorporar la perspectiva de gènere en els programes de tractament, rehabilitació i inserció sociolaboral de persones internes...”.</w:t>
      </w:r>
    </w:p>
    <w:p w:rsidR="006A4109" w:rsidRPr="00647306" w:rsidRDefault="006A4109" w:rsidP="00E930B2">
      <w:pPr>
        <w:rPr>
          <w:rFonts w:cs="Arial"/>
        </w:rPr>
      </w:pPr>
      <w:r w:rsidRPr="00647306">
        <w:rPr>
          <w:rFonts w:cs="Arial"/>
        </w:rPr>
        <w:t>El sistema penal està concebut per homes i per a homes, amb una visió patriarcal de la pena i el seu compliment, o</w:t>
      </w:r>
      <w:r>
        <w:rPr>
          <w:rFonts w:cs="Arial"/>
        </w:rPr>
        <w:t>n les dones represente</w:t>
      </w:r>
      <w:r w:rsidRPr="00647306">
        <w:rPr>
          <w:rFonts w:cs="Arial"/>
        </w:rPr>
        <w:t>n una minoria (aprox.</w:t>
      </w:r>
      <w:r>
        <w:rPr>
          <w:rFonts w:cs="Arial"/>
        </w:rPr>
        <w:t xml:space="preserve"> el 7% de la població penitencià</w:t>
      </w:r>
      <w:r w:rsidRPr="00647306">
        <w:rPr>
          <w:rFonts w:cs="Arial"/>
        </w:rPr>
        <w:t>ria). En aquest context les dones queden relegades a un segon terme.</w:t>
      </w:r>
    </w:p>
    <w:p w:rsidR="006A4109" w:rsidRPr="00647306" w:rsidRDefault="006A4109" w:rsidP="00E930B2">
      <w:pPr>
        <w:rPr>
          <w:rFonts w:cs="Arial"/>
        </w:rPr>
      </w:pPr>
      <w:r w:rsidRPr="00647306">
        <w:rPr>
          <w:rFonts w:cs="Arial"/>
        </w:rPr>
        <w:t>No es disposa d’equipament modern pensat i dissenyat per a les dones, les dones joves han de conviure amb les adultes, els mòduls de dones obliguen a la conviv</w:t>
      </w:r>
      <w:r>
        <w:rPr>
          <w:rFonts w:cs="Arial"/>
        </w:rPr>
        <w:t>ència amb mòduls d’homes, etc</w:t>
      </w:r>
      <w:r w:rsidRPr="00647306">
        <w:rPr>
          <w:rFonts w:cs="Arial"/>
        </w:rPr>
        <w:t>. Sense una perspectiva de gènere, actualment atenuada, però no superada.</w:t>
      </w:r>
    </w:p>
    <w:p w:rsidR="006A4109" w:rsidRPr="00647306" w:rsidRDefault="006A4109" w:rsidP="00E930B2">
      <w:pPr>
        <w:rPr>
          <w:rFonts w:cs="Arial"/>
        </w:rPr>
      </w:pPr>
      <w:r w:rsidRPr="00647306">
        <w:rPr>
          <w:rFonts w:cs="Arial"/>
        </w:rPr>
        <w:t>És evident que el perfil de la dona en presó difereix del de l’home i requereix de mesures d’intervenció que tinguin present aquesta especificitat. Fruit d’aquestes necessitats, els serveis penitenciaris ofereixen uns descriptors estadístics diferenciats per a la població femenina amb 13 indicadors propis.</w:t>
      </w:r>
    </w:p>
    <w:p w:rsidR="006A4109" w:rsidRPr="00647306" w:rsidRDefault="006A4109" w:rsidP="00E930B2">
      <w:pPr>
        <w:rPr>
          <w:rFonts w:cs="Arial"/>
        </w:rPr>
      </w:pPr>
      <w:r w:rsidRPr="00647306">
        <w:rPr>
          <w:rFonts w:cs="Arial"/>
        </w:rPr>
        <w:t>Els programes d’intervenció dels centres penitenciaris catalans vinculats a la rehabilitació, encara que se segueix una organització curricular com</w:t>
      </w:r>
      <w:r>
        <w:rPr>
          <w:rFonts w:cs="Arial"/>
        </w:rPr>
        <w:t xml:space="preserve">una </w:t>
      </w:r>
      <w:r w:rsidRPr="00647306">
        <w:rPr>
          <w:rFonts w:cs="Arial"/>
        </w:rPr>
        <w:t>a</w:t>
      </w:r>
      <w:r>
        <w:rPr>
          <w:rFonts w:cs="Arial"/>
        </w:rPr>
        <w:t xml:space="preserve"> </w:t>
      </w:r>
      <w:r w:rsidRPr="00647306">
        <w:rPr>
          <w:rFonts w:cs="Arial"/>
        </w:rPr>
        <w:t>l</w:t>
      </w:r>
      <w:r>
        <w:rPr>
          <w:rFonts w:cs="Arial"/>
        </w:rPr>
        <w:t>a</w:t>
      </w:r>
      <w:r w:rsidRPr="00647306">
        <w:rPr>
          <w:rFonts w:cs="Arial"/>
        </w:rPr>
        <w:t xml:space="preserve"> dels homes, s’han dissenyat alguns d’específics </w:t>
      </w:r>
      <w:r>
        <w:rPr>
          <w:rFonts w:cs="Arial"/>
        </w:rPr>
        <w:t>adreçats</w:t>
      </w:r>
      <w:r w:rsidRPr="00647306">
        <w:rPr>
          <w:rFonts w:cs="Arial"/>
        </w:rPr>
        <w:t xml:space="preserve"> exclusivament a dones, com és </w:t>
      </w:r>
      <w:r>
        <w:rPr>
          <w:rFonts w:cs="Arial"/>
        </w:rPr>
        <w:t>el P</w:t>
      </w:r>
      <w:r w:rsidRPr="00647306">
        <w:rPr>
          <w:rFonts w:cs="Arial"/>
        </w:rPr>
        <w:t>rograma per a dones víctimes de la violència de gènere, Programa EVA, aplicat des de</w:t>
      </w:r>
      <w:r>
        <w:rPr>
          <w:rFonts w:cs="Arial"/>
        </w:rPr>
        <w:t>l</w:t>
      </w:r>
      <w:r w:rsidRPr="00647306">
        <w:rPr>
          <w:rFonts w:cs="Arial"/>
        </w:rPr>
        <w:t xml:space="preserve"> 2012. Així com la intervenció especialitzada i integral de la maternitat durant el compliment de la pena. També s’han </w:t>
      </w:r>
      <w:r>
        <w:rPr>
          <w:rFonts w:cs="Arial"/>
        </w:rPr>
        <w:t>dut a terme</w:t>
      </w:r>
      <w:r w:rsidRPr="00647306">
        <w:rPr>
          <w:rFonts w:cs="Arial"/>
        </w:rPr>
        <w:t xml:space="preserve"> adaptacions específiques, com per exemple</w:t>
      </w:r>
      <w:r>
        <w:rPr>
          <w:rFonts w:cs="Arial"/>
        </w:rPr>
        <w:t>, el P</w:t>
      </w:r>
      <w:r w:rsidRPr="00647306">
        <w:rPr>
          <w:rFonts w:cs="Arial"/>
        </w:rPr>
        <w:t xml:space="preserve">rograma de violència. </w:t>
      </w:r>
    </w:p>
    <w:p w:rsidR="006A4109" w:rsidRPr="00647306" w:rsidRDefault="006A4109" w:rsidP="00E930B2">
      <w:pPr>
        <w:rPr>
          <w:rFonts w:cs="Arial"/>
        </w:rPr>
      </w:pPr>
      <w:r w:rsidRPr="00647306">
        <w:rPr>
          <w:rFonts w:cs="Arial"/>
        </w:rPr>
        <w:t xml:space="preserve">Actualment, en fase de pilot, s’està </w:t>
      </w:r>
      <w:r>
        <w:rPr>
          <w:rFonts w:cs="Arial"/>
        </w:rPr>
        <w:t>efectuant</w:t>
      </w:r>
      <w:r w:rsidRPr="00647306">
        <w:rPr>
          <w:rFonts w:cs="Arial"/>
        </w:rPr>
        <w:t xml:space="preserve"> una acció al CP Brians Dones</w:t>
      </w:r>
      <w:r>
        <w:rPr>
          <w:rFonts w:cs="Arial"/>
        </w:rPr>
        <w:t>,</w:t>
      </w:r>
      <w:r w:rsidRPr="00647306">
        <w:rPr>
          <w:rFonts w:cs="Arial"/>
        </w:rPr>
        <w:t xml:space="preserve"> un projecte vinculat a l’abordatge del </w:t>
      </w:r>
      <w:r>
        <w:rPr>
          <w:rFonts w:cs="Arial"/>
        </w:rPr>
        <w:t>t</w:t>
      </w:r>
      <w:r w:rsidRPr="00647306">
        <w:rPr>
          <w:rFonts w:cs="Arial"/>
        </w:rPr>
        <w:t xml:space="preserve">rastorn </w:t>
      </w:r>
      <w:r>
        <w:rPr>
          <w:rFonts w:cs="Arial"/>
        </w:rPr>
        <w:t>l</w:t>
      </w:r>
      <w:r w:rsidRPr="00647306">
        <w:rPr>
          <w:rFonts w:cs="Arial"/>
        </w:rPr>
        <w:t xml:space="preserve">ímit de la </w:t>
      </w:r>
      <w:r>
        <w:rPr>
          <w:rFonts w:cs="Arial"/>
        </w:rPr>
        <w:t>p</w:t>
      </w:r>
      <w:r w:rsidRPr="00647306">
        <w:rPr>
          <w:rFonts w:cs="Arial"/>
        </w:rPr>
        <w:t>ersonalitat, en coresponsabilitat amb altres organitzacions socials col·laboradores, en un àmbit d’</w:t>
      </w:r>
      <w:r>
        <w:rPr>
          <w:rFonts w:cs="Arial"/>
        </w:rPr>
        <w:t>u</w:t>
      </w:r>
      <w:r w:rsidRPr="00647306">
        <w:rPr>
          <w:rFonts w:cs="Arial"/>
        </w:rPr>
        <w:t>nitat especialitzada.</w:t>
      </w:r>
    </w:p>
    <w:p w:rsidR="006A4109" w:rsidRPr="00647306" w:rsidRDefault="006A4109" w:rsidP="00E930B2">
      <w:pPr>
        <w:rPr>
          <w:rFonts w:cs="Arial"/>
        </w:rPr>
      </w:pPr>
      <w:r w:rsidRPr="00647306">
        <w:rPr>
          <w:rFonts w:cs="Arial"/>
        </w:rPr>
        <w:t>Dintre del marc de referència del Pla estratègic de polítiques de dones del Govern de la Generalitat (2012-2015)</w:t>
      </w:r>
      <w:r>
        <w:rPr>
          <w:rFonts w:cs="Arial"/>
        </w:rPr>
        <w:t>,</w:t>
      </w:r>
      <w:r w:rsidRPr="00647306">
        <w:rPr>
          <w:rFonts w:cs="Arial"/>
        </w:rPr>
        <w:t xml:space="preserve"> en el qu</w:t>
      </w:r>
      <w:r>
        <w:rPr>
          <w:rFonts w:cs="Arial"/>
        </w:rPr>
        <w:t>al</w:t>
      </w:r>
      <w:r w:rsidRPr="00647306">
        <w:rPr>
          <w:rFonts w:cs="Arial"/>
        </w:rPr>
        <w:t xml:space="preserve"> es pretén aborda</w:t>
      </w:r>
      <w:r>
        <w:rPr>
          <w:rFonts w:cs="Arial"/>
        </w:rPr>
        <w:t>r</w:t>
      </w:r>
      <w:r w:rsidRPr="00647306">
        <w:rPr>
          <w:rFonts w:cs="Arial"/>
        </w:rPr>
        <w:t xml:space="preserve"> la igualtat en totes les dimensions, es va impulsar el programa de perspectiva de gènere als centres penitenciaris. El seu contingut té un caràcter transversal que implica a tots els centres penitenciaris, tant masculins com femenins, i a tots els serveis. Es concreta</w:t>
      </w:r>
      <w:r>
        <w:rPr>
          <w:rFonts w:cs="Arial"/>
        </w:rPr>
        <w:t>,</w:t>
      </w:r>
      <w:r w:rsidRPr="00647306">
        <w:rPr>
          <w:rFonts w:cs="Arial"/>
        </w:rPr>
        <w:t xml:space="preserve"> entre altres</w:t>
      </w:r>
      <w:r>
        <w:rPr>
          <w:rFonts w:cs="Arial"/>
        </w:rPr>
        <w:t>,</w:t>
      </w:r>
      <w:r w:rsidRPr="00647306">
        <w:rPr>
          <w:rFonts w:cs="Arial"/>
        </w:rPr>
        <w:t xml:space="preserve"> en accions de sensibilització i prevenció en els equips de tractament al voltant de dates concretes i en la difusió d’accions en les qu</w:t>
      </w:r>
      <w:r>
        <w:rPr>
          <w:rFonts w:cs="Arial"/>
        </w:rPr>
        <w:t>als</w:t>
      </w:r>
      <w:r w:rsidRPr="00647306">
        <w:rPr>
          <w:rFonts w:cs="Arial"/>
        </w:rPr>
        <w:t xml:space="preserve"> es promulgui l’equitat de gènere i es </w:t>
      </w:r>
      <w:r>
        <w:rPr>
          <w:rFonts w:cs="Arial"/>
        </w:rPr>
        <w:t xml:space="preserve">doni visibilitat a la realitat </w:t>
      </w:r>
      <w:r w:rsidRPr="00647306">
        <w:rPr>
          <w:rFonts w:cs="Arial"/>
        </w:rPr>
        <w:t>de les dones privades de llibertat.</w:t>
      </w:r>
    </w:p>
    <w:p w:rsidR="006A4109" w:rsidRPr="00647306" w:rsidRDefault="006A4109" w:rsidP="00E930B2">
      <w:pPr>
        <w:rPr>
          <w:rFonts w:cs="Arial"/>
        </w:rPr>
      </w:pPr>
      <w:r w:rsidRPr="00647306">
        <w:rPr>
          <w:rFonts w:cs="Arial"/>
        </w:rPr>
        <w:t xml:space="preserve">Dins del mateix objectiu es va establir a l’any 2012 els referents de gènere </w:t>
      </w:r>
      <w:r>
        <w:rPr>
          <w:rFonts w:cs="Arial"/>
        </w:rPr>
        <w:t>a</w:t>
      </w:r>
      <w:r w:rsidRPr="00647306">
        <w:rPr>
          <w:rFonts w:cs="Arial"/>
        </w:rPr>
        <w:t xml:space="preserve"> cada centre penitenciari. Aquesta figura s’ha arrelat definitivament a l’empara de l’establert en la Llei 17/2015, d’igualtat efectiva de dones i homes,</w:t>
      </w:r>
      <w:r>
        <w:rPr>
          <w:rFonts w:cs="Arial"/>
        </w:rPr>
        <w:t xml:space="preserve"> que es </w:t>
      </w:r>
      <w:r w:rsidRPr="00647306">
        <w:rPr>
          <w:rFonts w:cs="Arial"/>
        </w:rPr>
        <w:t>concreta</w:t>
      </w:r>
      <w:r>
        <w:rPr>
          <w:rFonts w:cs="Arial"/>
        </w:rPr>
        <w:t xml:space="preserve"> en</w:t>
      </w:r>
      <w:r w:rsidRPr="00647306">
        <w:rPr>
          <w:rFonts w:cs="Arial"/>
        </w:rPr>
        <w:t xml:space="preserve"> un total de 21 referents de tots els centres penitenciari</w:t>
      </w:r>
      <w:r>
        <w:rPr>
          <w:rFonts w:cs="Arial"/>
        </w:rPr>
        <w:t>s de Catalunya i també centres o</w:t>
      </w:r>
      <w:r w:rsidRPr="00647306">
        <w:rPr>
          <w:rFonts w:cs="Arial"/>
        </w:rPr>
        <w:t>berts.</w:t>
      </w:r>
    </w:p>
    <w:p w:rsidR="006A4109" w:rsidRPr="00647306" w:rsidRDefault="006A4109" w:rsidP="00E930B2">
      <w:pPr>
        <w:rPr>
          <w:rFonts w:cs="Arial"/>
        </w:rPr>
      </w:pPr>
      <w:r w:rsidRPr="00647306">
        <w:rPr>
          <w:rFonts w:cs="Arial"/>
        </w:rPr>
        <w:t xml:space="preserve">L’oferta formativa del </w:t>
      </w:r>
      <w:r>
        <w:rPr>
          <w:rFonts w:cs="Arial"/>
        </w:rPr>
        <w:t>D</w:t>
      </w:r>
      <w:r w:rsidRPr="00647306">
        <w:rPr>
          <w:rFonts w:cs="Arial"/>
        </w:rPr>
        <w:t xml:space="preserve">epartament de Justícia, </w:t>
      </w:r>
      <w:r>
        <w:rPr>
          <w:rFonts w:cs="Arial"/>
        </w:rPr>
        <w:t>adreçada</w:t>
      </w:r>
      <w:r w:rsidRPr="00647306">
        <w:rPr>
          <w:rFonts w:cs="Arial"/>
        </w:rPr>
        <w:t xml:space="preserve"> als professionals, també </w:t>
      </w:r>
      <w:r>
        <w:rPr>
          <w:rFonts w:cs="Arial"/>
        </w:rPr>
        <w:t>estableix</w:t>
      </w:r>
      <w:r w:rsidRPr="00647306">
        <w:rPr>
          <w:rFonts w:cs="Arial"/>
        </w:rPr>
        <w:t xml:space="preserve"> aquesta tasca de conscienciació, en perspectiva de gènere, de tots els professionals de l’àmbit penitenciari i, en molts casos, compta amb la col·</w:t>
      </w:r>
      <w:r>
        <w:rPr>
          <w:rFonts w:cs="Arial"/>
        </w:rPr>
        <w:t xml:space="preserve">laboració i expertesa de </w:t>
      </w:r>
      <w:r w:rsidRPr="00647306">
        <w:rPr>
          <w:rFonts w:cs="Arial"/>
        </w:rPr>
        <w:t>l’Institut Català de la Dona.</w:t>
      </w:r>
    </w:p>
    <w:p w:rsidR="006A4109" w:rsidRPr="00647306" w:rsidRDefault="006A4109" w:rsidP="00E930B2">
      <w:pPr>
        <w:rPr>
          <w:rFonts w:eastAsia="Arial" w:cs="Arial"/>
          <w:bCs/>
          <w:color w:val="000000"/>
        </w:rPr>
      </w:pPr>
      <w:r w:rsidRPr="00647306">
        <w:rPr>
          <w:rFonts w:eastAsia="Arial" w:cs="Arial"/>
          <w:color w:val="000000"/>
        </w:rPr>
        <w:t>Les perspectives de futur en relació a</w:t>
      </w:r>
      <w:r>
        <w:rPr>
          <w:rFonts w:eastAsia="Arial" w:cs="Arial"/>
          <w:color w:val="000000"/>
        </w:rPr>
        <w:t>mb</w:t>
      </w:r>
      <w:r w:rsidRPr="00647306">
        <w:rPr>
          <w:rFonts w:eastAsia="Arial" w:cs="Arial"/>
          <w:color w:val="000000"/>
        </w:rPr>
        <w:t xml:space="preserve"> la intervenció amb dones ha de </w:t>
      </w:r>
      <w:r>
        <w:rPr>
          <w:rFonts w:eastAsia="Arial" w:cs="Arial"/>
          <w:color w:val="000000"/>
        </w:rPr>
        <w:t>preveure</w:t>
      </w:r>
      <w:r w:rsidRPr="00647306">
        <w:rPr>
          <w:rFonts w:eastAsia="Arial" w:cs="Arial"/>
          <w:color w:val="000000"/>
        </w:rPr>
        <w:t>:</w:t>
      </w:r>
    </w:p>
    <w:p w:rsidR="006A4109" w:rsidRPr="00647306" w:rsidRDefault="006A4109" w:rsidP="00AE0A20">
      <w:pPr>
        <w:pStyle w:val="Pargrafdellista"/>
        <w:numPr>
          <w:ilvl w:val="0"/>
          <w:numId w:val="8"/>
        </w:numPr>
        <w:rPr>
          <w:rFonts w:cs="Arial"/>
        </w:rPr>
      </w:pPr>
      <w:r w:rsidRPr="00647306">
        <w:rPr>
          <w:rFonts w:cs="Arial"/>
        </w:rPr>
        <w:t>Vetllar per la igualtat de gèneres i garantir una estada a presó dign</w:t>
      </w:r>
      <w:r>
        <w:rPr>
          <w:rFonts w:cs="Arial"/>
        </w:rPr>
        <w:t>a</w:t>
      </w:r>
      <w:r w:rsidRPr="00647306">
        <w:rPr>
          <w:rFonts w:cs="Arial"/>
        </w:rPr>
        <w:t xml:space="preserve"> i respectuosa amb els drets de les dones.</w:t>
      </w:r>
    </w:p>
    <w:p w:rsidR="006A4109" w:rsidRPr="00647306" w:rsidRDefault="006A4109" w:rsidP="00AE0A20">
      <w:pPr>
        <w:pStyle w:val="Pargrafdellista"/>
        <w:numPr>
          <w:ilvl w:val="0"/>
          <w:numId w:val="8"/>
        </w:numPr>
        <w:rPr>
          <w:rFonts w:cs="Arial"/>
        </w:rPr>
      </w:pPr>
      <w:r w:rsidRPr="00647306">
        <w:rPr>
          <w:rFonts w:cs="Arial"/>
        </w:rPr>
        <w:t xml:space="preserve">Promoure la  creació de centres específics per a dones, pensats i dissenyats per dones, </w:t>
      </w:r>
      <w:r>
        <w:rPr>
          <w:rFonts w:cs="Arial"/>
        </w:rPr>
        <w:t xml:space="preserve">tot </w:t>
      </w:r>
      <w:r w:rsidRPr="00647306">
        <w:rPr>
          <w:rFonts w:cs="Arial"/>
        </w:rPr>
        <w:t>recuperant el treball que es va desenvolupar en un dels antics plans</w:t>
      </w:r>
      <w:r>
        <w:rPr>
          <w:rFonts w:cs="Arial"/>
        </w:rPr>
        <w:t xml:space="preserve"> d’equipaments (2005), en el qual e</w:t>
      </w:r>
      <w:r w:rsidRPr="00647306">
        <w:rPr>
          <w:rFonts w:cs="Arial"/>
        </w:rPr>
        <w:t xml:space="preserve">s va fer un procés participatiu, incorporant a </w:t>
      </w:r>
      <w:r w:rsidRPr="00647306">
        <w:rPr>
          <w:rFonts w:cs="Arial"/>
        </w:rPr>
        <w:lastRenderedPageBreak/>
        <w:t xml:space="preserve">internes, professionals i persones externes. </w:t>
      </w:r>
      <w:r>
        <w:rPr>
          <w:rFonts w:cs="Arial"/>
        </w:rPr>
        <w:t>I s</w:t>
      </w:r>
      <w:r w:rsidRPr="00647306">
        <w:rPr>
          <w:rFonts w:cs="Arial"/>
        </w:rPr>
        <w:t>upera</w:t>
      </w:r>
      <w:r>
        <w:rPr>
          <w:rFonts w:cs="Arial"/>
        </w:rPr>
        <w:t>r</w:t>
      </w:r>
      <w:r w:rsidRPr="00647306">
        <w:rPr>
          <w:rFonts w:cs="Arial"/>
        </w:rPr>
        <w:t xml:space="preserve"> els models tradicionals pensats per a homes, basats en </w:t>
      </w:r>
      <w:r>
        <w:rPr>
          <w:rFonts w:cs="Arial"/>
        </w:rPr>
        <w:t xml:space="preserve">els </w:t>
      </w:r>
      <w:r w:rsidRPr="00647306">
        <w:rPr>
          <w:rFonts w:cs="Arial"/>
        </w:rPr>
        <w:t>criteris</w:t>
      </w:r>
      <w:r>
        <w:rPr>
          <w:rFonts w:cs="Arial"/>
        </w:rPr>
        <w:t xml:space="preserve"> següents</w:t>
      </w:r>
      <w:r w:rsidRPr="00647306">
        <w:rPr>
          <w:rFonts w:cs="Arial"/>
        </w:rPr>
        <w:t>:</w:t>
      </w:r>
    </w:p>
    <w:p w:rsidR="006A4109" w:rsidRPr="00647306" w:rsidRDefault="006A4109" w:rsidP="00AE0A20">
      <w:pPr>
        <w:pStyle w:val="Pargrafdellista"/>
        <w:numPr>
          <w:ilvl w:val="1"/>
          <w:numId w:val="8"/>
        </w:numPr>
        <w:rPr>
          <w:rFonts w:cs="Arial"/>
        </w:rPr>
      </w:pPr>
      <w:r w:rsidRPr="00647306">
        <w:rPr>
          <w:rFonts w:cs="Arial"/>
        </w:rPr>
        <w:t>Independència de la dona i autogestió en la vida quotidiana</w:t>
      </w:r>
    </w:p>
    <w:p w:rsidR="006A4109" w:rsidRPr="00647306" w:rsidRDefault="006A4109" w:rsidP="00AE0A20">
      <w:pPr>
        <w:pStyle w:val="Pargrafdellista"/>
        <w:numPr>
          <w:ilvl w:val="1"/>
          <w:numId w:val="8"/>
        </w:numPr>
        <w:rPr>
          <w:rFonts w:cs="Arial"/>
        </w:rPr>
      </w:pPr>
      <w:r w:rsidRPr="00647306">
        <w:rPr>
          <w:rFonts w:cs="Arial"/>
        </w:rPr>
        <w:t>Potenciació de la comunicació amb la xarxa externa</w:t>
      </w:r>
    </w:p>
    <w:p w:rsidR="006A4109" w:rsidRPr="00647306" w:rsidRDefault="006A4109" w:rsidP="00AE0A20">
      <w:pPr>
        <w:pStyle w:val="Pargrafdellista"/>
        <w:numPr>
          <w:ilvl w:val="1"/>
          <w:numId w:val="8"/>
        </w:numPr>
        <w:rPr>
          <w:rFonts w:cs="Arial"/>
        </w:rPr>
      </w:pPr>
      <w:r w:rsidRPr="00647306">
        <w:rPr>
          <w:rFonts w:cs="Arial"/>
        </w:rPr>
        <w:t>Visualització de les diferències, les necessitats i les potencialitats</w:t>
      </w:r>
    </w:p>
    <w:p w:rsidR="006A4109" w:rsidRPr="00647306" w:rsidRDefault="006A4109" w:rsidP="00AE0A20">
      <w:pPr>
        <w:pStyle w:val="Pargrafdellista"/>
        <w:numPr>
          <w:ilvl w:val="1"/>
          <w:numId w:val="8"/>
        </w:numPr>
        <w:rPr>
          <w:rFonts w:cs="Arial"/>
        </w:rPr>
      </w:pPr>
      <w:r w:rsidRPr="00647306">
        <w:rPr>
          <w:rFonts w:cs="Arial"/>
        </w:rPr>
        <w:t xml:space="preserve">Protecció dels menors </w:t>
      </w:r>
    </w:p>
    <w:p w:rsidR="006A4109" w:rsidRPr="00647306" w:rsidRDefault="006A4109" w:rsidP="00E930B2">
      <w:pPr>
        <w:rPr>
          <w:rFonts w:cs="Arial"/>
        </w:rPr>
      </w:pPr>
    </w:p>
    <w:p w:rsidR="006A4109" w:rsidRPr="00647306" w:rsidRDefault="006A4109" w:rsidP="00E930B2">
      <w:pPr>
        <w:rPr>
          <w:rFonts w:cs="Arial"/>
        </w:rPr>
      </w:pPr>
      <w:r w:rsidRPr="00647306">
        <w:rPr>
          <w:rFonts w:cs="Arial"/>
        </w:rPr>
        <w:t>La privació de llibertat de la dona ha de tenir molt presents aquells elements que comporten vulnerabilitat durant l’internament i han de ser especialment tinguts en compte en futurs programes d’intervenció  (dones joves, el règim sancionador i l’aplicació del règim tancat, les necessitats de salut mental i/o amb discapacitats, la separació dels seus fill</w:t>
      </w:r>
      <w:r>
        <w:rPr>
          <w:rFonts w:cs="Arial"/>
        </w:rPr>
        <w:t>s, salut sexual i reproductiva, etc</w:t>
      </w:r>
      <w:r w:rsidRPr="00647306">
        <w:rPr>
          <w:rFonts w:cs="Arial"/>
        </w:rPr>
        <w:t>.)</w:t>
      </w:r>
      <w:r>
        <w:rPr>
          <w:rFonts w:cs="Arial"/>
        </w:rPr>
        <w:t>.</w:t>
      </w:r>
    </w:p>
    <w:p w:rsidR="006A4109" w:rsidRPr="00647306" w:rsidRDefault="006A4109" w:rsidP="00E930B2">
      <w:pPr>
        <w:rPr>
          <w:rFonts w:cs="Arial"/>
        </w:rPr>
      </w:pPr>
      <w:r w:rsidRPr="00647306">
        <w:rPr>
          <w:rFonts w:cs="Arial"/>
        </w:rPr>
        <w:t>Un altre aspecte és que la constatació empírica avala, en general, el règim obert  i la llibertat condicional com l’idoni per aconseguir un grau de reinserció més elevat, especialment significatiu en el col·lectiu de dones.</w:t>
      </w:r>
    </w:p>
    <w:p w:rsidR="006A4109" w:rsidRPr="00647306" w:rsidRDefault="006A4109" w:rsidP="00E930B2">
      <w:pPr>
        <w:rPr>
          <w:rFonts w:cs="Arial"/>
        </w:rPr>
      </w:pPr>
      <w:r w:rsidRPr="00647306">
        <w:rPr>
          <w:rFonts w:cs="Arial"/>
        </w:rPr>
        <w:t xml:space="preserve">L’actual CP </w:t>
      </w:r>
      <w:r>
        <w:rPr>
          <w:rFonts w:cs="Arial"/>
        </w:rPr>
        <w:t xml:space="preserve">de </w:t>
      </w:r>
      <w:r w:rsidRPr="00647306">
        <w:rPr>
          <w:rFonts w:cs="Arial"/>
        </w:rPr>
        <w:t xml:space="preserve">Dones de Barcelona, que en el seu moment va ser una fita pel tractament digne de la dona, actualment ha quedat obsolet i no pot fer front a les noves orientacions. La seva gran virtut és que es troba en el nucli urbà de Barcelona. </w:t>
      </w:r>
    </w:p>
    <w:p w:rsidR="006A4109" w:rsidRPr="00647306" w:rsidRDefault="006A4109" w:rsidP="00E930B2">
      <w:pPr>
        <w:rPr>
          <w:rFonts w:cs="Arial"/>
        </w:rPr>
      </w:pPr>
      <w:r w:rsidRPr="00647306">
        <w:rPr>
          <w:rFonts w:cs="Arial"/>
        </w:rPr>
        <w:t>El mapa penitenciari i el model d’intervenció per a les dones a Catalunya necessita d’un replantejament global, especialment en un moment de millora de les capacitats de les infraestructures i de la dignificació dels espais.</w:t>
      </w:r>
    </w:p>
    <w:p w:rsidR="006A4109" w:rsidRPr="00647306" w:rsidRDefault="006A4109" w:rsidP="00E930B2">
      <w:pPr>
        <w:rPr>
          <w:rFonts w:cs="Arial"/>
        </w:rPr>
      </w:pPr>
      <w:r w:rsidRPr="00647306">
        <w:rPr>
          <w:rFonts w:cs="Arial"/>
        </w:rPr>
        <w:t>Els col·lectius minoritaris, com les dones, requereixen d’una profunda reflexió sobre la concentració d’esforços i optimització de recursos en centres concrets o sobre la idoneïtat de la dispersió en favor de la proximitat al territori de referència amb menor capacitat d’atenció especialitzada.</w:t>
      </w:r>
    </w:p>
    <w:p w:rsidR="006A4109" w:rsidRPr="00F02D52" w:rsidRDefault="006A4109" w:rsidP="00E930B2">
      <w:pPr>
        <w:rPr>
          <w:rFonts w:cs="Arial"/>
          <w:b/>
          <w:i/>
        </w:rPr>
      </w:pPr>
    </w:p>
    <w:p w:rsidR="006A4109" w:rsidRPr="00F02D52" w:rsidRDefault="006A4109" w:rsidP="0070401F">
      <w:pPr>
        <w:pStyle w:val="Ttol3"/>
      </w:pPr>
      <w:bookmarkStart w:id="303" w:name="_Toc463743334"/>
      <w:bookmarkStart w:id="304" w:name="_Toc463867783"/>
      <w:bookmarkStart w:id="305" w:name="_Toc464685670"/>
      <w:bookmarkStart w:id="306" w:name="_Toc465293401"/>
      <w:r w:rsidRPr="00EB1B4D">
        <w:t>Els</w:t>
      </w:r>
      <w:r w:rsidRPr="00F02D52">
        <w:t xml:space="preserve"> joves</w:t>
      </w:r>
      <w:bookmarkEnd w:id="303"/>
      <w:bookmarkEnd w:id="304"/>
      <w:bookmarkEnd w:id="305"/>
      <w:bookmarkEnd w:id="306"/>
    </w:p>
    <w:p w:rsidR="006A4109" w:rsidRPr="00647306" w:rsidRDefault="006A4109" w:rsidP="00E930B2">
      <w:pPr>
        <w:rPr>
          <w:rFonts w:cs="Arial"/>
        </w:rPr>
      </w:pPr>
      <w:r w:rsidRPr="00647306">
        <w:rPr>
          <w:rFonts w:cs="Arial"/>
        </w:rPr>
        <w:t>Històricament, els joves a les presons de Catalunya, convivien amb els adults, en ocasions separats en galeries més o menys agrupats, en ocasions junts i amuntegats amb la</w:t>
      </w:r>
      <w:r>
        <w:rPr>
          <w:rFonts w:cs="Arial"/>
        </w:rPr>
        <w:t xml:space="preserve"> resta de la població penitencià</w:t>
      </w:r>
      <w:r w:rsidRPr="00647306">
        <w:rPr>
          <w:rFonts w:cs="Arial"/>
        </w:rPr>
        <w:t>ria. L’antecedent més proper d’una presó exclusivament per a joves a Catalunya es remunta a l’an</w:t>
      </w:r>
      <w:r>
        <w:rPr>
          <w:rFonts w:cs="Arial"/>
        </w:rPr>
        <w:t>y 1984, precisament l’any en què</w:t>
      </w:r>
      <w:r w:rsidRPr="00647306">
        <w:rPr>
          <w:rFonts w:cs="Arial"/>
        </w:rPr>
        <w:t xml:space="preserve"> Catalunya va assumir les competè</w:t>
      </w:r>
      <w:r>
        <w:rPr>
          <w:rFonts w:cs="Arial"/>
        </w:rPr>
        <w:t>ncies en matèria penitenciària.</w:t>
      </w:r>
    </w:p>
    <w:p w:rsidR="006A4109" w:rsidRPr="00647306" w:rsidRDefault="006A4109" w:rsidP="00E930B2">
      <w:pPr>
        <w:rPr>
          <w:rFonts w:cs="Arial"/>
        </w:rPr>
      </w:pPr>
      <w:r>
        <w:rPr>
          <w:rFonts w:cs="Arial"/>
        </w:rPr>
        <w:t>El CP</w:t>
      </w:r>
      <w:r w:rsidRPr="00647306">
        <w:rPr>
          <w:rFonts w:cs="Arial"/>
        </w:rPr>
        <w:t xml:space="preserve"> de </w:t>
      </w:r>
      <w:r>
        <w:rPr>
          <w:rFonts w:cs="Arial"/>
        </w:rPr>
        <w:t>J</w:t>
      </w:r>
      <w:r w:rsidRPr="00647306">
        <w:rPr>
          <w:rFonts w:cs="Arial"/>
        </w:rPr>
        <w:t xml:space="preserve">oves de la Trinitat de Barcelona, va substituir la que era anteriorment </w:t>
      </w:r>
      <w:r>
        <w:rPr>
          <w:rFonts w:cs="Arial"/>
        </w:rPr>
        <w:t>CP de D</w:t>
      </w:r>
      <w:r w:rsidRPr="00647306">
        <w:rPr>
          <w:rFonts w:cs="Arial"/>
        </w:rPr>
        <w:t xml:space="preserve">ones de la Trinitat, inaugurada el juliol de 1963. </w:t>
      </w:r>
      <w:r>
        <w:rPr>
          <w:rFonts w:cs="Arial"/>
        </w:rPr>
        <w:t>S’acomplia així amb</w:t>
      </w:r>
      <w:r w:rsidRPr="00647306">
        <w:rPr>
          <w:rFonts w:cs="Arial"/>
        </w:rPr>
        <w:t xml:space="preserve"> al marc legal establert en la LOGP de 1979 i a la necessitat de desmassificació que patia </w:t>
      </w:r>
      <w:r>
        <w:rPr>
          <w:rFonts w:cs="Arial"/>
        </w:rPr>
        <w:t>el CP d’Homes</w:t>
      </w:r>
      <w:r w:rsidRPr="00647306">
        <w:rPr>
          <w:rFonts w:cs="Arial"/>
        </w:rPr>
        <w:t xml:space="preserve"> de Barcelona. Aquesta substitució va requerir</w:t>
      </w:r>
      <w:r>
        <w:rPr>
          <w:rFonts w:cs="Arial"/>
        </w:rPr>
        <w:t>,</w:t>
      </w:r>
      <w:r w:rsidRPr="00647306">
        <w:rPr>
          <w:rFonts w:cs="Arial"/>
        </w:rPr>
        <w:t xml:space="preserve"> </w:t>
      </w:r>
      <w:r>
        <w:rPr>
          <w:rFonts w:cs="Arial"/>
        </w:rPr>
        <w:t>d’una banda, traslladar</w:t>
      </w:r>
      <w:r w:rsidRPr="00647306">
        <w:rPr>
          <w:rFonts w:cs="Arial"/>
        </w:rPr>
        <w:t xml:space="preserve"> les dones a</w:t>
      </w:r>
      <w:r>
        <w:rPr>
          <w:rFonts w:cs="Arial"/>
        </w:rPr>
        <w:t>l</w:t>
      </w:r>
      <w:r w:rsidRPr="00647306">
        <w:rPr>
          <w:rFonts w:cs="Arial"/>
        </w:rPr>
        <w:t xml:space="preserve"> </w:t>
      </w:r>
      <w:r>
        <w:rPr>
          <w:rFonts w:cs="Arial"/>
        </w:rPr>
        <w:t>CP de D</w:t>
      </w:r>
      <w:r w:rsidRPr="00647306">
        <w:rPr>
          <w:rFonts w:cs="Arial"/>
        </w:rPr>
        <w:t xml:space="preserve">ones </w:t>
      </w:r>
      <w:r>
        <w:rPr>
          <w:rFonts w:cs="Arial"/>
        </w:rPr>
        <w:t>i reconvertir el c</w:t>
      </w:r>
      <w:r w:rsidRPr="00647306">
        <w:rPr>
          <w:rFonts w:cs="Arial"/>
        </w:rPr>
        <w:t>entre de la Trinitat p</w:t>
      </w:r>
      <w:r>
        <w:rPr>
          <w:rFonts w:cs="Arial"/>
        </w:rPr>
        <w:t>er a joves dels 16 als 21 anys.</w:t>
      </w:r>
    </w:p>
    <w:p w:rsidR="006A4109" w:rsidRPr="00647306" w:rsidRDefault="006A4109" w:rsidP="00E930B2">
      <w:pPr>
        <w:rPr>
          <w:rFonts w:cs="Arial"/>
        </w:rPr>
      </w:pPr>
      <w:r>
        <w:rPr>
          <w:rFonts w:cs="Arial"/>
        </w:rPr>
        <w:t>El CP</w:t>
      </w:r>
      <w:r w:rsidRPr="00647306">
        <w:rPr>
          <w:rFonts w:cs="Arial"/>
        </w:rPr>
        <w:t xml:space="preserve"> de </w:t>
      </w:r>
      <w:r>
        <w:rPr>
          <w:rFonts w:cs="Arial"/>
        </w:rPr>
        <w:t>J</w:t>
      </w:r>
      <w:r w:rsidRPr="00647306">
        <w:rPr>
          <w:rFonts w:cs="Arial"/>
        </w:rPr>
        <w:t xml:space="preserve">oves de la Trinitat va estar a ple funcionament, amb unes instal·lacions totalment obsoletes i laberíntiques, fins </w:t>
      </w:r>
      <w:r>
        <w:rPr>
          <w:rFonts w:cs="Arial"/>
        </w:rPr>
        <w:t xml:space="preserve">a </w:t>
      </w:r>
      <w:r w:rsidRPr="00647306">
        <w:rPr>
          <w:rFonts w:cs="Arial"/>
        </w:rPr>
        <w:t>l’any 2008, en el qu</w:t>
      </w:r>
      <w:r>
        <w:rPr>
          <w:rFonts w:cs="Arial"/>
        </w:rPr>
        <w:t>al</w:t>
      </w:r>
      <w:r w:rsidRPr="00647306">
        <w:rPr>
          <w:rFonts w:cs="Arial"/>
        </w:rPr>
        <w:t xml:space="preserve"> es va inaugurar l’actual CP de Jove</w:t>
      </w:r>
      <w:r>
        <w:rPr>
          <w:rFonts w:cs="Arial"/>
        </w:rPr>
        <w:t xml:space="preserve">s, situat a la Roca del Vallès. </w:t>
      </w:r>
    </w:p>
    <w:p w:rsidR="006A4109" w:rsidRPr="00647306" w:rsidRDefault="006A4109" w:rsidP="00E930B2">
      <w:pPr>
        <w:rPr>
          <w:rFonts w:cs="Arial"/>
        </w:rPr>
      </w:pPr>
      <w:r w:rsidRPr="00647306">
        <w:rPr>
          <w:rFonts w:cs="Arial"/>
        </w:rPr>
        <w:t xml:space="preserve">Tanmateix, a les demarcacions de fora de Barcelona, els joves empresonats van </w:t>
      </w:r>
      <w:r>
        <w:rPr>
          <w:rFonts w:cs="Arial"/>
        </w:rPr>
        <w:t>continuar</w:t>
      </w:r>
      <w:r w:rsidRPr="00647306">
        <w:rPr>
          <w:rFonts w:cs="Arial"/>
        </w:rPr>
        <w:t xml:space="preserve"> convivint en departaments específics de presons d’adults, fins que han entrat en funcion</w:t>
      </w:r>
      <w:r>
        <w:rPr>
          <w:rFonts w:cs="Arial"/>
        </w:rPr>
        <w:t>ament els CP Puig de les Basses,</w:t>
      </w:r>
      <w:r w:rsidRPr="00647306">
        <w:rPr>
          <w:rFonts w:cs="Arial"/>
        </w:rPr>
        <w:t xml:space="preserve"> l’any 2014</w:t>
      </w:r>
      <w:r>
        <w:rPr>
          <w:rFonts w:cs="Arial"/>
        </w:rPr>
        <w:t>,</w:t>
      </w:r>
      <w:r w:rsidRPr="00647306">
        <w:rPr>
          <w:rFonts w:cs="Arial"/>
        </w:rPr>
        <w:t xml:space="preserve"> i Mas d’Enric</w:t>
      </w:r>
      <w:r>
        <w:rPr>
          <w:rFonts w:cs="Arial"/>
        </w:rPr>
        <w:t>,</w:t>
      </w:r>
      <w:r w:rsidRPr="00647306">
        <w:rPr>
          <w:rFonts w:cs="Arial"/>
        </w:rPr>
        <w:t xml:space="preserve"> l’any 2015. Aquests </w:t>
      </w:r>
      <w:r>
        <w:rPr>
          <w:rFonts w:cs="Arial"/>
        </w:rPr>
        <w:t>n</w:t>
      </w:r>
      <w:r w:rsidRPr="00647306">
        <w:rPr>
          <w:rFonts w:cs="Arial"/>
        </w:rPr>
        <w:t>o</w:t>
      </w:r>
      <w:r>
        <w:rPr>
          <w:rFonts w:cs="Arial"/>
        </w:rPr>
        <w:t>us c</w:t>
      </w:r>
      <w:r w:rsidRPr="00647306">
        <w:rPr>
          <w:rFonts w:cs="Arial"/>
        </w:rPr>
        <w:t>entres penitenciaris inclouen</w:t>
      </w:r>
      <w:r>
        <w:rPr>
          <w:rFonts w:cs="Arial"/>
        </w:rPr>
        <w:t xml:space="preserve"> unitats de vida/mòduls destinat</w:t>
      </w:r>
      <w:r w:rsidRPr="00647306">
        <w:rPr>
          <w:rFonts w:cs="Arial"/>
        </w:rPr>
        <w:t>s excl</w:t>
      </w:r>
      <w:r>
        <w:rPr>
          <w:rFonts w:cs="Arial"/>
        </w:rPr>
        <w:t xml:space="preserve">usivament a la població jove.  </w:t>
      </w:r>
    </w:p>
    <w:p w:rsidR="006A4109" w:rsidRPr="00647306" w:rsidRDefault="006A4109" w:rsidP="00E930B2">
      <w:pPr>
        <w:rPr>
          <w:rFonts w:cs="Arial"/>
        </w:rPr>
      </w:pPr>
      <w:r w:rsidRPr="00647306">
        <w:rPr>
          <w:rFonts w:cs="Arial"/>
        </w:rPr>
        <w:t>És important remarca</w:t>
      </w:r>
      <w:r>
        <w:rPr>
          <w:rFonts w:cs="Arial"/>
        </w:rPr>
        <w:t>r</w:t>
      </w:r>
      <w:r w:rsidRPr="00647306">
        <w:rPr>
          <w:rFonts w:cs="Arial"/>
        </w:rPr>
        <w:t xml:space="preserve"> que, tractant-se d’un col·lectiu especialment sensible dins del sistema, Catalunya presenta un nivell d’int</w:t>
      </w:r>
      <w:r>
        <w:rPr>
          <w:rFonts w:cs="Arial"/>
        </w:rPr>
        <w:t>ernament de menors de 21 anys (</w:t>
      </w:r>
      <w:r w:rsidRPr="00647306">
        <w:rPr>
          <w:rFonts w:cs="Arial"/>
        </w:rPr>
        <w:t xml:space="preserve">acumulant les </w:t>
      </w:r>
      <w:r w:rsidRPr="00647306">
        <w:rPr>
          <w:rFonts w:cs="Arial"/>
        </w:rPr>
        <w:lastRenderedPageBreak/>
        <w:t>dades de població privada de llibertat de la jurisdicció penal d’adults i de menors</w:t>
      </w:r>
      <w:r>
        <w:rPr>
          <w:rFonts w:cs="Arial"/>
        </w:rPr>
        <w:t>)</w:t>
      </w:r>
      <w:r w:rsidRPr="00647306">
        <w:rPr>
          <w:rFonts w:cs="Arial"/>
        </w:rPr>
        <w:t xml:space="preserve"> considerablement baix e</w:t>
      </w:r>
      <w:r>
        <w:rPr>
          <w:rFonts w:cs="Arial"/>
        </w:rPr>
        <w:t>n relació amb les dades europees.</w:t>
      </w:r>
    </w:p>
    <w:p w:rsidR="006A4109" w:rsidRPr="00647306" w:rsidRDefault="006A4109" w:rsidP="00E930B2">
      <w:pPr>
        <w:rPr>
          <w:rFonts w:cs="Arial"/>
        </w:rPr>
      </w:pPr>
      <w:r w:rsidRPr="00647306">
        <w:rPr>
          <w:rFonts w:cs="Arial"/>
        </w:rPr>
        <w:t xml:space="preserve">Una variable que cada vegada adquireix més rellevància, especialment en la població interna jove, és l’estrangeria. Actualment més del 50% de la població jove és estrangera, majoritàriament amb una situació sense regularitzar, sense documentació i sense referents externs que requereix d’un plantejament </w:t>
      </w:r>
      <w:r>
        <w:rPr>
          <w:rFonts w:cs="Arial"/>
        </w:rPr>
        <w:t>específic actualment en estudi.</w:t>
      </w:r>
    </w:p>
    <w:p w:rsidR="006A4109" w:rsidRPr="00647306" w:rsidRDefault="006A4109" w:rsidP="00E930B2">
      <w:pPr>
        <w:rPr>
          <w:rFonts w:cs="Arial"/>
        </w:rPr>
      </w:pPr>
      <w:r>
        <w:rPr>
          <w:rFonts w:cs="Arial"/>
        </w:rPr>
        <w:t>Les r</w:t>
      </w:r>
      <w:r w:rsidRPr="00647306">
        <w:rPr>
          <w:rFonts w:cs="Arial"/>
        </w:rPr>
        <w:t>egles mínimes per al tractament dels interns adoptades pel I Congrés de Nacions Unides sobre prevenció del delicte i tractament del delinqüent, celebrat a Ginebra l’any 1955, ja recullen regles que determinen que “els detinguts joves hauran de ser separats dels adults” i que “la instrucció dels analfabets i la dels inte</w:t>
      </w:r>
      <w:r>
        <w:rPr>
          <w:rFonts w:cs="Arial"/>
        </w:rPr>
        <w:t>rns joves ha de ser obligatòria i l’A</w:t>
      </w:r>
      <w:r w:rsidRPr="00647306">
        <w:rPr>
          <w:rFonts w:cs="Arial"/>
        </w:rPr>
        <w:t>dministració li ha de</w:t>
      </w:r>
      <w:r>
        <w:rPr>
          <w:rFonts w:cs="Arial"/>
        </w:rPr>
        <w:t xml:space="preserve"> prestar una atenció especial”.</w:t>
      </w:r>
    </w:p>
    <w:p w:rsidR="006A4109" w:rsidRPr="00647306" w:rsidRDefault="006A4109" w:rsidP="00E930B2">
      <w:pPr>
        <w:rPr>
          <w:rFonts w:cs="Arial"/>
        </w:rPr>
      </w:pPr>
      <w:r w:rsidRPr="00647306">
        <w:rPr>
          <w:rFonts w:cs="Arial"/>
        </w:rPr>
        <w:t>La LOGP de1979 estableix, en l’article 9.2, que “els joves han de complir separadament dels adults en centres diferents o, en tot cas, en departaments separats. Als efectes d’aquesta Llei, s’entén per joves les persones d’un i altre sexe que no hagin complert els vint-i un anys. Excepcionalment, i segons la personalitat de l’intern, pod</w:t>
      </w:r>
      <w:r>
        <w:rPr>
          <w:rFonts w:cs="Arial"/>
        </w:rPr>
        <w:t>e</w:t>
      </w:r>
      <w:r w:rsidRPr="00647306">
        <w:rPr>
          <w:rFonts w:cs="Arial"/>
        </w:rPr>
        <w:t xml:space="preserve">n romandre en centres de joves </w:t>
      </w:r>
      <w:r>
        <w:rPr>
          <w:rFonts w:cs="Arial"/>
        </w:rPr>
        <w:t>els</w:t>
      </w:r>
      <w:r w:rsidRPr="00647306">
        <w:rPr>
          <w:rFonts w:cs="Arial"/>
        </w:rPr>
        <w:t xml:space="preserve"> qu</w:t>
      </w:r>
      <w:r>
        <w:rPr>
          <w:rFonts w:cs="Arial"/>
        </w:rPr>
        <w:t>i</w:t>
      </w:r>
      <w:r w:rsidRPr="00647306">
        <w:rPr>
          <w:rFonts w:cs="Arial"/>
        </w:rPr>
        <w:t xml:space="preserve">, havent complert vint-i-un anys, no hagin </w:t>
      </w:r>
      <w:r>
        <w:rPr>
          <w:rFonts w:cs="Arial"/>
        </w:rPr>
        <w:t>fet e</w:t>
      </w:r>
      <w:r w:rsidRPr="00647306">
        <w:rPr>
          <w:rFonts w:cs="Arial"/>
        </w:rPr>
        <w:t>ls vint-i-cinc”.</w:t>
      </w:r>
    </w:p>
    <w:p w:rsidR="006A4109" w:rsidRPr="00647306" w:rsidRDefault="006A4109" w:rsidP="00E930B2">
      <w:pPr>
        <w:rPr>
          <w:rFonts w:cs="Arial"/>
        </w:rPr>
      </w:pPr>
    </w:p>
    <w:p w:rsidR="006A4109" w:rsidRPr="00647306" w:rsidRDefault="006A4109" w:rsidP="00E930B2">
      <w:pPr>
        <w:rPr>
          <w:rFonts w:cs="Arial"/>
        </w:rPr>
      </w:pPr>
      <w:r w:rsidRPr="00647306">
        <w:rPr>
          <w:rFonts w:cs="Arial"/>
        </w:rPr>
        <w:t>Pel que fa a les normes penitenciàries europees, la Recomanació núm. R (87) 3, estableix que “els interns joves han de ser allotjats en condicions que els protegeixin tant com es pugui de tota influència nefasta i s’han de beneficiar d’un règim que tingui en compte les necessitats particulars de la seva edat” i, pel que fa a l’educació, que “els joves interns, sobretot els d’origen estranger o els que tenen necessitats culturals particulars, per raó de la seva ètnia, haurien de rebre una atenció especial per les a</w:t>
      </w:r>
      <w:r>
        <w:rPr>
          <w:rFonts w:cs="Arial"/>
        </w:rPr>
        <w:t>dministracions penitenciàries”.</w:t>
      </w:r>
    </w:p>
    <w:p w:rsidR="006A4109" w:rsidRPr="00647306" w:rsidRDefault="006A4109" w:rsidP="00E930B2">
      <w:pPr>
        <w:rPr>
          <w:rFonts w:cs="Arial"/>
        </w:rPr>
      </w:pPr>
      <w:r w:rsidRPr="00647306">
        <w:rPr>
          <w:rFonts w:cs="Arial"/>
        </w:rPr>
        <w:t>El Reial decret 190/1996, de 9 de febrer, pel qual s’aprova el Reglament penitenciari, en els articles 173 al 177, estableix els principis que regeixen l’execució penitenciària</w:t>
      </w:r>
      <w:r>
        <w:rPr>
          <w:rFonts w:cs="Arial"/>
        </w:rPr>
        <w:t xml:space="preserve"> als departaments per a joves. </w:t>
      </w:r>
    </w:p>
    <w:p w:rsidR="006A4109" w:rsidRPr="00647306" w:rsidRDefault="006A4109" w:rsidP="00E930B2">
      <w:pPr>
        <w:rPr>
          <w:rFonts w:cs="Arial"/>
        </w:rPr>
      </w:pPr>
      <w:r w:rsidRPr="00647306">
        <w:rPr>
          <w:rFonts w:cs="Arial"/>
        </w:rPr>
        <w:t xml:space="preserve">Un salt qualitatiu important es produeix amb la promulgació de la Llei </w:t>
      </w:r>
      <w:r>
        <w:rPr>
          <w:rFonts w:cs="Arial"/>
        </w:rPr>
        <w:t>o</w:t>
      </w:r>
      <w:r w:rsidRPr="00647306">
        <w:rPr>
          <w:rFonts w:cs="Arial"/>
        </w:rPr>
        <w:t>rgànica 5/2000 reguladora de la responsabilitat penal dels menors</w:t>
      </w:r>
      <w:r>
        <w:rPr>
          <w:rFonts w:cs="Arial"/>
        </w:rPr>
        <w:t>, l</w:t>
      </w:r>
      <w:r w:rsidRPr="00647306">
        <w:rPr>
          <w:rFonts w:cs="Arial"/>
        </w:rPr>
        <w:t>a qual estableix la ma</w:t>
      </w:r>
      <w:r>
        <w:rPr>
          <w:rFonts w:cs="Arial"/>
        </w:rPr>
        <w:t>joria d’edat penal als 18 anys.</w:t>
      </w:r>
    </w:p>
    <w:p w:rsidR="006A4109" w:rsidRPr="00647306" w:rsidRDefault="006A4109" w:rsidP="00E930B2">
      <w:pPr>
        <w:rPr>
          <w:rFonts w:cs="Arial"/>
        </w:rPr>
      </w:pPr>
      <w:r w:rsidRPr="00647306">
        <w:rPr>
          <w:rFonts w:cs="Arial"/>
        </w:rPr>
        <w:t xml:space="preserve">Les característiques arquitectòniques del nou Centre Penitenciari de Joves, i també els dos mòduls per a joves dels CP Puig de les Basses i de Mas </w:t>
      </w:r>
      <w:r>
        <w:rPr>
          <w:rFonts w:cs="Arial"/>
        </w:rPr>
        <w:t>d’</w:t>
      </w:r>
      <w:r w:rsidRPr="00647306">
        <w:rPr>
          <w:rFonts w:cs="Arial"/>
        </w:rPr>
        <w:t xml:space="preserve">Enric, permeten potenciar la formació social, educativa, cultural, esportiva i mediambiental d’aquest segment de la població, </w:t>
      </w:r>
      <w:r>
        <w:rPr>
          <w:rFonts w:cs="Arial"/>
        </w:rPr>
        <w:t>atès</w:t>
      </w:r>
      <w:r w:rsidRPr="00647306">
        <w:rPr>
          <w:rFonts w:cs="Arial"/>
        </w:rPr>
        <w:t xml:space="preserve"> que compta amb una dotació d’estructures i espais òptima per al desenvolupament d</w:t>
      </w:r>
      <w:r>
        <w:rPr>
          <w:rFonts w:cs="Arial"/>
        </w:rPr>
        <w:t>e les activitats de cada àmbit.</w:t>
      </w:r>
    </w:p>
    <w:p w:rsidR="006A4109" w:rsidRPr="00647306" w:rsidRDefault="006A4109" w:rsidP="00E930B2">
      <w:pPr>
        <w:rPr>
          <w:rFonts w:cs="Arial"/>
        </w:rPr>
      </w:pPr>
      <w:r w:rsidRPr="00647306">
        <w:rPr>
          <w:rFonts w:cs="Arial"/>
        </w:rPr>
        <w:t>La dotació de personal de rehabilitació està pensada per atendre de manera apropiada les necessitats especials dels joves, d’una manera més intensiva i individualitzada, amb ràtios menors d</w:t>
      </w:r>
      <w:r>
        <w:rPr>
          <w:rFonts w:cs="Arial"/>
        </w:rPr>
        <w:t>’interns per professional.</w:t>
      </w:r>
    </w:p>
    <w:p w:rsidR="006A4109" w:rsidRPr="00647306" w:rsidRDefault="006A4109" w:rsidP="00E930B2">
      <w:pPr>
        <w:rPr>
          <w:rFonts w:cs="Arial"/>
        </w:rPr>
      </w:pPr>
      <w:r w:rsidRPr="00647306">
        <w:rPr>
          <w:rFonts w:cs="Arial"/>
        </w:rPr>
        <w:t>Per assolir els objectius establerts als programes individualitzats i potenciar</w:t>
      </w:r>
      <w:r>
        <w:rPr>
          <w:rFonts w:cs="Arial"/>
        </w:rPr>
        <w:t>-ne</w:t>
      </w:r>
      <w:r w:rsidRPr="00647306">
        <w:rPr>
          <w:rFonts w:cs="Arial"/>
        </w:rPr>
        <w:t xml:space="preserve"> l’interès, la col·laboració i participació dels interns en el seu tractament, </w:t>
      </w:r>
      <w:r>
        <w:rPr>
          <w:rFonts w:cs="Arial"/>
        </w:rPr>
        <w:t>a</w:t>
      </w:r>
      <w:r w:rsidRPr="00647306">
        <w:rPr>
          <w:rFonts w:cs="Arial"/>
        </w:rPr>
        <w:t>l CP</w:t>
      </w:r>
      <w:r>
        <w:rPr>
          <w:rFonts w:cs="Arial"/>
        </w:rPr>
        <w:t xml:space="preserve"> de</w:t>
      </w:r>
      <w:r w:rsidRPr="00647306">
        <w:rPr>
          <w:rFonts w:cs="Arial"/>
        </w:rPr>
        <w:t xml:space="preserve"> Joves</w:t>
      </w:r>
      <w:r>
        <w:rPr>
          <w:rFonts w:cs="Arial"/>
        </w:rPr>
        <w:t>,</w:t>
      </w:r>
      <w:r w:rsidRPr="00647306">
        <w:rPr>
          <w:rFonts w:cs="Arial"/>
        </w:rPr>
        <w:t xml:space="preserve"> es posa en funcionament un sistema flexible de separació, amb diverses modalitats de vida caracteritzades per marges progre</w:t>
      </w:r>
      <w:r>
        <w:rPr>
          <w:rFonts w:cs="Arial"/>
        </w:rPr>
        <w:t>ssius de confiança i llibertat.</w:t>
      </w:r>
    </w:p>
    <w:p w:rsidR="006A4109" w:rsidRPr="00647306" w:rsidRDefault="006A4109" w:rsidP="00E930B2">
      <w:pPr>
        <w:rPr>
          <w:rFonts w:cs="Arial"/>
        </w:rPr>
      </w:pPr>
      <w:r w:rsidRPr="00647306">
        <w:rPr>
          <w:rFonts w:cs="Arial"/>
        </w:rPr>
        <w:t>El règim de vida dels departame</w:t>
      </w:r>
      <w:r>
        <w:rPr>
          <w:rFonts w:cs="Arial"/>
        </w:rPr>
        <w:t>nts per a joves es caracteritza</w:t>
      </w:r>
      <w:r w:rsidRPr="00647306">
        <w:rPr>
          <w:rFonts w:cs="Arial"/>
        </w:rPr>
        <w:t xml:space="preserve"> per una acció educativa intensa (art. 173 d</w:t>
      </w:r>
      <w:r>
        <w:rPr>
          <w:rFonts w:cs="Arial"/>
        </w:rPr>
        <w:t>el Reglament penitenciari).</w:t>
      </w:r>
    </w:p>
    <w:p w:rsidR="006A4109" w:rsidRPr="00647306" w:rsidRDefault="006A4109" w:rsidP="00E930B2">
      <w:pPr>
        <w:rPr>
          <w:rFonts w:cs="Arial"/>
        </w:rPr>
      </w:pPr>
      <w:r w:rsidRPr="00647306">
        <w:rPr>
          <w:rFonts w:cs="Arial"/>
        </w:rPr>
        <w:t>El jove, malgrat que hagi assolit la majoria d’edat penal, continua essent un individu amb necessitats educatives molt importants, i més encara si es considera que un dels antecedents de la seva conducta delictiva és l’absència d’habilitats i coneixements que li perme</w:t>
      </w:r>
      <w:r>
        <w:rPr>
          <w:rFonts w:cs="Arial"/>
        </w:rPr>
        <w:t>tin una socialització correcta.</w:t>
      </w:r>
    </w:p>
    <w:p w:rsidR="006A4109" w:rsidRPr="00425C02" w:rsidRDefault="006A4109" w:rsidP="00E930B2">
      <w:pPr>
        <w:rPr>
          <w:rFonts w:cs="Arial"/>
        </w:rPr>
      </w:pPr>
      <w:r w:rsidRPr="00647306">
        <w:rPr>
          <w:rFonts w:cs="Arial"/>
        </w:rPr>
        <w:lastRenderedPageBreak/>
        <w:t>Les condicions arquitectòniques i ambientals, el sistema de convivència i l’organit</w:t>
      </w:r>
      <w:r>
        <w:rPr>
          <w:rFonts w:cs="Arial"/>
        </w:rPr>
        <w:t>zació de la vida del CP de J</w:t>
      </w:r>
      <w:r w:rsidRPr="00647306">
        <w:rPr>
          <w:rFonts w:cs="Arial"/>
        </w:rPr>
        <w:t>oves i dels depa</w:t>
      </w:r>
      <w:r>
        <w:rPr>
          <w:rFonts w:cs="Arial"/>
        </w:rPr>
        <w:t>rtaments de joves s’estructure</w:t>
      </w:r>
      <w:r w:rsidRPr="00647306">
        <w:rPr>
          <w:rFonts w:cs="Arial"/>
        </w:rPr>
        <w:t>n de manera que es garanteixi el desenvolupament</w:t>
      </w:r>
      <w:r>
        <w:rPr>
          <w:rFonts w:cs="Arial"/>
        </w:rPr>
        <w:t xml:space="preserve"> de cinc programes fonamentals:</w:t>
      </w:r>
    </w:p>
    <w:p w:rsidR="006A4109" w:rsidRPr="00647306" w:rsidRDefault="006A4109" w:rsidP="00AE0A20">
      <w:pPr>
        <w:pStyle w:val="Pargrafdellista"/>
        <w:numPr>
          <w:ilvl w:val="0"/>
          <w:numId w:val="9"/>
        </w:numPr>
        <w:rPr>
          <w:rFonts w:cs="Arial"/>
        </w:rPr>
      </w:pPr>
      <w:r w:rsidRPr="00647306">
        <w:rPr>
          <w:rFonts w:cs="Arial"/>
        </w:rPr>
        <w:t>Programes de formació instrumental i formació bàsica, general i compensatòria.</w:t>
      </w:r>
    </w:p>
    <w:p w:rsidR="006A4109" w:rsidRPr="00647306" w:rsidRDefault="006A4109" w:rsidP="00AE0A20">
      <w:pPr>
        <w:pStyle w:val="Pargrafdellista"/>
        <w:numPr>
          <w:ilvl w:val="0"/>
          <w:numId w:val="9"/>
        </w:numPr>
        <w:rPr>
          <w:rFonts w:cs="Arial"/>
        </w:rPr>
      </w:pPr>
      <w:r w:rsidRPr="00647306">
        <w:rPr>
          <w:rFonts w:cs="Arial"/>
        </w:rPr>
        <w:t>Programes de formació laboral i incorporació al sistema productiu.</w:t>
      </w:r>
    </w:p>
    <w:p w:rsidR="006A4109" w:rsidRPr="00647306" w:rsidRDefault="006A4109" w:rsidP="00AE0A20">
      <w:pPr>
        <w:pStyle w:val="Pargrafdellista"/>
        <w:numPr>
          <w:ilvl w:val="0"/>
          <w:numId w:val="9"/>
        </w:numPr>
        <w:rPr>
          <w:rFonts w:cs="Arial"/>
        </w:rPr>
      </w:pPr>
      <w:r w:rsidRPr="00647306">
        <w:rPr>
          <w:rFonts w:cs="Arial"/>
        </w:rPr>
        <w:t>Programes de formació per</w:t>
      </w:r>
      <w:r>
        <w:rPr>
          <w:rFonts w:cs="Arial"/>
        </w:rPr>
        <w:t xml:space="preserve"> a</w:t>
      </w:r>
      <w:r w:rsidRPr="00647306">
        <w:rPr>
          <w:rFonts w:cs="Arial"/>
        </w:rPr>
        <w:t xml:space="preserve"> l’oci i la cultura i aprofundiment en els valors cívics.</w:t>
      </w:r>
    </w:p>
    <w:p w:rsidR="006A4109" w:rsidRPr="00647306" w:rsidRDefault="006A4109" w:rsidP="00AE0A20">
      <w:pPr>
        <w:pStyle w:val="Pargrafdellista"/>
        <w:numPr>
          <w:ilvl w:val="0"/>
          <w:numId w:val="9"/>
        </w:numPr>
        <w:rPr>
          <w:rFonts w:cs="Arial"/>
        </w:rPr>
      </w:pPr>
      <w:r w:rsidRPr="00647306">
        <w:rPr>
          <w:rFonts w:cs="Arial"/>
        </w:rPr>
        <w:t>Programes d’educació física i esports.</w:t>
      </w:r>
    </w:p>
    <w:p w:rsidR="006A4109" w:rsidRPr="00647306" w:rsidRDefault="006A4109" w:rsidP="00AE0A20">
      <w:pPr>
        <w:pStyle w:val="Pargrafdellista"/>
        <w:numPr>
          <w:ilvl w:val="0"/>
          <w:numId w:val="9"/>
        </w:numPr>
        <w:rPr>
          <w:rFonts w:cs="Arial"/>
        </w:rPr>
      </w:pPr>
      <w:r w:rsidRPr="00647306">
        <w:rPr>
          <w:rFonts w:cs="Arial"/>
        </w:rPr>
        <w:t>Programes d’intervenció especialitzada de caràcter psicosocial.</w:t>
      </w:r>
    </w:p>
    <w:p w:rsidR="006A4109" w:rsidRPr="00647306" w:rsidRDefault="006A4109" w:rsidP="00E930B2">
      <w:pPr>
        <w:rPr>
          <w:rFonts w:cs="Arial"/>
        </w:rPr>
      </w:pPr>
      <w:r w:rsidRPr="00647306">
        <w:rPr>
          <w:rFonts w:cs="Arial"/>
        </w:rPr>
        <w:t>En aquest sentit prenen una importància cabdal els processos de modelatge i imitació que es donen de manera especial en l’etapa jove, sobretot en relació amb el grup de pertinença i/o referència, que en la població reclusa sovint és de caire dissocial. És, doncs, extremament important crear dinàmiques grupals positives i prosocials.</w:t>
      </w:r>
    </w:p>
    <w:p w:rsidR="006A4109" w:rsidRPr="00647306" w:rsidRDefault="006A4109" w:rsidP="00E930B2">
      <w:pPr>
        <w:rPr>
          <w:rFonts w:cs="Arial"/>
        </w:rPr>
      </w:pPr>
    </w:p>
    <w:p w:rsidR="006A4109" w:rsidRPr="00647306" w:rsidRDefault="006A4109" w:rsidP="00E930B2">
      <w:pPr>
        <w:rPr>
          <w:rFonts w:cs="Arial"/>
        </w:rPr>
      </w:pPr>
      <w:r w:rsidRPr="00647306">
        <w:rPr>
          <w:rFonts w:cs="Arial"/>
        </w:rPr>
        <w:t xml:space="preserve">Els joves es troben en una franja d’edat en la qual encara prenen un valor </w:t>
      </w:r>
      <w:r>
        <w:rPr>
          <w:rFonts w:cs="Arial"/>
        </w:rPr>
        <w:t>bàsic</w:t>
      </w:r>
      <w:r w:rsidRPr="00647306">
        <w:rPr>
          <w:rFonts w:cs="Arial"/>
        </w:rPr>
        <w:t xml:space="preserve"> els vincles externs, tant del grup d’iguals de pertinença com dels referents familiars i socials, i aquests vincles </w:t>
      </w:r>
      <w:r>
        <w:rPr>
          <w:rFonts w:cs="Arial"/>
        </w:rPr>
        <w:t>es</w:t>
      </w:r>
      <w:r w:rsidRPr="00647306">
        <w:rPr>
          <w:rFonts w:cs="Arial"/>
        </w:rPr>
        <w:t xml:space="preserve"> t</w:t>
      </w:r>
      <w:r>
        <w:rPr>
          <w:rFonts w:cs="Arial"/>
        </w:rPr>
        <w:t>enen</w:t>
      </w:r>
      <w:r w:rsidRPr="00647306">
        <w:rPr>
          <w:rFonts w:cs="Arial"/>
        </w:rPr>
        <w:t xml:space="preserve"> especialment en compte en el disseny dels plans </w:t>
      </w:r>
      <w:r>
        <w:rPr>
          <w:rFonts w:cs="Arial"/>
        </w:rPr>
        <w:t>individualitzats de tractament.</w:t>
      </w:r>
    </w:p>
    <w:p w:rsidR="006A4109" w:rsidRPr="00647306" w:rsidRDefault="006A4109" w:rsidP="00E930B2">
      <w:pPr>
        <w:rPr>
          <w:rFonts w:cs="Arial"/>
        </w:rPr>
      </w:pPr>
      <w:r>
        <w:rPr>
          <w:rFonts w:cs="Arial"/>
        </w:rPr>
        <w:t>S’ha de fomentar</w:t>
      </w:r>
      <w:r w:rsidRPr="00647306">
        <w:rPr>
          <w:rFonts w:cs="Arial"/>
        </w:rPr>
        <w:t xml:space="preserve">, en la mesura </w:t>
      </w:r>
      <w:r>
        <w:rPr>
          <w:rFonts w:cs="Arial"/>
        </w:rPr>
        <w:t>que sigui</w:t>
      </w:r>
      <w:r w:rsidRPr="00647306">
        <w:rPr>
          <w:rFonts w:cs="Arial"/>
        </w:rPr>
        <w:t xml:space="preserve"> possible, el contacte de l’i</w:t>
      </w:r>
      <w:r>
        <w:rPr>
          <w:rFonts w:cs="Arial"/>
        </w:rPr>
        <w:t xml:space="preserve">ntern amb el seu entorn social, </w:t>
      </w:r>
      <w:r w:rsidRPr="00647306">
        <w:rPr>
          <w:rFonts w:cs="Arial"/>
        </w:rPr>
        <w:t xml:space="preserve">utilitzant al màxim els recursos </w:t>
      </w:r>
      <w:r>
        <w:rPr>
          <w:rFonts w:cs="Arial"/>
        </w:rPr>
        <w:t>que hi ha</w:t>
      </w:r>
      <w:r w:rsidRPr="00647306">
        <w:rPr>
          <w:rFonts w:cs="Arial"/>
        </w:rPr>
        <w:t xml:space="preserve"> d’acostament progressiu a l’exterior i procura</w:t>
      </w:r>
      <w:r>
        <w:rPr>
          <w:rFonts w:cs="Arial"/>
        </w:rPr>
        <w:t>r</w:t>
      </w:r>
      <w:r w:rsidRPr="00647306">
        <w:rPr>
          <w:rFonts w:cs="Arial"/>
        </w:rPr>
        <w:t xml:space="preserve"> la participació de les institucions comunitàries en la vida del departamen</w:t>
      </w:r>
      <w:r>
        <w:rPr>
          <w:rFonts w:cs="Arial"/>
        </w:rPr>
        <w:t>t o centre de joves.</w:t>
      </w:r>
    </w:p>
    <w:p w:rsidR="006A4109" w:rsidRPr="00425C02" w:rsidRDefault="006A4109" w:rsidP="00E930B2">
      <w:pPr>
        <w:rPr>
          <w:rFonts w:cs="Arial"/>
        </w:rPr>
      </w:pPr>
      <w:r w:rsidRPr="00647306">
        <w:rPr>
          <w:rFonts w:cs="Arial"/>
        </w:rPr>
        <w:t>Les perspectives de futur en relació a</w:t>
      </w:r>
      <w:r>
        <w:rPr>
          <w:rFonts w:cs="Arial"/>
        </w:rPr>
        <w:t>mb</w:t>
      </w:r>
      <w:r w:rsidRPr="00647306">
        <w:rPr>
          <w:rFonts w:cs="Arial"/>
        </w:rPr>
        <w:t xml:space="preserve"> la intervenció amb el col</w:t>
      </w:r>
      <w:r>
        <w:rPr>
          <w:rFonts w:cs="Arial"/>
        </w:rPr>
        <w:t>·lectiu de joves ha de preveure:</w:t>
      </w:r>
    </w:p>
    <w:p w:rsidR="006A4109" w:rsidRPr="00647306" w:rsidRDefault="006A4109" w:rsidP="00AE0A20">
      <w:pPr>
        <w:pStyle w:val="Pargrafdellista"/>
        <w:numPr>
          <w:ilvl w:val="0"/>
          <w:numId w:val="9"/>
        </w:numPr>
        <w:rPr>
          <w:rFonts w:cs="Arial"/>
        </w:rPr>
      </w:pPr>
      <w:r w:rsidRPr="00647306">
        <w:rPr>
          <w:rFonts w:cs="Arial"/>
        </w:rPr>
        <w:t xml:space="preserve">El concepte i període de l’etapa juvenil s’ha eixamplat en la societat actual, </w:t>
      </w:r>
      <w:r>
        <w:rPr>
          <w:rFonts w:cs="Arial"/>
        </w:rPr>
        <w:t xml:space="preserve"> i es </w:t>
      </w:r>
      <w:r w:rsidRPr="00647306">
        <w:rPr>
          <w:rFonts w:cs="Arial"/>
        </w:rPr>
        <w:t>disseny</w:t>
      </w:r>
      <w:r>
        <w:rPr>
          <w:rFonts w:cs="Arial"/>
        </w:rPr>
        <w:t>en</w:t>
      </w:r>
      <w:r w:rsidRPr="00647306">
        <w:rPr>
          <w:rFonts w:cs="Arial"/>
        </w:rPr>
        <w:t xml:space="preserve"> polítiques juvenils en molts casos fins </w:t>
      </w:r>
      <w:r>
        <w:rPr>
          <w:rFonts w:cs="Arial"/>
        </w:rPr>
        <w:t>a</w:t>
      </w:r>
      <w:r w:rsidRPr="00647306">
        <w:rPr>
          <w:rFonts w:cs="Arial"/>
        </w:rPr>
        <w:t>l</w:t>
      </w:r>
      <w:r>
        <w:rPr>
          <w:rFonts w:cs="Arial"/>
        </w:rPr>
        <w:t>s</w:t>
      </w:r>
      <w:r w:rsidRPr="00647306">
        <w:rPr>
          <w:rFonts w:cs="Arial"/>
        </w:rPr>
        <w:t xml:space="preserve"> 30 anys o més. Aquesta realitat hauria de tenir la seva traducció també en el sistema peniten</w:t>
      </w:r>
      <w:r>
        <w:rPr>
          <w:rFonts w:cs="Arial"/>
        </w:rPr>
        <w:t xml:space="preserve">ciari. S’ha de valorar quina hauria de </w:t>
      </w:r>
      <w:r w:rsidRPr="00647306">
        <w:rPr>
          <w:rFonts w:cs="Arial"/>
        </w:rPr>
        <w:t>ser l’e</w:t>
      </w:r>
      <w:r>
        <w:rPr>
          <w:rFonts w:cs="Arial"/>
        </w:rPr>
        <w:t>dat mínima per ingressar en un c</w:t>
      </w:r>
      <w:r w:rsidRPr="00647306">
        <w:rPr>
          <w:rFonts w:cs="Arial"/>
        </w:rPr>
        <w:t xml:space="preserve">entre </w:t>
      </w:r>
      <w:r>
        <w:rPr>
          <w:rFonts w:cs="Arial"/>
        </w:rPr>
        <w:t>p</w:t>
      </w:r>
      <w:r w:rsidRPr="00647306">
        <w:rPr>
          <w:rFonts w:cs="Arial"/>
        </w:rPr>
        <w:t>enitenciari d’adults i quin</w:t>
      </w:r>
      <w:r>
        <w:rPr>
          <w:rFonts w:cs="Arial"/>
        </w:rPr>
        <w:t>a</w:t>
      </w:r>
      <w:r w:rsidRPr="00647306">
        <w:rPr>
          <w:rFonts w:cs="Arial"/>
        </w:rPr>
        <w:t xml:space="preserve"> hauria de ser l’edat màxima d’estada en un centre de joves amb interns que presenten un perfil de modelatge positiu.</w:t>
      </w:r>
    </w:p>
    <w:p w:rsidR="006A4109" w:rsidRPr="00647306" w:rsidRDefault="006A4109" w:rsidP="00AE0A20">
      <w:pPr>
        <w:pStyle w:val="Pargrafdellista"/>
        <w:numPr>
          <w:ilvl w:val="0"/>
          <w:numId w:val="9"/>
        </w:numPr>
        <w:rPr>
          <w:rFonts w:cs="Arial"/>
        </w:rPr>
      </w:pPr>
      <w:r>
        <w:rPr>
          <w:rFonts w:cs="Arial"/>
        </w:rPr>
        <w:t>D’</w:t>
      </w:r>
      <w:r w:rsidRPr="00647306">
        <w:rPr>
          <w:rFonts w:cs="Arial"/>
        </w:rPr>
        <w:t>altr</w:t>
      </w:r>
      <w:r>
        <w:rPr>
          <w:rFonts w:cs="Arial"/>
        </w:rPr>
        <w:t>a</w:t>
      </w:r>
      <w:r w:rsidRPr="00647306">
        <w:rPr>
          <w:rFonts w:cs="Arial"/>
        </w:rPr>
        <w:t xml:space="preserve"> banda, actualment</w:t>
      </w:r>
      <w:r>
        <w:rPr>
          <w:rFonts w:cs="Arial"/>
        </w:rPr>
        <w:t>,</w:t>
      </w:r>
      <w:r w:rsidRPr="00647306">
        <w:rPr>
          <w:rFonts w:cs="Arial"/>
        </w:rPr>
        <w:t xml:space="preserve"> els equipaments residencials superen la demanda, </w:t>
      </w:r>
      <w:r>
        <w:rPr>
          <w:rFonts w:cs="Arial"/>
        </w:rPr>
        <w:t xml:space="preserve">fet pel quals es </w:t>
      </w:r>
      <w:r w:rsidRPr="00647306">
        <w:rPr>
          <w:rFonts w:cs="Arial"/>
        </w:rPr>
        <w:t>produ</w:t>
      </w:r>
      <w:r>
        <w:rPr>
          <w:rFonts w:cs="Arial"/>
        </w:rPr>
        <w:t>eix</w:t>
      </w:r>
      <w:r w:rsidRPr="00647306">
        <w:rPr>
          <w:rFonts w:cs="Arial"/>
        </w:rPr>
        <w:t xml:space="preserve"> un baix nivell d’optimització i aprofitament dels recursos </w:t>
      </w:r>
      <w:r>
        <w:rPr>
          <w:rFonts w:cs="Arial"/>
        </w:rPr>
        <w:t>que hi ha</w:t>
      </w:r>
      <w:r w:rsidRPr="00647306">
        <w:rPr>
          <w:rFonts w:cs="Arial"/>
        </w:rPr>
        <w:t>. En algun</w:t>
      </w:r>
      <w:r>
        <w:rPr>
          <w:rFonts w:cs="Arial"/>
        </w:rPr>
        <w:t>s</w:t>
      </w:r>
      <w:r w:rsidRPr="00647306">
        <w:rPr>
          <w:rFonts w:cs="Arial"/>
        </w:rPr>
        <w:t xml:space="preserve"> casos </w:t>
      </w:r>
      <w:r>
        <w:rPr>
          <w:rFonts w:cs="Arial"/>
        </w:rPr>
        <w:t>es renuncia i retorna</w:t>
      </w:r>
      <w:r w:rsidRPr="00647306">
        <w:rPr>
          <w:rFonts w:cs="Arial"/>
        </w:rPr>
        <w:t xml:space="preserve"> a models pre</w:t>
      </w:r>
      <w:r>
        <w:rPr>
          <w:rFonts w:cs="Arial"/>
        </w:rPr>
        <w:t>vis</w:t>
      </w:r>
      <w:r w:rsidRPr="00647306">
        <w:rPr>
          <w:rFonts w:cs="Arial"/>
        </w:rPr>
        <w:t xml:space="preserve"> malgrat </w:t>
      </w:r>
      <w:r>
        <w:rPr>
          <w:rFonts w:cs="Arial"/>
        </w:rPr>
        <w:t xml:space="preserve">que es </w:t>
      </w:r>
      <w:r w:rsidRPr="00647306">
        <w:rPr>
          <w:rFonts w:cs="Arial"/>
        </w:rPr>
        <w:t>disposa de bons equipaments.</w:t>
      </w:r>
    </w:p>
    <w:p w:rsidR="006A4109" w:rsidRPr="00647306" w:rsidRDefault="006A4109" w:rsidP="00AE0A20">
      <w:pPr>
        <w:pStyle w:val="Pargrafdellista"/>
        <w:numPr>
          <w:ilvl w:val="0"/>
          <w:numId w:val="9"/>
        </w:numPr>
        <w:rPr>
          <w:rFonts w:cs="Arial"/>
        </w:rPr>
      </w:pPr>
      <w:r w:rsidRPr="00647306">
        <w:rPr>
          <w:rFonts w:cs="Arial"/>
        </w:rPr>
        <w:t>A diferència dels nois, no hi ha unitats de noies menors de 21 anys especialitzades. Conviuen amb les seves companyes adultes.</w:t>
      </w:r>
    </w:p>
    <w:p w:rsidR="006A4109" w:rsidRPr="00647306" w:rsidRDefault="006A4109" w:rsidP="00AE0A20">
      <w:pPr>
        <w:pStyle w:val="Pargrafdellista"/>
        <w:numPr>
          <w:ilvl w:val="0"/>
          <w:numId w:val="9"/>
        </w:numPr>
        <w:rPr>
          <w:rFonts w:cs="Arial"/>
        </w:rPr>
      </w:pPr>
      <w:r w:rsidRPr="00647306">
        <w:rPr>
          <w:rFonts w:cs="Arial"/>
        </w:rPr>
        <w:t>Els programes d’intervenció i formats educatius d’adults no s’han d’adaptar als joves. Caldria revisar de soca-rel el marc d’intervenció amb joves ajustant llenguatges, temps d’intervenció, materials didàctics i continguts propis per a la població jove.</w:t>
      </w:r>
    </w:p>
    <w:p w:rsidR="006A4109" w:rsidRPr="00647306" w:rsidRDefault="006A4109" w:rsidP="00AE0A20">
      <w:pPr>
        <w:pStyle w:val="Pargrafdellista"/>
        <w:numPr>
          <w:ilvl w:val="0"/>
          <w:numId w:val="9"/>
        </w:numPr>
        <w:rPr>
          <w:rFonts w:cs="Arial"/>
        </w:rPr>
      </w:pPr>
      <w:r>
        <w:rPr>
          <w:rFonts w:cs="Arial"/>
        </w:rPr>
        <w:t>La incorporació de les TIC</w:t>
      </w:r>
      <w:r w:rsidRPr="00647306">
        <w:rPr>
          <w:rFonts w:cs="Arial"/>
        </w:rPr>
        <w:t xml:space="preserve"> i internet, esmentat en capítols anteriors, pren un relleu </w:t>
      </w:r>
      <w:r>
        <w:rPr>
          <w:rFonts w:cs="Arial"/>
        </w:rPr>
        <w:t>destacat</w:t>
      </w:r>
      <w:r w:rsidRPr="00647306">
        <w:rPr>
          <w:rFonts w:cs="Arial"/>
        </w:rPr>
        <w:t xml:space="preserve"> respecte a aquest col·lectiu.</w:t>
      </w:r>
    </w:p>
    <w:p w:rsidR="006A4109" w:rsidRPr="00647306" w:rsidRDefault="006A4109" w:rsidP="00AE0A20">
      <w:pPr>
        <w:pStyle w:val="Pargrafdellista"/>
        <w:numPr>
          <w:ilvl w:val="0"/>
          <w:numId w:val="9"/>
        </w:numPr>
        <w:rPr>
          <w:rFonts w:cs="Arial"/>
        </w:rPr>
      </w:pPr>
      <w:r w:rsidRPr="00647306">
        <w:rPr>
          <w:rFonts w:cs="Arial"/>
        </w:rPr>
        <w:t xml:space="preserve">La situació d’estrangeria i regularització de la població estrangera </w:t>
      </w:r>
      <w:r>
        <w:rPr>
          <w:rFonts w:cs="Arial"/>
        </w:rPr>
        <w:t>s’ha d’</w:t>
      </w:r>
      <w:r w:rsidRPr="00647306">
        <w:rPr>
          <w:rFonts w:cs="Arial"/>
        </w:rPr>
        <w:t>estudi</w:t>
      </w:r>
      <w:r>
        <w:rPr>
          <w:rFonts w:cs="Arial"/>
        </w:rPr>
        <w:t>ar</w:t>
      </w:r>
      <w:r w:rsidRPr="00647306">
        <w:rPr>
          <w:rFonts w:cs="Arial"/>
        </w:rPr>
        <w:t xml:space="preserve"> i revis</w:t>
      </w:r>
      <w:r>
        <w:rPr>
          <w:rFonts w:cs="Arial"/>
        </w:rPr>
        <w:t>ar</w:t>
      </w:r>
      <w:r w:rsidRPr="00647306">
        <w:rPr>
          <w:rFonts w:cs="Arial"/>
        </w:rPr>
        <w:t>.</w:t>
      </w:r>
    </w:p>
    <w:p w:rsidR="006A4109" w:rsidRPr="00647306" w:rsidRDefault="006A4109" w:rsidP="00AE0A20">
      <w:pPr>
        <w:pStyle w:val="Pargrafdellista"/>
        <w:numPr>
          <w:ilvl w:val="0"/>
          <w:numId w:val="9"/>
        </w:numPr>
        <w:rPr>
          <w:rFonts w:cs="Arial"/>
        </w:rPr>
      </w:pPr>
      <w:r w:rsidRPr="00647306">
        <w:rPr>
          <w:rFonts w:cs="Arial"/>
        </w:rPr>
        <w:t>Els col·lectius minoritaris, com els joves, requereixen d’una profunda reflexió sobre la concentració d’esforços i optimització de recursos en centres concrets o sobre la idoneïtat de la dispersió en favor de la proximitat al territori de referència amb menor capacitat d’atenció especialitzada.</w:t>
      </w:r>
    </w:p>
    <w:p w:rsidR="006A4109" w:rsidRPr="00647306" w:rsidRDefault="006A4109" w:rsidP="00E930B2">
      <w:pPr>
        <w:pStyle w:val="Pargrafdellista"/>
        <w:ind w:left="720"/>
        <w:rPr>
          <w:rFonts w:cs="Arial"/>
        </w:rPr>
      </w:pPr>
    </w:p>
    <w:p w:rsidR="006A4109" w:rsidRPr="00F02D52" w:rsidRDefault="006A4109" w:rsidP="0070401F">
      <w:pPr>
        <w:pStyle w:val="Ttol3"/>
      </w:pPr>
      <w:bookmarkStart w:id="307" w:name="_Toc463743335"/>
      <w:bookmarkStart w:id="308" w:name="_Toc463867784"/>
      <w:bookmarkStart w:id="309" w:name="_Toc464685671"/>
      <w:bookmarkStart w:id="310" w:name="_Toc465293402"/>
      <w:r w:rsidRPr="00F02D52">
        <w:lastRenderedPageBreak/>
        <w:t xml:space="preserve">Discapacitats intel·lectuals i </w:t>
      </w:r>
      <w:r w:rsidRPr="00EB1B4D">
        <w:t>del</w:t>
      </w:r>
      <w:r w:rsidRPr="00F02D52">
        <w:t xml:space="preserve"> desenvolupament</w:t>
      </w:r>
      <w:bookmarkEnd w:id="307"/>
      <w:bookmarkEnd w:id="308"/>
      <w:bookmarkEnd w:id="309"/>
      <w:bookmarkEnd w:id="310"/>
    </w:p>
    <w:p w:rsidR="006A4109" w:rsidRPr="00647306" w:rsidRDefault="006A4109" w:rsidP="00E930B2">
      <w:pPr>
        <w:rPr>
          <w:rFonts w:cs="Arial"/>
        </w:rPr>
      </w:pPr>
      <w:r w:rsidRPr="00647306">
        <w:rPr>
          <w:rFonts w:cs="Arial"/>
        </w:rPr>
        <w:t>Les persones amb discapacitat intel·lectual han estat objecte d’atenció especialitzada als serveis penitenciaris ca</w:t>
      </w:r>
      <w:r>
        <w:rPr>
          <w:rFonts w:cs="Arial"/>
        </w:rPr>
        <w:t>talans, des de l’any 1995 en què</w:t>
      </w:r>
      <w:r w:rsidRPr="00647306">
        <w:rPr>
          <w:rFonts w:cs="Arial"/>
        </w:rPr>
        <w:t xml:space="preserve"> es </w:t>
      </w:r>
      <w:r>
        <w:rPr>
          <w:rFonts w:cs="Arial"/>
        </w:rPr>
        <w:t xml:space="preserve">va </w:t>
      </w:r>
      <w:r w:rsidRPr="00647306">
        <w:rPr>
          <w:rFonts w:cs="Arial"/>
        </w:rPr>
        <w:t>posa</w:t>
      </w:r>
      <w:r>
        <w:rPr>
          <w:rFonts w:cs="Arial"/>
        </w:rPr>
        <w:t>r en marxa el programa Accepta</w:t>
      </w:r>
      <w:r w:rsidRPr="00647306">
        <w:rPr>
          <w:rFonts w:cs="Arial"/>
        </w:rPr>
        <w:t xml:space="preserve">, </w:t>
      </w:r>
      <w:r>
        <w:rPr>
          <w:rFonts w:cs="Arial"/>
        </w:rPr>
        <w:t>adreçat</w:t>
      </w:r>
      <w:r w:rsidRPr="00647306">
        <w:rPr>
          <w:rFonts w:cs="Arial"/>
        </w:rPr>
        <w:t xml:space="preserve"> a persones amb discapacitat intel·lectual i sotmeses a una mesura penal. El programa Accepta estava liderat ant</w:t>
      </w:r>
      <w:r>
        <w:rPr>
          <w:rFonts w:cs="Arial"/>
        </w:rPr>
        <w:t>igament per la Federació APPS (F</w:t>
      </w:r>
      <w:r w:rsidRPr="00647306">
        <w:rPr>
          <w:rFonts w:cs="Arial"/>
        </w:rPr>
        <w:t xml:space="preserve">ederació </w:t>
      </w:r>
      <w:r>
        <w:rPr>
          <w:rFonts w:cs="Arial"/>
        </w:rPr>
        <w:t>Catalana pro Persones amb D</w:t>
      </w:r>
      <w:r w:rsidRPr="00647306">
        <w:rPr>
          <w:rFonts w:cs="Arial"/>
        </w:rPr>
        <w:t xml:space="preserve">iscapacitat </w:t>
      </w:r>
      <w:r>
        <w:rPr>
          <w:rFonts w:cs="Arial"/>
        </w:rPr>
        <w:t>I</w:t>
      </w:r>
      <w:r w:rsidRPr="00647306">
        <w:rPr>
          <w:rFonts w:cs="Arial"/>
        </w:rPr>
        <w:t>ntel·lectual) i posteriorment per l</w:t>
      </w:r>
      <w:r>
        <w:rPr>
          <w:rFonts w:cs="Arial"/>
        </w:rPr>
        <w:t>’entitat Dincat</w:t>
      </w:r>
      <w:r w:rsidRPr="00647306">
        <w:rPr>
          <w:rFonts w:cs="Arial"/>
        </w:rPr>
        <w:t xml:space="preserve"> (Discapacitat Intel·lectual </w:t>
      </w:r>
      <w:r>
        <w:rPr>
          <w:rFonts w:cs="Arial"/>
        </w:rPr>
        <w:t xml:space="preserve">de </w:t>
      </w:r>
      <w:r w:rsidRPr="00647306">
        <w:rPr>
          <w:rFonts w:cs="Arial"/>
        </w:rPr>
        <w:t xml:space="preserve">Catalunya), la qual va integrar a APPS, </w:t>
      </w:r>
      <w:r>
        <w:rPr>
          <w:rFonts w:cs="Arial"/>
        </w:rPr>
        <w:t>que ara</w:t>
      </w:r>
      <w:r w:rsidRPr="00647306">
        <w:rPr>
          <w:rFonts w:cs="Arial"/>
        </w:rPr>
        <w:t xml:space="preserve"> agrupa més de 300 entitats especialitzades en el sector. </w:t>
      </w:r>
    </w:p>
    <w:p w:rsidR="006A4109" w:rsidRPr="00647306" w:rsidRDefault="006A4109" w:rsidP="00E930B2">
      <w:pPr>
        <w:rPr>
          <w:rFonts w:cs="Arial"/>
        </w:rPr>
      </w:pPr>
      <w:r w:rsidRPr="00647306">
        <w:rPr>
          <w:rFonts w:cs="Arial"/>
        </w:rPr>
        <w:t xml:space="preserve">La intervenció feta  pels professionals del programa Accepta pretenia donar abast a tota la població identificada com a persones amb </w:t>
      </w:r>
      <w:r>
        <w:rPr>
          <w:rFonts w:cs="Arial"/>
        </w:rPr>
        <w:t>d</w:t>
      </w:r>
      <w:r w:rsidRPr="00647306">
        <w:rPr>
          <w:rFonts w:cs="Arial"/>
        </w:rPr>
        <w:t xml:space="preserve">iscapacitat </w:t>
      </w:r>
      <w:r>
        <w:rPr>
          <w:rFonts w:cs="Arial"/>
        </w:rPr>
        <w:t>i</w:t>
      </w:r>
      <w:r w:rsidRPr="00647306">
        <w:rPr>
          <w:rFonts w:cs="Arial"/>
        </w:rPr>
        <w:t>ntel·lectual</w:t>
      </w:r>
      <w:r>
        <w:rPr>
          <w:rFonts w:cs="Arial"/>
        </w:rPr>
        <w:t xml:space="preserve"> i del desenvolupament (DID)</w:t>
      </w:r>
      <w:r w:rsidRPr="00647306">
        <w:rPr>
          <w:rFonts w:cs="Arial"/>
        </w:rPr>
        <w:t xml:space="preserve"> i centrava l’esforç d’atenció d’aquest col·lectiu als CP Quatre Camins i Brians 1. El treball del programa A</w:t>
      </w:r>
      <w:r>
        <w:rPr>
          <w:rFonts w:cs="Arial"/>
        </w:rPr>
        <w:t>ccepta</w:t>
      </w:r>
      <w:r w:rsidRPr="00647306">
        <w:rPr>
          <w:rFonts w:cs="Arial"/>
        </w:rPr>
        <w:t xml:space="preserve"> va tenir vigència fins </w:t>
      </w:r>
      <w:r>
        <w:rPr>
          <w:rFonts w:cs="Arial"/>
        </w:rPr>
        <w:t xml:space="preserve">a l’any 2013, </w:t>
      </w:r>
      <w:r w:rsidRPr="00647306">
        <w:rPr>
          <w:rFonts w:cs="Arial"/>
        </w:rPr>
        <w:t>moment a partir del qual la Direcció General de Serveis Penitenc</w:t>
      </w:r>
      <w:r>
        <w:rPr>
          <w:rFonts w:cs="Arial"/>
        </w:rPr>
        <w:t>iaris va dissenyar el Programa m</w:t>
      </w:r>
      <w:r w:rsidRPr="00647306">
        <w:rPr>
          <w:rFonts w:cs="Arial"/>
        </w:rPr>
        <w:t>arc d’atenció i intervenció a</w:t>
      </w:r>
      <w:r>
        <w:rPr>
          <w:rFonts w:cs="Arial"/>
        </w:rPr>
        <w:t xml:space="preserve"> les persones amb discapacitat i</w:t>
      </w:r>
      <w:r w:rsidRPr="00647306">
        <w:rPr>
          <w:rFonts w:cs="Arial"/>
        </w:rPr>
        <w:t xml:space="preserve">ntel·lectual i del desenvolupament als </w:t>
      </w:r>
      <w:r>
        <w:rPr>
          <w:rFonts w:cs="Arial"/>
        </w:rPr>
        <w:t>c</w:t>
      </w:r>
      <w:r w:rsidRPr="00647306">
        <w:rPr>
          <w:rFonts w:cs="Arial"/>
        </w:rPr>
        <w:t xml:space="preserve">entres i </w:t>
      </w:r>
      <w:r>
        <w:rPr>
          <w:rFonts w:cs="Arial"/>
        </w:rPr>
        <w:t>serveis p</w:t>
      </w:r>
      <w:r w:rsidRPr="00647306">
        <w:rPr>
          <w:rFonts w:cs="Arial"/>
        </w:rPr>
        <w:t xml:space="preserve">enitenciaris de Catalunya. </w:t>
      </w:r>
    </w:p>
    <w:p w:rsidR="006A4109" w:rsidRPr="00647306" w:rsidRDefault="006A4109" w:rsidP="00E930B2">
      <w:pPr>
        <w:rPr>
          <w:rFonts w:cs="Arial"/>
        </w:rPr>
      </w:pPr>
      <w:r>
        <w:rPr>
          <w:rFonts w:cs="Arial"/>
        </w:rPr>
        <w:t>A través d’aquest p</w:t>
      </w:r>
      <w:r w:rsidRPr="00647306">
        <w:rPr>
          <w:rFonts w:cs="Arial"/>
        </w:rPr>
        <w:t xml:space="preserve">rograma </w:t>
      </w:r>
      <w:r>
        <w:rPr>
          <w:rFonts w:cs="Arial"/>
        </w:rPr>
        <w:t>m</w:t>
      </w:r>
      <w:r w:rsidRPr="00647306">
        <w:rPr>
          <w:rFonts w:cs="Arial"/>
        </w:rPr>
        <w:t>arc s’ampli</w:t>
      </w:r>
      <w:r>
        <w:rPr>
          <w:rFonts w:cs="Arial"/>
        </w:rPr>
        <w:t>en</w:t>
      </w:r>
      <w:r w:rsidRPr="00647306">
        <w:rPr>
          <w:rFonts w:cs="Arial"/>
        </w:rPr>
        <w:t xml:space="preserve"> i optimitz</w:t>
      </w:r>
      <w:r>
        <w:rPr>
          <w:rFonts w:cs="Arial"/>
        </w:rPr>
        <w:t>en</w:t>
      </w:r>
      <w:r w:rsidRPr="00647306">
        <w:rPr>
          <w:rFonts w:cs="Arial"/>
        </w:rPr>
        <w:t xml:space="preserve"> els recursos humans i tècnics i es formula una manera diferent d’organització dels processos i procediments de treball. El programa marc compta amb la col·laboració de l’entitat D</w:t>
      </w:r>
      <w:r>
        <w:rPr>
          <w:rFonts w:cs="Arial"/>
        </w:rPr>
        <w:t>incat</w:t>
      </w:r>
      <w:r w:rsidRPr="00647306">
        <w:rPr>
          <w:rFonts w:cs="Arial"/>
        </w:rPr>
        <w:t xml:space="preserve"> en l’assessorament de la </w:t>
      </w:r>
      <w:r>
        <w:rPr>
          <w:rFonts w:cs="Arial"/>
        </w:rPr>
        <w:t>d</w:t>
      </w:r>
      <w:r w:rsidRPr="00647306">
        <w:rPr>
          <w:rFonts w:cs="Arial"/>
        </w:rPr>
        <w:t xml:space="preserve">iscapacitat </w:t>
      </w:r>
      <w:r>
        <w:rPr>
          <w:rFonts w:cs="Arial"/>
        </w:rPr>
        <w:t>i</w:t>
      </w:r>
      <w:r w:rsidRPr="00647306">
        <w:rPr>
          <w:rFonts w:cs="Arial"/>
        </w:rPr>
        <w:t>ntel·lectual i per a la intervenció.</w:t>
      </w:r>
    </w:p>
    <w:p w:rsidR="006A4109" w:rsidRPr="00647306" w:rsidRDefault="006A4109" w:rsidP="00E930B2">
      <w:pPr>
        <w:rPr>
          <w:rFonts w:cs="Arial"/>
        </w:rPr>
      </w:pPr>
      <w:r>
        <w:rPr>
          <w:rFonts w:cs="Arial"/>
        </w:rPr>
        <w:t>Cal d</w:t>
      </w:r>
      <w:r w:rsidRPr="00647306">
        <w:rPr>
          <w:rFonts w:cs="Arial"/>
        </w:rPr>
        <w:t>estacar del</w:t>
      </w:r>
      <w:r>
        <w:rPr>
          <w:rFonts w:cs="Arial"/>
        </w:rPr>
        <w:t xml:space="preserve"> programa m</w:t>
      </w:r>
      <w:r w:rsidRPr="00647306">
        <w:rPr>
          <w:rFonts w:cs="Arial"/>
        </w:rPr>
        <w:t>arc, l’ampliació del servei i l’atenció a les persones amb DID a tots els serveis i CP de Catalunya i la creació del Departament d’Atenció especialitzada per a persones amb DID del CP Quatre Camins.</w:t>
      </w:r>
    </w:p>
    <w:p w:rsidR="006A4109" w:rsidRPr="00647306" w:rsidRDefault="006A4109" w:rsidP="00E930B2">
      <w:pPr>
        <w:rPr>
          <w:rFonts w:cs="Arial"/>
        </w:rPr>
      </w:pPr>
      <w:r w:rsidRPr="00647306">
        <w:rPr>
          <w:rFonts w:cs="Arial"/>
        </w:rPr>
        <w:t>Val a dir que els serveis penitenciaris de C</w:t>
      </w:r>
      <w:r>
        <w:rPr>
          <w:rFonts w:cs="Arial"/>
        </w:rPr>
        <w:t>atalunya han estat pioners a l’E</w:t>
      </w:r>
      <w:r w:rsidRPr="00647306">
        <w:rPr>
          <w:rFonts w:cs="Arial"/>
        </w:rPr>
        <w:t>stat espanyol  en la intervenció amb aquest col·lectiu de persones.</w:t>
      </w:r>
    </w:p>
    <w:p w:rsidR="006A4109" w:rsidRPr="00647306" w:rsidRDefault="006A4109" w:rsidP="00E930B2">
      <w:pPr>
        <w:rPr>
          <w:rFonts w:eastAsia="Times New Roman" w:cs="Arial"/>
          <w:lang w:eastAsia="es-ES"/>
        </w:rPr>
      </w:pPr>
      <w:r w:rsidRPr="00647306">
        <w:rPr>
          <w:rFonts w:eastAsia="Times New Roman" w:cs="Arial"/>
          <w:lang w:eastAsia="es-ES"/>
        </w:rPr>
        <w:t xml:space="preserve">S’estima que la població penitenciària catalana amb DID és aproximadament de l’1% del total, xifra que correspon de forma assimilable a la proporció de població general que presenta aquesta discapacitat. Si bé aquest col·lectiu suposa un baix impacte numèric </w:t>
      </w:r>
      <w:r>
        <w:rPr>
          <w:rFonts w:eastAsia="Times New Roman" w:cs="Arial"/>
          <w:lang w:eastAsia="es-ES"/>
        </w:rPr>
        <w:t>en el</w:t>
      </w:r>
      <w:r w:rsidRPr="00647306">
        <w:rPr>
          <w:rFonts w:eastAsia="Times New Roman" w:cs="Arial"/>
          <w:lang w:eastAsia="es-ES"/>
        </w:rPr>
        <w:t xml:space="preserve"> conjunt de la població ingressada a les presons catalanes, </w:t>
      </w:r>
      <w:r>
        <w:rPr>
          <w:rFonts w:eastAsia="Times New Roman" w:cs="Arial"/>
          <w:lang w:eastAsia="es-ES"/>
        </w:rPr>
        <w:t>de la mateixa manera</w:t>
      </w:r>
      <w:r w:rsidRPr="00647306">
        <w:rPr>
          <w:rFonts w:eastAsia="Times New Roman" w:cs="Arial"/>
          <w:lang w:eastAsia="es-ES"/>
        </w:rPr>
        <w:t xml:space="preserve"> que succeeix amb </w:t>
      </w:r>
      <w:r>
        <w:rPr>
          <w:rFonts w:eastAsia="Times New Roman" w:cs="Arial"/>
          <w:lang w:eastAsia="es-ES"/>
        </w:rPr>
        <w:t>els</w:t>
      </w:r>
      <w:r w:rsidRPr="00647306">
        <w:rPr>
          <w:rFonts w:eastAsia="Times New Roman" w:cs="Arial"/>
          <w:lang w:eastAsia="es-ES"/>
        </w:rPr>
        <w:t xml:space="preserve"> altres col·lectius minoritaris en el nostre entorn, cal abordar les necessitats particulars d’execució penal, per tal d’habilitar instruments que permetin adaptar el compliment de les penes i garantir una intervenció adequada a les característiques, limitacions i necess</w:t>
      </w:r>
      <w:r>
        <w:rPr>
          <w:rFonts w:eastAsia="Times New Roman" w:cs="Arial"/>
          <w:lang w:eastAsia="es-ES"/>
        </w:rPr>
        <w:t xml:space="preserve">itats de les persones amb DID. </w:t>
      </w:r>
    </w:p>
    <w:p w:rsidR="006A4109" w:rsidRPr="00647306" w:rsidRDefault="006A4109" w:rsidP="00E930B2">
      <w:pPr>
        <w:rPr>
          <w:rFonts w:eastAsia="Times New Roman" w:cs="Arial"/>
          <w:lang w:eastAsia="es-ES"/>
        </w:rPr>
      </w:pPr>
      <w:r w:rsidRPr="00647306">
        <w:rPr>
          <w:rFonts w:eastAsia="Times New Roman" w:cs="Arial"/>
          <w:lang w:eastAsia="es-ES"/>
        </w:rPr>
        <w:t>Hem de fer palès que l’evident vulnerabilitat inherent d’aquestes persones, la invisibilitat, en ocasions, d’aquest col·lectiu dins de les estructures penitenciàries, la dispersió i integració a mòduls ordinaris, etc., constitueixen elements de risc, els quals s</w:t>
      </w:r>
      <w:r>
        <w:rPr>
          <w:rFonts w:eastAsia="Times New Roman" w:cs="Arial"/>
          <w:lang w:eastAsia="es-ES"/>
        </w:rPr>
        <w:t>ó</w:t>
      </w:r>
      <w:r w:rsidRPr="00647306">
        <w:rPr>
          <w:rFonts w:eastAsia="Times New Roman" w:cs="Arial"/>
          <w:lang w:eastAsia="es-ES"/>
        </w:rPr>
        <w:t>n sovint objecte d’inatenció i/o d’abusos per part de la resta d’interns. Aquests fets comporten un patiment afegit a la situació d’empresonament, i, en ocasions, un clar desavantatge i una dificultat per establir un procés d’habi</w:t>
      </w:r>
      <w:r>
        <w:rPr>
          <w:rFonts w:eastAsia="Times New Roman" w:cs="Arial"/>
          <w:lang w:eastAsia="es-ES"/>
        </w:rPr>
        <w:t xml:space="preserve">litació/rehabilitació positiu. </w:t>
      </w:r>
    </w:p>
    <w:p w:rsidR="006A4109" w:rsidRPr="00647306" w:rsidRDefault="006A4109" w:rsidP="00E930B2">
      <w:pPr>
        <w:rPr>
          <w:rFonts w:eastAsia="Times New Roman" w:cs="Arial"/>
          <w:snapToGrid w:val="0"/>
          <w:lang w:eastAsia="es-ES"/>
        </w:rPr>
      </w:pPr>
      <w:r w:rsidRPr="00647306">
        <w:rPr>
          <w:rFonts w:eastAsia="Times New Roman" w:cs="Arial"/>
          <w:snapToGrid w:val="0"/>
          <w:lang w:eastAsia="es-ES"/>
        </w:rPr>
        <w:t>L’objectiu general d’aquest programa marc és harmonitzar i facilitar els processos de treball amb els interns i internes susceptibles de ser valorats com a població amb discapacitat intel·lectual i del desenvolupament, alhora que valorar, atendre i in</w:t>
      </w:r>
      <w:r>
        <w:rPr>
          <w:rFonts w:eastAsia="Times New Roman" w:cs="Arial"/>
          <w:snapToGrid w:val="0"/>
          <w:lang w:eastAsia="es-ES"/>
        </w:rPr>
        <w:t>tervenir la població amb DID.</w:t>
      </w:r>
    </w:p>
    <w:p w:rsidR="006A4109" w:rsidRPr="00647306" w:rsidRDefault="006A4109" w:rsidP="00E930B2">
      <w:pPr>
        <w:rPr>
          <w:rFonts w:eastAsia="Times New Roman" w:cs="Arial"/>
          <w:snapToGrid w:val="0"/>
          <w:lang w:eastAsia="es-ES"/>
        </w:rPr>
      </w:pPr>
      <w:r>
        <w:rPr>
          <w:rFonts w:eastAsia="Times New Roman" w:cs="Arial"/>
          <w:snapToGrid w:val="0"/>
          <w:lang w:eastAsia="es-ES"/>
        </w:rPr>
        <w:t xml:space="preserve">Específicament, </w:t>
      </w:r>
      <w:r w:rsidRPr="00647306">
        <w:rPr>
          <w:rFonts w:eastAsia="Times New Roman" w:cs="Arial"/>
          <w:snapToGrid w:val="0"/>
          <w:lang w:eastAsia="es-ES"/>
        </w:rPr>
        <w:t xml:space="preserve">pretén detectar i acreditar la població diana, millorar la seva qualitat de vida </w:t>
      </w:r>
      <w:r>
        <w:rPr>
          <w:rFonts w:eastAsia="Times New Roman" w:cs="Arial"/>
          <w:snapToGrid w:val="0"/>
          <w:lang w:eastAsia="es-ES"/>
        </w:rPr>
        <w:t xml:space="preserve">tot </w:t>
      </w:r>
      <w:r w:rsidRPr="00647306">
        <w:rPr>
          <w:rFonts w:eastAsia="Times New Roman" w:cs="Arial"/>
          <w:snapToGrid w:val="0"/>
          <w:lang w:eastAsia="es-ES"/>
        </w:rPr>
        <w:t>oferint-los suport, coadjuvar en la minimització del risc de reincidència, acompanyar el procés d’excarceració,  intervenir amb les famílies i oferi</w:t>
      </w:r>
      <w:r>
        <w:rPr>
          <w:rFonts w:eastAsia="Times New Roman" w:cs="Arial"/>
          <w:snapToGrid w:val="0"/>
          <w:lang w:eastAsia="es-ES"/>
        </w:rPr>
        <w:t>r suport i assessorament legal.</w:t>
      </w:r>
    </w:p>
    <w:p w:rsidR="006A4109" w:rsidRPr="00647306" w:rsidRDefault="006A4109" w:rsidP="00E930B2">
      <w:pPr>
        <w:rPr>
          <w:rFonts w:eastAsia="Times New Roman" w:cs="Arial"/>
          <w:lang w:eastAsia="ca-ES"/>
        </w:rPr>
      </w:pPr>
      <w:r w:rsidRPr="00647306">
        <w:rPr>
          <w:rFonts w:eastAsia="Times New Roman" w:cs="Arial"/>
          <w:lang w:eastAsia="ca-ES"/>
        </w:rPr>
        <w:t>Al mes de juny de 2013 es va posar en funcionament el nou Departament d’Atenció Especialitzada per a persones amb Discapacitat Intel·lectual i del Desenvolupament al Centre Penitenciari Quatre Camins. Ubicat en un espai privilegiat al Centre quan</w:t>
      </w:r>
      <w:r>
        <w:rPr>
          <w:rFonts w:eastAsia="Times New Roman" w:cs="Arial"/>
          <w:lang w:eastAsia="ca-ES"/>
        </w:rPr>
        <w:t>t</w:t>
      </w:r>
      <w:r w:rsidRPr="00647306">
        <w:rPr>
          <w:rFonts w:eastAsia="Times New Roman" w:cs="Arial"/>
          <w:lang w:eastAsia="ca-ES"/>
        </w:rPr>
        <w:t xml:space="preserve"> a la seva infraestructura espacial i comptant amb un equip especialitzat, es considera que aquest nou </w:t>
      </w:r>
      <w:r w:rsidRPr="00647306">
        <w:rPr>
          <w:rFonts w:eastAsia="Times New Roman" w:cs="Arial"/>
          <w:lang w:eastAsia="ca-ES"/>
        </w:rPr>
        <w:lastRenderedPageBreak/>
        <w:t xml:space="preserve">recurs d’intervenció </w:t>
      </w:r>
      <w:r>
        <w:rPr>
          <w:rFonts w:eastAsia="Times New Roman" w:cs="Arial"/>
          <w:lang w:eastAsia="ca-ES"/>
        </w:rPr>
        <w:t>ha de ser</w:t>
      </w:r>
      <w:r w:rsidRPr="00647306">
        <w:rPr>
          <w:rFonts w:eastAsia="Times New Roman" w:cs="Arial"/>
          <w:lang w:eastAsia="ca-ES"/>
        </w:rPr>
        <w:t xml:space="preserve"> capdavanter en el tractament dels interns amb </w:t>
      </w:r>
      <w:r>
        <w:rPr>
          <w:rFonts w:eastAsia="Times New Roman" w:cs="Arial"/>
          <w:lang w:eastAsia="ca-ES"/>
        </w:rPr>
        <w:t>discapacitat i</w:t>
      </w:r>
      <w:r w:rsidRPr="00647306">
        <w:rPr>
          <w:rFonts w:eastAsia="Times New Roman" w:cs="Arial"/>
          <w:lang w:eastAsia="ca-ES"/>
        </w:rPr>
        <w:t xml:space="preserve">ntel·lectual i del </w:t>
      </w:r>
      <w:r>
        <w:rPr>
          <w:rFonts w:eastAsia="Times New Roman" w:cs="Arial"/>
          <w:lang w:eastAsia="ca-ES"/>
        </w:rPr>
        <w:t>d</w:t>
      </w:r>
      <w:r w:rsidRPr="00647306">
        <w:rPr>
          <w:rFonts w:eastAsia="Times New Roman" w:cs="Arial"/>
          <w:lang w:eastAsia="ca-ES"/>
        </w:rPr>
        <w:t xml:space="preserve">esenvolupament a Catalunya i en el marc de la intervenció en </w:t>
      </w:r>
      <w:r>
        <w:rPr>
          <w:rFonts w:eastAsia="Times New Roman" w:cs="Arial"/>
          <w:lang w:eastAsia="ca-ES"/>
        </w:rPr>
        <w:t>l’</w:t>
      </w:r>
      <w:r w:rsidRPr="00647306">
        <w:rPr>
          <w:rFonts w:eastAsia="Times New Roman" w:cs="Arial"/>
          <w:lang w:eastAsia="ca-ES"/>
        </w:rPr>
        <w:t>execució p</w:t>
      </w:r>
      <w:r>
        <w:rPr>
          <w:rFonts w:eastAsia="Times New Roman" w:cs="Arial"/>
          <w:lang w:eastAsia="ca-ES"/>
        </w:rPr>
        <w:t>enal espanyola i internacional.</w:t>
      </w:r>
    </w:p>
    <w:p w:rsidR="006A4109" w:rsidRPr="00647306" w:rsidRDefault="006A4109" w:rsidP="00E930B2">
      <w:pPr>
        <w:rPr>
          <w:rFonts w:eastAsia="Times New Roman" w:cs="Arial"/>
          <w:lang w:eastAsia="ca-ES"/>
        </w:rPr>
      </w:pPr>
      <w:r>
        <w:rPr>
          <w:rFonts w:eastAsia="Times New Roman" w:cs="Arial"/>
          <w:lang w:eastAsia="ca-ES"/>
        </w:rPr>
        <w:t>El programa del DAE – DID é</w:t>
      </w:r>
      <w:r w:rsidRPr="00647306">
        <w:rPr>
          <w:rFonts w:eastAsia="Times New Roman" w:cs="Arial"/>
          <w:lang w:eastAsia="ca-ES"/>
        </w:rPr>
        <w:t xml:space="preserve">s un programa d’intervenció nuclear enfocat a l’externalització dels interns residents, tot atenent les seves necessitats bàsiques i més específiques vinculades a les seves </w:t>
      </w:r>
      <w:r>
        <w:rPr>
          <w:rFonts w:eastAsia="Times New Roman" w:cs="Arial"/>
          <w:lang w:eastAsia="ca-ES"/>
        </w:rPr>
        <w:t>particularitats</w:t>
      </w:r>
      <w:r w:rsidRPr="00647306">
        <w:rPr>
          <w:rFonts w:eastAsia="Times New Roman" w:cs="Arial"/>
          <w:lang w:eastAsia="ca-ES"/>
        </w:rPr>
        <w:t xml:space="preserve"> personals i delictives, </w:t>
      </w:r>
      <w:r>
        <w:rPr>
          <w:rFonts w:eastAsia="Times New Roman" w:cs="Arial"/>
          <w:lang w:eastAsia="ca-ES"/>
        </w:rPr>
        <w:t xml:space="preserve">que </w:t>
      </w:r>
      <w:r w:rsidRPr="00647306">
        <w:rPr>
          <w:rFonts w:eastAsia="Times New Roman" w:cs="Arial"/>
          <w:lang w:eastAsia="ca-ES"/>
        </w:rPr>
        <w:t>afavor</w:t>
      </w:r>
      <w:r>
        <w:rPr>
          <w:rFonts w:eastAsia="Times New Roman" w:cs="Arial"/>
          <w:lang w:eastAsia="ca-ES"/>
        </w:rPr>
        <w:t>eixi</w:t>
      </w:r>
      <w:r w:rsidRPr="00647306">
        <w:rPr>
          <w:rFonts w:eastAsia="Times New Roman" w:cs="Arial"/>
          <w:lang w:eastAsia="ca-ES"/>
        </w:rPr>
        <w:t xml:space="preserve"> un procés d’integració social amb garanties d’adaptabilitat i de continuïtat. L’admissió al programa presenta uns requeriments personals, pe</w:t>
      </w:r>
      <w:r>
        <w:rPr>
          <w:rFonts w:eastAsia="Times New Roman" w:cs="Arial"/>
          <w:lang w:eastAsia="ca-ES"/>
        </w:rPr>
        <w:t>nitenciaris i de voluntarietat.</w:t>
      </w:r>
    </w:p>
    <w:p w:rsidR="006A4109" w:rsidRPr="00647306" w:rsidRDefault="006A4109" w:rsidP="00E930B2">
      <w:pPr>
        <w:rPr>
          <w:rFonts w:eastAsia="Times New Roman" w:cs="Arial"/>
          <w:lang w:eastAsia="ca-ES"/>
        </w:rPr>
      </w:pPr>
      <w:r w:rsidRPr="00647306">
        <w:rPr>
          <w:rFonts w:eastAsia="Times New Roman" w:cs="Arial"/>
          <w:lang w:eastAsia="ca-ES"/>
        </w:rPr>
        <w:t>La intervenció es disposa en un marc de treball previst sota els principis de comunitat terapèutica. Es treballen des dels aspectes més bàsics de la vida quotidiana, com la higiene personal i dels seus espais, fins a</w:t>
      </w:r>
      <w:r>
        <w:rPr>
          <w:rFonts w:eastAsia="Times New Roman" w:cs="Arial"/>
          <w:lang w:eastAsia="ca-ES"/>
        </w:rPr>
        <w:t>ls a</w:t>
      </w:r>
      <w:r w:rsidRPr="00647306">
        <w:rPr>
          <w:rFonts w:eastAsia="Times New Roman" w:cs="Arial"/>
          <w:lang w:eastAsia="ca-ES"/>
        </w:rPr>
        <w:t xml:space="preserve">spectes més vinculats a la conducta diària, com habilitats relacionals, socials, capacitat de presa de decisions, etc., fins </w:t>
      </w:r>
      <w:r>
        <w:rPr>
          <w:rFonts w:eastAsia="Times New Roman" w:cs="Arial"/>
          <w:lang w:eastAsia="ca-ES"/>
        </w:rPr>
        <w:t xml:space="preserve">a </w:t>
      </w:r>
      <w:r w:rsidRPr="00647306">
        <w:rPr>
          <w:rFonts w:eastAsia="Times New Roman" w:cs="Arial"/>
          <w:lang w:eastAsia="ca-ES"/>
        </w:rPr>
        <w:t>altres aspectes de més projecció futura, com prevenció del delicte, hàbits laborals, tractament de les addiccions,</w:t>
      </w:r>
      <w:r>
        <w:rPr>
          <w:rFonts w:eastAsia="Times New Roman" w:cs="Arial"/>
          <w:lang w:eastAsia="ca-ES"/>
        </w:rPr>
        <w:t xml:space="preserve"> prevenció de recaigudes, etc. </w:t>
      </w:r>
    </w:p>
    <w:p w:rsidR="006A4109" w:rsidRPr="00425C02" w:rsidRDefault="006A4109" w:rsidP="00E930B2">
      <w:pPr>
        <w:rPr>
          <w:rFonts w:eastAsia="Arial" w:cs="Arial"/>
          <w:bCs/>
          <w:color w:val="000000"/>
        </w:rPr>
      </w:pPr>
      <w:r w:rsidRPr="00647306">
        <w:rPr>
          <w:rFonts w:eastAsia="Arial" w:cs="Arial"/>
          <w:color w:val="000000"/>
        </w:rPr>
        <w:t>Les perspectives de futur en relació a</w:t>
      </w:r>
      <w:r>
        <w:rPr>
          <w:rFonts w:eastAsia="Arial" w:cs="Arial"/>
          <w:color w:val="000000"/>
        </w:rPr>
        <w:t>mb e</w:t>
      </w:r>
      <w:r w:rsidRPr="00647306">
        <w:rPr>
          <w:rFonts w:eastAsia="Arial" w:cs="Arial"/>
          <w:color w:val="000000"/>
        </w:rPr>
        <w:t xml:space="preserve">l col·lectiu DID ha de </w:t>
      </w:r>
      <w:r>
        <w:rPr>
          <w:rFonts w:eastAsia="Arial" w:cs="Arial"/>
          <w:color w:val="000000"/>
        </w:rPr>
        <w:t>preveure</w:t>
      </w:r>
      <w:r w:rsidRPr="00647306">
        <w:rPr>
          <w:rFonts w:eastAsia="Arial" w:cs="Arial"/>
          <w:color w:val="000000"/>
        </w:rPr>
        <w:t>:</w:t>
      </w:r>
    </w:p>
    <w:p w:rsidR="006A4109" w:rsidRPr="00425C02" w:rsidRDefault="006A4109" w:rsidP="00AE0A20">
      <w:pPr>
        <w:pStyle w:val="Pargrafdellista"/>
        <w:numPr>
          <w:ilvl w:val="0"/>
          <w:numId w:val="10"/>
        </w:numPr>
        <w:rPr>
          <w:rFonts w:eastAsia="Times New Roman" w:cs="Arial"/>
          <w:lang w:eastAsia="ca-ES"/>
        </w:rPr>
      </w:pPr>
      <w:r w:rsidRPr="00647306">
        <w:rPr>
          <w:rFonts w:eastAsia="Times New Roman" w:cs="Arial"/>
          <w:lang w:eastAsia="ca-ES"/>
        </w:rPr>
        <w:t>Actualment</w:t>
      </w:r>
      <w:r>
        <w:rPr>
          <w:rFonts w:eastAsia="Times New Roman" w:cs="Arial"/>
          <w:lang w:eastAsia="ca-ES"/>
        </w:rPr>
        <w:t>,</w:t>
      </w:r>
      <w:r w:rsidRPr="00647306">
        <w:rPr>
          <w:rFonts w:eastAsia="Times New Roman" w:cs="Arial"/>
          <w:lang w:eastAsia="ca-ES"/>
        </w:rPr>
        <w:t xml:space="preserve"> l’entitat que presta aque</w:t>
      </w:r>
      <w:r>
        <w:rPr>
          <w:rFonts w:eastAsia="Times New Roman" w:cs="Arial"/>
          <w:lang w:eastAsia="ca-ES"/>
        </w:rPr>
        <w:t>st servei ho fa a través d’una s</w:t>
      </w:r>
      <w:r w:rsidRPr="00647306">
        <w:rPr>
          <w:rFonts w:eastAsia="Times New Roman" w:cs="Arial"/>
          <w:lang w:eastAsia="ca-ES"/>
        </w:rPr>
        <w:t>ubvenció atorgada a través del Departament de Justícia. Feblesa en el tipus de vinculació contractual.</w:t>
      </w:r>
    </w:p>
    <w:p w:rsidR="006A4109" w:rsidRPr="00425C02" w:rsidRDefault="006A4109" w:rsidP="00AE0A20">
      <w:pPr>
        <w:pStyle w:val="Pargrafdellista"/>
        <w:numPr>
          <w:ilvl w:val="0"/>
          <w:numId w:val="10"/>
        </w:numPr>
        <w:rPr>
          <w:rFonts w:eastAsia="Times New Roman" w:cs="Arial"/>
          <w:lang w:eastAsia="ca-ES"/>
        </w:rPr>
      </w:pPr>
      <w:r w:rsidRPr="00647306">
        <w:rPr>
          <w:rFonts w:eastAsia="Times New Roman" w:cs="Arial"/>
          <w:lang w:eastAsia="ca-ES"/>
        </w:rPr>
        <w:t>Atenent a la seva recent implantació, caldria avaluar l’impacte del programa marc d’una forma continuada per revisar circuits, generar estàndards i comprovar</w:t>
      </w:r>
      <w:r>
        <w:rPr>
          <w:rFonts w:eastAsia="Times New Roman" w:cs="Arial"/>
          <w:lang w:eastAsia="ca-ES"/>
        </w:rPr>
        <w:t xml:space="preserve">-ne </w:t>
      </w:r>
      <w:r w:rsidRPr="00647306">
        <w:rPr>
          <w:rFonts w:eastAsia="Times New Roman" w:cs="Arial"/>
          <w:lang w:eastAsia="ca-ES"/>
        </w:rPr>
        <w:t>l’efectivitat.</w:t>
      </w:r>
    </w:p>
    <w:p w:rsidR="006A4109" w:rsidRPr="00425C02" w:rsidRDefault="006A4109" w:rsidP="00AE0A20">
      <w:pPr>
        <w:pStyle w:val="Pargrafdellista"/>
        <w:numPr>
          <w:ilvl w:val="0"/>
          <w:numId w:val="10"/>
        </w:numPr>
        <w:rPr>
          <w:rFonts w:eastAsia="Times New Roman" w:cs="Arial"/>
          <w:lang w:eastAsia="ca-ES"/>
        </w:rPr>
      </w:pPr>
      <w:r w:rsidRPr="00647306">
        <w:rPr>
          <w:rFonts w:eastAsia="Times New Roman" w:cs="Arial"/>
          <w:lang w:eastAsia="ca-ES"/>
        </w:rPr>
        <w:t>Valorar les limitacions a l’ampliació dels requisits de persones susceptibles de ser ateses per aquest programa ma</w:t>
      </w:r>
      <w:r>
        <w:rPr>
          <w:rFonts w:eastAsia="Times New Roman" w:cs="Arial"/>
          <w:lang w:eastAsia="ca-ES"/>
        </w:rPr>
        <w:t>rc (estrangers no documentats, m</w:t>
      </w:r>
      <w:r w:rsidRPr="00647306">
        <w:rPr>
          <w:rFonts w:eastAsia="Times New Roman" w:cs="Arial"/>
          <w:lang w:eastAsia="ca-ES"/>
        </w:rPr>
        <w:t>esu</w:t>
      </w:r>
      <w:r>
        <w:rPr>
          <w:rFonts w:eastAsia="Times New Roman" w:cs="Arial"/>
          <w:lang w:eastAsia="ca-ES"/>
        </w:rPr>
        <w:t>res de seguretat, persones amb funcionament i</w:t>
      </w:r>
      <w:r w:rsidRPr="00647306">
        <w:rPr>
          <w:rFonts w:eastAsia="Times New Roman" w:cs="Arial"/>
          <w:lang w:eastAsia="ca-ES"/>
        </w:rPr>
        <w:t xml:space="preserve">ntel·lectual </w:t>
      </w:r>
      <w:r>
        <w:rPr>
          <w:rFonts w:eastAsia="Times New Roman" w:cs="Arial"/>
          <w:lang w:eastAsia="ca-ES"/>
        </w:rPr>
        <w:t>l</w:t>
      </w:r>
      <w:r w:rsidRPr="00647306">
        <w:rPr>
          <w:rFonts w:eastAsia="Times New Roman" w:cs="Arial"/>
          <w:lang w:eastAsia="ca-ES"/>
        </w:rPr>
        <w:t>ímit, etc.)</w:t>
      </w:r>
      <w:r>
        <w:rPr>
          <w:rFonts w:eastAsia="Times New Roman" w:cs="Arial"/>
          <w:lang w:eastAsia="ca-ES"/>
        </w:rPr>
        <w:t>.</w:t>
      </w:r>
    </w:p>
    <w:p w:rsidR="006A4109" w:rsidRPr="00647306" w:rsidRDefault="006A4109" w:rsidP="00AE0A20">
      <w:pPr>
        <w:pStyle w:val="Pargrafdellista"/>
        <w:numPr>
          <w:ilvl w:val="0"/>
          <w:numId w:val="10"/>
        </w:numPr>
        <w:rPr>
          <w:rFonts w:eastAsia="Times New Roman" w:cs="Arial"/>
          <w:lang w:eastAsia="ca-ES"/>
        </w:rPr>
      </w:pPr>
      <w:r w:rsidRPr="00647306">
        <w:rPr>
          <w:rFonts w:eastAsia="Times New Roman" w:cs="Arial"/>
          <w:lang w:eastAsia="ca-ES"/>
        </w:rPr>
        <w:t>Aprofundir en les qüestions que tenen a veure amb la continuïtat assistencial de les persones amb DID un cop estan en comunitat</w:t>
      </w:r>
      <w:r>
        <w:rPr>
          <w:rFonts w:eastAsia="Times New Roman" w:cs="Arial"/>
          <w:lang w:eastAsia="ca-ES"/>
        </w:rPr>
        <w:t>.</w:t>
      </w:r>
    </w:p>
    <w:p w:rsidR="006A4109" w:rsidRPr="00647306" w:rsidRDefault="006A4109" w:rsidP="00E930B2">
      <w:pPr>
        <w:rPr>
          <w:rFonts w:eastAsiaTheme="majorEastAsia" w:cs="Arial"/>
        </w:rPr>
      </w:pPr>
    </w:p>
    <w:p w:rsidR="006A4109" w:rsidRPr="00F02D52" w:rsidRDefault="006A4109" w:rsidP="0070401F">
      <w:pPr>
        <w:pStyle w:val="Ttol3"/>
      </w:pPr>
      <w:bookmarkStart w:id="311" w:name="_Toc463743336"/>
      <w:bookmarkStart w:id="312" w:name="_Toc463867785"/>
      <w:bookmarkStart w:id="313" w:name="_Toc464685672"/>
      <w:bookmarkStart w:id="314" w:name="_Toc465293403"/>
      <w:r w:rsidRPr="00F02D52">
        <w:t>Col·</w:t>
      </w:r>
      <w:r w:rsidRPr="00EB1B4D">
        <w:t>lectiu</w:t>
      </w:r>
      <w:r w:rsidRPr="00F02D52">
        <w:t xml:space="preserve"> LGTBI</w:t>
      </w:r>
      <w:bookmarkEnd w:id="311"/>
      <w:bookmarkEnd w:id="312"/>
      <w:bookmarkEnd w:id="313"/>
      <w:bookmarkEnd w:id="314"/>
    </w:p>
    <w:p w:rsidR="006A4109" w:rsidRPr="00647306" w:rsidRDefault="006A4109" w:rsidP="00E930B2">
      <w:pPr>
        <w:rPr>
          <w:rFonts w:cs="Arial"/>
        </w:rPr>
      </w:pPr>
      <w:r w:rsidRPr="00647306">
        <w:rPr>
          <w:rFonts w:cs="Arial"/>
        </w:rPr>
        <w:t>El tr</w:t>
      </w:r>
      <w:r>
        <w:rPr>
          <w:rFonts w:cs="Arial"/>
        </w:rPr>
        <w:t>actament del col·lectiu LGTBI (lesbianes, g</w:t>
      </w:r>
      <w:r w:rsidRPr="00647306">
        <w:rPr>
          <w:rFonts w:cs="Arial"/>
        </w:rPr>
        <w:t xml:space="preserve">ais, </w:t>
      </w:r>
      <w:r>
        <w:rPr>
          <w:rFonts w:cs="Arial"/>
        </w:rPr>
        <w:t>t</w:t>
      </w:r>
      <w:r w:rsidRPr="00647306">
        <w:rPr>
          <w:rFonts w:cs="Arial"/>
        </w:rPr>
        <w:t xml:space="preserve">ransgèneres, </w:t>
      </w:r>
      <w:r>
        <w:rPr>
          <w:rFonts w:cs="Arial"/>
        </w:rPr>
        <w:t>b</w:t>
      </w:r>
      <w:r w:rsidRPr="00647306">
        <w:rPr>
          <w:rFonts w:cs="Arial"/>
        </w:rPr>
        <w:t xml:space="preserve">isexuals i </w:t>
      </w:r>
      <w:r>
        <w:rPr>
          <w:rFonts w:cs="Arial"/>
        </w:rPr>
        <w:t>i</w:t>
      </w:r>
      <w:r w:rsidRPr="00647306">
        <w:rPr>
          <w:rFonts w:cs="Arial"/>
        </w:rPr>
        <w:t>ntersexuals) en l’àmbit penitenciari s’ha d’entendre circumscrit a l’evolució en matèria de drets igualitaris i no discriminatoris per motius sexual</w:t>
      </w:r>
      <w:r>
        <w:rPr>
          <w:rFonts w:cs="Arial"/>
        </w:rPr>
        <w:t>s</w:t>
      </w:r>
      <w:r w:rsidRPr="00647306">
        <w:rPr>
          <w:rFonts w:cs="Arial"/>
        </w:rPr>
        <w:t>, d’identitat de gènere o d’expressió que ha experimentat la societat en els darrers anys.</w:t>
      </w:r>
    </w:p>
    <w:p w:rsidR="006A4109" w:rsidRPr="00647306" w:rsidRDefault="006A4109" w:rsidP="00E930B2">
      <w:pPr>
        <w:rPr>
          <w:rFonts w:cs="Arial"/>
        </w:rPr>
      </w:pPr>
      <w:r w:rsidRPr="00647306">
        <w:rPr>
          <w:rFonts w:cs="Arial"/>
        </w:rPr>
        <w:t>La LOGP fixa els límits de l’ex</w:t>
      </w:r>
      <w:r>
        <w:rPr>
          <w:rFonts w:cs="Arial"/>
        </w:rPr>
        <w:t>ercici de l’activitat penitencià</w:t>
      </w:r>
      <w:r w:rsidRPr="00647306">
        <w:rPr>
          <w:rFonts w:cs="Arial"/>
        </w:rPr>
        <w:t>ria en el respecte al principi de no discriminació, l’Estatut de Catalunya de 2006  indica en el seu art. 40.8 que  “els poders púbics han de promoure la igualtat de totes les persones amb independència del seu origen, nacionalitat, sexe, raça, religió, condició social o orientació sexual, així com promoure l’eradicació del racisme, de l’antisemitisme, de la xenofòbia, de l</w:t>
      </w:r>
      <w:r>
        <w:rPr>
          <w:rFonts w:cs="Arial"/>
        </w:rPr>
        <w:t>a homofòbia i de qualsevol altra</w:t>
      </w:r>
      <w:r w:rsidRPr="00647306">
        <w:rPr>
          <w:rFonts w:cs="Arial"/>
        </w:rPr>
        <w:t xml:space="preserve"> expressió que atempti contra la igualtat i la dignitat de les persones”, altres resolucions del Parlament de Catalunya, defensen la no discriminació per raó d’opció sexual, i la Generalitat de Catalunya, per la seva banda, ha desplegat un intens treball de conscienciació i plans d’actuacions per dur a terme polítiques de no discriminació i igualtat. </w:t>
      </w:r>
    </w:p>
    <w:p w:rsidR="006A4109" w:rsidRPr="00647306" w:rsidRDefault="006A4109" w:rsidP="00E930B2">
      <w:pPr>
        <w:rPr>
          <w:rFonts w:cs="Arial"/>
        </w:rPr>
      </w:pPr>
      <w:r>
        <w:rPr>
          <w:rFonts w:cs="Arial"/>
        </w:rPr>
        <w:t>D’</w:t>
      </w:r>
      <w:r w:rsidRPr="00647306">
        <w:rPr>
          <w:rFonts w:cs="Arial"/>
        </w:rPr>
        <w:t>altra banda,  la Llei 3/2007, reguladora de la rectificació registral de la menció relativa al sexe de les persones, recull el dret de les persones transsexuals que tinguin la nacionalitat espanyola a demanar, si reuneixen els requisits previstos a</w:t>
      </w:r>
      <w:r>
        <w:rPr>
          <w:rFonts w:cs="Arial"/>
        </w:rPr>
        <w:t xml:space="preserve"> la norma, el canvi de sexe al r</w:t>
      </w:r>
      <w:r w:rsidRPr="00647306">
        <w:rPr>
          <w:rFonts w:cs="Arial"/>
        </w:rPr>
        <w:t xml:space="preserve">egistre civil sense necessitat que s’hagi efectuat  l’operació quirúrgica de canvi de sexe. </w:t>
      </w:r>
    </w:p>
    <w:p w:rsidR="006A4109" w:rsidRPr="00647306" w:rsidRDefault="006A4109" w:rsidP="00E930B2">
      <w:pPr>
        <w:rPr>
          <w:rFonts w:cs="Arial"/>
        </w:rPr>
      </w:pPr>
      <w:r w:rsidRPr="00647306">
        <w:rPr>
          <w:rFonts w:cs="Arial"/>
        </w:rPr>
        <w:t>Un pas especialment important, ha estat la promulgació pel Parlament català de la Llei 11/2014, de 10 d’octubre  per garantir el drets de LGTBI i per eradicar l’homofòbia, la bifòbia i la transfòbia, que ha contribuït activament a la seva compressió i valoració social.</w:t>
      </w:r>
    </w:p>
    <w:p w:rsidR="006A4109" w:rsidRPr="00647306" w:rsidRDefault="006A4109" w:rsidP="00E930B2">
      <w:pPr>
        <w:rPr>
          <w:rFonts w:cs="Arial"/>
        </w:rPr>
      </w:pPr>
      <w:r w:rsidRPr="00647306">
        <w:rPr>
          <w:rFonts w:cs="Arial"/>
        </w:rPr>
        <w:lastRenderedPageBreak/>
        <w:t>L’esmentada Llei fa referència a la situació dels col·lectius en situació de privació de llibertat posant especial èmfasi en la formació del personal vinculat a institucions penitenciàries i cossos de seguretat en temes de diversitat d’orientació sexual, identitat o expressió de gènere i el marc legal de referència a ap</w:t>
      </w:r>
      <w:r>
        <w:rPr>
          <w:rFonts w:cs="Arial"/>
        </w:rPr>
        <w:t>licar. No entesa únicament com</w:t>
      </w:r>
      <w:r w:rsidRPr="00647306">
        <w:rPr>
          <w:rFonts w:cs="Arial"/>
        </w:rPr>
        <w:t xml:space="preserve"> un element amb incidència </w:t>
      </w:r>
      <w:r>
        <w:rPr>
          <w:rFonts w:cs="Arial"/>
        </w:rPr>
        <w:t>en</w:t>
      </w:r>
      <w:r w:rsidRPr="00647306">
        <w:rPr>
          <w:rFonts w:cs="Arial"/>
        </w:rPr>
        <w:t xml:space="preserve"> la població femenina. Els homes també són objecte de greuges derivats de la perspectiva de gènere, específicament aquells que no responen a l’expectativa tradicional del gènere socialment validat. </w:t>
      </w:r>
    </w:p>
    <w:p w:rsidR="006A4109" w:rsidRPr="00647306" w:rsidRDefault="006A4109" w:rsidP="00E930B2">
      <w:pPr>
        <w:rPr>
          <w:rFonts w:cs="Arial"/>
        </w:rPr>
      </w:pPr>
      <w:r w:rsidRPr="00647306">
        <w:rPr>
          <w:rFonts w:cs="Arial"/>
        </w:rPr>
        <w:t>La instrucció 3/2009 de la DG de Serveis Penitenciaris, relativa a la separació interior i pecul</w:t>
      </w:r>
      <w:r>
        <w:rPr>
          <w:rFonts w:cs="Arial"/>
        </w:rPr>
        <w:t>iaritats del règim de vida de le</w:t>
      </w:r>
      <w:r w:rsidRPr="00647306">
        <w:rPr>
          <w:rFonts w:cs="Arial"/>
        </w:rPr>
        <w:t xml:space="preserve">s persones transsexuals en els centres penitenciaris de Catalunya </w:t>
      </w:r>
      <w:r>
        <w:rPr>
          <w:rFonts w:cs="Arial"/>
        </w:rPr>
        <w:t>ofereix</w:t>
      </w:r>
      <w:r w:rsidRPr="00647306">
        <w:rPr>
          <w:rFonts w:cs="Arial"/>
        </w:rPr>
        <w:t xml:space="preserve"> les pautes per fer efectiva la separació interior de les persones internes transsexuals. </w:t>
      </w:r>
    </w:p>
    <w:p w:rsidR="006A4109" w:rsidRPr="00647306" w:rsidRDefault="006A4109" w:rsidP="00E930B2">
      <w:pPr>
        <w:rPr>
          <w:rFonts w:cs="Arial"/>
        </w:rPr>
      </w:pPr>
      <w:r w:rsidRPr="00647306">
        <w:rPr>
          <w:rFonts w:cs="Arial"/>
        </w:rPr>
        <w:t>Tot i no haver-hi indicadors estadístics sobre el nombre de persones dels col·lectius esmentats privades de llibertat, les polítiques públiques han vetllat perquè també dintre de les presons es garanteixi en tot moment el compliment dels drets recollits en la normativa.</w:t>
      </w:r>
    </w:p>
    <w:p w:rsidR="006A4109" w:rsidRPr="00647306" w:rsidRDefault="006A4109" w:rsidP="00E930B2">
      <w:pPr>
        <w:rPr>
          <w:rFonts w:cs="Arial"/>
        </w:rPr>
      </w:pPr>
      <w:r w:rsidRPr="00647306">
        <w:rPr>
          <w:rFonts w:cs="Arial"/>
        </w:rPr>
        <w:t xml:space="preserve">L’oferta formativa desplegada pel Departament de Justícia </w:t>
      </w:r>
      <w:r>
        <w:rPr>
          <w:rFonts w:cs="Arial"/>
        </w:rPr>
        <w:t>pretén</w:t>
      </w:r>
      <w:r w:rsidRPr="00647306">
        <w:rPr>
          <w:rFonts w:cs="Arial"/>
        </w:rPr>
        <w:t xml:space="preserve"> aprofundir en el</w:t>
      </w:r>
      <w:r>
        <w:rPr>
          <w:rFonts w:cs="Arial"/>
        </w:rPr>
        <w:t>s</w:t>
      </w:r>
      <w:r w:rsidRPr="00647306">
        <w:rPr>
          <w:rFonts w:cs="Arial"/>
        </w:rPr>
        <w:t xml:space="preserve"> temes tractats i en el desplegament normatiu dels últims anys, a fi que tot el personal penitenciari compti amb les eines suficients per garantir els drets de les persones LGTBI.</w:t>
      </w:r>
    </w:p>
    <w:p w:rsidR="006A4109" w:rsidRPr="00F02D52" w:rsidRDefault="006A4109" w:rsidP="00E930B2">
      <w:pPr>
        <w:rPr>
          <w:rFonts w:cs="Arial"/>
          <w:b/>
          <w:i/>
        </w:rPr>
      </w:pPr>
    </w:p>
    <w:p w:rsidR="006A4109" w:rsidRPr="00F02D52" w:rsidRDefault="006A4109" w:rsidP="0070401F">
      <w:pPr>
        <w:pStyle w:val="Ttol2"/>
      </w:pPr>
      <w:bookmarkStart w:id="315" w:name="_Toc463867786"/>
      <w:bookmarkStart w:id="316" w:name="_Toc464685673"/>
      <w:bookmarkStart w:id="317" w:name="_Toc465293404"/>
      <w:r w:rsidRPr="00F02D52">
        <w:t xml:space="preserve">La seguretat i els </w:t>
      </w:r>
      <w:r w:rsidRPr="00EB1B4D">
        <w:t>sistemes</w:t>
      </w:r>
      <w:r w:rsidRPr="00F02D52">
        <w:t xml:space="preserve"> de supervisió i control</w:t>
      </w:r>
      <w:bookmarkEnd w:id="315"/>
      <w:bookmarkEnd w:id="316"/>
      <w:bookmarkEnd w:id="317"/>
    </w:p>
    <w:p w:rsidR="006A4109" w:rsidRPr="00647306" w:rsidRDefault="006A4109" w:rsidP="00E930B2">
      <w:pPr>
        <w:rPr>
          <w:rFonts w:eastAsiaTheme="minorEastAsia" w:cs="Arial"/>
        </w:rPr>
      </w:pPr>
      <w:r w:rsidRPr="00647306">
        <w:rPr>
          <w:rFonts w:eastAsiaTheme="minorEastAsia" w:cs="Arial"/>
        </w:rPr>
        <w:t>El context inicial que es va trobar l’</w:t>
      </w:r>
      <w:r>
        <w:rPr>
          <w:rFonts w:eastAsiaTheme="minorEastAsia" w:cs="Arial"/>
        </w:rPr>
        <w:t>Administració penitencià</w:t>
      </w:r>
      <w:r w:rsidRPr="00647306">
        <w:rPr>
          <w:rFonts w:eastAsiaTheme="minorEastAsia" w:cs="Arial"/>
        </w:rPr>
        <w:t>ria catalana en matèria de se</w:t>
      </w:r>
      <w:r>
        <w:rPr>
          <w:rFonts w:eastAsiaTheme="minorEastAsia" w:cs="Arial"/>
        </w:rPr>
        <w:t xml:space="preserve">guretat i supervisió ambiental </w:t>
      </w:r>
      <w:r w:rsidRPr="00647306">
        <w:rPr>
          <w:rFonts w:eastAsiaTheme="minorEastAsia" w:cs="Arial"/>
        </w:rPr>
        <w:t xml:space="preserve">es concreta </w:t>
      </w:r>
      <w:r>
        <w:rPr>
          <w:rFonts w:eastAsiaTheme="minorEastAsia" w:cs="Arial"/>
        </w:rPr>
        <w:t>en</w:t>
      </w:r>
      <w:r w:rsidRPr="00647306">
        <w:rPr>
          <w:rFonts w:eastAsiaTheme="minorEastAsia" w:cs="Arial"/>
        </w:rPr>
        <w:t xml:space="preserve"> uns establiments penitenciaris antics i amb dèficits de manteniment. Personal insuficient p</w:t>
      </w:r>
      <w:r>
        <w:rPr>
          <w:rFonts w:eastAsiaTheme="minorEastAsia" w:cs="Arial"/>
        </w:rPr>
        <w:t xml:space="preserve">el que fa </w:t>
      </w:r>
      <w:r w:rsidRPr="00647306">
        <w:rPr>
          <w:rFonts w:eastAsiaTheme="minorEastAsia" w:cs="Arial"/>
        </w:rPr>
        <w:t xml:space="preserve">al personal de servei interior, altament canviant </w:t>
      </w:r>
      <w:r>
        <w:rPr>
          <w:rFonts w:eastAsiaTheme="minorEastAsia" w:cs="Arial"/>
        </w:rPr>
        <w:t>atès</w:t>
      </w:r>
      <w:r w:rsidRPr="00647306">
        <w:rPr>
          <w:rFonts w:eastAsiaTheme="minorEastAsia" w:cs="Arial"/>
        </w:rPr>
        <w:t xml:space="preserve"> que fins </w:t>
      </w:r>
      <w:r>
        <w:rPr>
          <w:rFonts w:eastAsiaTheme="minorEastAsia" w:cs="Arial"/>
        </w:rPr>
        <w:t>a</w:t>
      </w:r>
      <w:r w:rsidRPr="00647306">
        <w:rPr>
          <w:rFonts w:eastAsiaTheme="minorEastAsia" w:cs="Arial"/>
        </w:rPr>
        <w:t xml:space="preserve">l 1986 no es va convocar la primera promoció de funcionaris del </w:t>
      </w:r>
      <w:r>
        <w:rPr>
          <w:rFonts w:eastAsiaTheme="minorEastAsia" w:cs="Arial"/>
        </w:rPr>
        <w:t>c</w:t>
      </w:r>
      <w:r w:rsidRPr="00647306">
        <w:rPr>
          <w:rFonts w:eastAsiaTheme="minorEastAsia" w:cs="Arial"/>
        </w:rPr>
        <w:t xml:space="preserve">os de </w:t>
      </w:r>
      <w:r>
        <w:rPr>
          <w:rFonts w:eastAsiaTheme="minorEastAsia" w:cs="Arial"/>
        </w:rPr>
        <w:t>t</w:t>
      </w:r>
      <w:r w:rsidRPr="00647306">
        <w:rPr>
          <w:rFonts w:eastAsiaTheme="minorEastAsia" w:cs="Arial"/>
        </w:rPr>
        <w:t xml:space="preserve">ècnics </w:t>
      </w:r>
      <w:r>
        <w:rPr>
          <w:rFonts w:eastAsiaTheme="minorEastAsia" w:cs="Arial"/>
        </w:rPr>
        <w:t>especialistes de l’A</w:t>
      </w:r>
      <w:r w:rsidRPr="00647306">
        <w:rPr>
          <w:rFonts w:eastAsiaTheme="minorEastAsia" w:cs="Arial"/>
        </w:rPr>
        <w:t>dministració catalana, afegit a un dèficit general de mitjans (mobiliari bàsic pe</w:t>
      </w:r>
      <w:r>
        <w:rPr>
          <w:rFonts w:eastAsiaTheme="minorEastAsia" w:cs="Arial"/>
        </w:rPr>
        <w:t>r a</w:t>
      </w:r>
      <w:r w:rsidRPr="00647306">
        <w:rPr>
          <w:rFonts w:eastAsiaTheme="minorEastAsia" w:cs="Arial"/>
        </w:rPr>
        <w:t>l desenvolupament de la feina, sistemes de comunicació, equips de protecció, eines per a la gestió de la informació,...). En definitiva, amb una cul</w:t>
      </w:r>
      <w:r>
        <w:rPr>
          <w:rFonts w:eastAsiaTheme="minorEastAsia" w:cs="Arial"/>
        </w:rPr>
        <w:t>tura, mitjans i visió penitencià</w:t>
      </w:r>
      <w:r w:rsidRPr="00647306">
        <w:rPr>
          <w:rFonts w:eastAsiaTheme="minorEastAsia" w:cs="Arial"/>
        </w:rPr>
        <w:t>ria basada en cri</w:t>
      </w:r>
      <w:r>
        <w:rPr>
          <w:rFonts w:eastAsiaTheme="minorEastAsia" w:cs="Arial"/>
        </w:rPr>
        <w:t>teris de seguretat molt bàsics.</w:t>
      </w:r>
    </w:p>
    <w:p w:rsidR="006A4109" w:rsidRPr="00647306" w:rsidRDefault="006A4109" w:rsidP="00E930B2">
      <w:pPr>
        <w:rPr>
          <w:rFonts w:eastAsiaTheme="minorEastAsia" w:cs="Arial"/>
        </w:rPr>
      </w:pPr>
      <w:r w:rsidRPr="00647306">
        <w:rPr>
          <w:rFonts w:eastAsiaTheme="minorEastAsia" w:cs="Arial"/>
        </w:rPr>
        <w:t>Durant els primers anys de gestió dels serveis penitenciaris, a les dificultats pròpies de l’estructuració d’un model de servei (desenvolupament normatiu, definició del model, adequació</w:t>
      </w:r>
      <w:r>
        <w:rPr>
          <w:rFonts w:eastAsiaTheme="minorEastAsia" w:cs="Arial"/>
        </w:rPr>
        <w:t xml:space="preserve"> de les</w:t>
      </w:r>
      <w:r w:rsidRPr="00647306">
        <w:rPr>
          <w:rFonts w:eastAsiaTheme="minorEastAsia" w:cs="Arial"/>
        </w:rPr>
        <w:t xml:space="preserve"> plantilles,...), es va haver de fer front a un de les problemes socials més emergents: el consum de drogues i l’aparició del</w:t>
      </w:r>
      <w:r>
        <w:rPr>
          <w:rFonts w:eastAsiaTheme="minorEastAsia" w:cs="Arial"/>
        </w:rPr>
        <w:t xml:space="preserve"> </w:t>
      </w:r>
      <w:r w:rsidRPr="00647306">
        <w:rPr>
          <w:rFonts w:eastAsiaTheme="minorEastAsia" w:cs="Arial"/>
        </w:rPr>
        <w:t>VIH, el qual van tenir un altíssim i cruel impa</w:t>
      </w:r>
      <w:r>
        <w:rPr>
          <w:rFonts w:eastAsiaTheme="minorEastAsia" w:cs="Arial"/>
        </w:rPr>
        <w:t xml:space="preserve">cte entre la població penitenciària i, conseqüentment, </w:t>
      </w:r>
      <w:r w:rsidRPr="00647306">
        <w:rPr>
          <w:rFonts w:eastAsiaTheme="minorEastAsia" w:cs="Arial"/>
        </w:rPr>
        <w:t xml:space="preserve">un alt nivell de patiment i de desestabilització en el clima dels centres. </w:t>
      </w:r>
    </w:p>
    <w:p w:rsidR="006A4109" w:rsidRDefault="006A4109" w:rsidP="00E930B2">
      <w:pPr>
        <w:rPr>
          <w:rFonts w:eastAsiaTheme="minorEastAsia" w:cs="Arial"/>
        </w:rPr>
      </w:pPr>
      <w:r w:rsidRPr="00647306">
        <w:rPr>
          <w:rFonts w:eastAsiaTheme="minorEastAsia" w:cs="Arial"/>
        </w:rPr>
        <w:t xml:space="preserve">Un altre handicap en el model de servei interior va ser </w:t>
      </w:r>
      <w:r>
        <w:rPr>
          <w:rFonts w:eastAsiaTheme="minorEastAsia" w:cs="Arial"/>
        </w:rPr>
        <w:t>haver d’</w:t>
      </w:r>
      <w:r w:rsidRPr="00647306">
        <w:rPr>
          <w:rFonts w:eastAsiaTheme="minorEastAsia" w:cs="Arial"/>
        </w:rPr>
        <w:t>anar a remolc d</w:t>
      </w:r>
      <w:r>
        <w:rPr>
          <w:rFonts w:eastAsiaTheme="minorEastAsia" w:cs="Arial"/>
        </w:rPr>
        <w:t>’</w:t>
      </w:r>
      <w:r w:rsidRPr="00647306">
        <w:rPr>
          <w:rFonts w:eastAsiaTheme="minorEastAsia" w:cs="Arial"/>
        </w:rPr>
        <w:t>un alt creixement de la població penitenci</w:t>
      </w:r>
      <w:r>
        <w:rPr>
          <w:rFonts w:eastAsiaTheme="minorEastAsia" w:cs="Arial"/>
        </w:rPr>
        <w:t>à</w:t>
      </w:r>
      <w:r w:rsidRPr="00647306">
        <w:rPr>
          <w:rFonts w:eastAsiaTheme="minorEastAsia" w:cs="Arial"/>
        </w:rPr>
        <w:t>ria que</w:t>
      </w:r>
      <w:r w:rsidR="00751B4F">
        <w:rPr>
          <w:rFonts w:eastAsiaTheme="minorEastAsia" w:cs="Arial"/>
        </w:rPr>
        <w:t xml:space="preserve"> no va desaparèixer fins al 2009</w:t>
      </w:r>
      <w:r w:rsidRPr="00647306">
        <w:rPr>
          <w:rFonts w:eastAsiaTheme="minorEastAsia" w:cs="Arial"/>
        </w:rPr>
        <w:t xml:space="preserve">, </w:t>
      </w:r>
      <w:r>
        <w:rPr>
          <w:rFonts w:eastAsiaTheme="minorEastAsia" w:cs="Arial"/>
        </w:rPr>
        <w:t>fet que va i</w:t>
      </w:r>
      <w:r w:rsidRPr="00647306">
        <w:rPr>
          <w:rFonts w:eastAsiaTheme="minorEastAsia" w:cs="Arial"/>
        </w:rPr>
        <w:t>mpedi</w:t>
      </w:r>
      <w:r>
        <w:rPr>
          <w:rFonts w:eastAsiaTheme="minorEastAsia" w:cs="Arial"/>
        </w:rPr>
        <w:t>r</w:t>
      </w:r>
      <w:r w:rsidRPr="00647306">
        <w:rPr>
          <w:rFonts w:eastAsiaTheme="minorEastAsia" w:cs="Arial"/>
        </w:rPr>
        <w:t xml:space="preserve"> l’assentament adequat d’un marc regulador i professional, així com l’absència d’u</w:t>
      </w:r>
      <w:r>
        <w:rPr>
          <w:rFonts w:eastAsiaTheme="minorEastAsia" w:cs="Arial"/>
        </w:rPr>
        <w:t>n model formatiu especialitzat.</w:t>
      </w:r>
    </w:p>
    <w:p w:rsidR="00B80CC7" w:rsidRDefault="00B80CC7" w:rsidP="00E930B2">
      <w:pPr>
        <w:rPr>
          <w:rFonts w:eastAsiaTheme="minorEastAsia" w:cs="Arial"/>
        </w:rPr>
      </w:pPr>
    </w:p>
    <w:p w:rsidR="00751B4F" w:rsidRDefault="00B80CC7" w:rsidP="0070401F">
      <w:pPr>
        <w:pStyle w:val="Ttol3"/>
      </w:pPr>
      <w:bookmarkStart w:id="318" w:name="_Toc465293405"/>
      <w:r>
        <w:t>El concepte de seguretat</w:t>
      </w:r>
      <w:bookmarkEnd w:id="318"/>
    </w:p>
    <w:p w:rsidR="00751B4F" w:rsidRPr="00647306" w:rsidRDefault="00751B4F" w:rsidP="00E930B2">
      <w:pPr>
        <w:rPr>
          <w:rFonts w:eastAsiaTheme="minorEastAsia" w:cs="Arial"/>
        </w:rPr>
      </w:pPr>
    </w:p>
    <w:p w:rsidR="006A4109" w:rsidRPr="00647306" w:rsidRDefault="006A4109" w:rsidP="00E930B2">
      <w:pPr>
        <w:rPr>
          <w:rFonts w:eastAsiaTheme="minorEastAsia" w:cs="Arial"/>
        </w:rPr>
      </w:pPr>
      <w:r w:rsidRPr="00647306">
        <w:rPr>
          <w:rFonts w:eastAsiaTheme="minorEastAsia" w:cs="Arial"/>
        </w:rPr>
        <w:t>Un dels principis bàsics per organitzar els serveis penitenciaris va ser una concepció integrada entre el règim i el tractament com dos aspectes interde</w:t>
      </w:r>
      <w:r>
        <w:rPr>
          <w:rFonts w:eastAsiaTheme="minorEastAsia" w:cs="Arial"/>
        </w:rPr>
        <w:t>pendents de la gestió penitencià</w:t>
      </w:r>
      <w:r w:rsidRPr="00647306">
        <w:rPr>
          <w:rFonts w:eastAsiaTheme="minorEastAsia" w:cs="Arial"/>
        </w:rPr>
        <w:t>ria.</w:t>
      </w:r>
    </w:p>
    <w:p w:rsidR="006A4109" w:rsidRPr="00647306" w:rsidRDefault="006A4109" w:rsidP="00E930B2">
      <w:pPr>
        <w:rPr>
          <w:rFonts w:eastAsiaTheme="minorEastAsia" w:cs="Arial"/>
        </w:rPr>
      </w:pPr>
      <w:r w:rsidRPr="00647306">
        <w:rPr>
          <w:rFonts w:eastAsiaTheme="minorEastAsia" w:cs="Arial"/>
        </w:rPr>
        <w:t>Malgrat la situació dels centres heretats al 1984, des del primer moment es va co</w:t>
      </w:r>
      <w:r>
        <w:rPr>
          <w:rFonts w:eastAsiaTheme="minorEastAsia" w:cs="Arial"/>
        </w:rPr>
        <w:t>nsiderar que la interacció contí</w:t>
      </w:r>
      <w:r w:rsidRPr="00647306">
        <w:rPr>
          <w:rFonts w:eastAsiaTheme="minorEastAsia" w:cs="Arial"/>
        </w:rPr>
        <w:t xml:space="preserve">nua entre el personal i la població internada era una eina potent de coneixement, atenció i acompanyament als interns, perfectament alineada amb la nostra </w:t>
      </w:r>
      <w:r w:rsidRPr="00647306">
        <w:rPr>
          <w:rFonts w:eastAsiaTheme="minorEastAsia" w:cs="Arial"/>
        </w:rPr>
        <w:lastRenderedPageBreak/>
        <w:t>missió principal i que aportava importants beneficis a la seguretat de les diferents unitats de vida i al conjunt dels centres.</w:t>
      </w:r>
    </w:p>
    <w:p w:rsidR="006A4109" w:rsidRPr="00647306" w:rsidRDefault="006A4109" w:rsidP="00E930B2">
      <w:pPr>
        <w:rPr>
          <w:rFonts w:eastAsiaTheme="minorEastAsia" w:cs="Arial"/>
        </w:rPr>
      </w:pPr>
      <w:r w:rsidRPr="00647306">
        <w:rPr>
          <w:rFonts w:eastAsiaTheme="minorEastAsia" w:cs="Arial"/>
        </w:rPr>
        <w:t xml:space="preserve">Aquest model de relació s’ha anat perfilant com </w:t>
      </w:r>
      <w:r>
        <w:rPr>
          <w:rFonts w:eastAsiaTheme="minorEastAsia" w:cs="Arial"/>
        </w:rPr>
        <w:t xml:space="preserve">a </w:t>
      </w:r>
      <w:r w:rsidRPr="00647306">
        <w:rPr>
          <w:rFonts w:eastAsiaTheme="minorEastAsia" w:cs="Arial"/>
        </w:rPr>
        <w:t>segell d’identitat, com un dels eixos bàsics per</w:t>
      </w:r>
      <w:r>
        <w:rPr>
          <w:rFonts w:eastAsiaTheme="minorEastAsia" w:cs="Arial"/>
        </w:rPr>
        <w:t xml:space="preserve"> a</w:t>
      </w:r>
      <w:r w:rsidRPr="00647306">
        <w:rPr>
          <w:rFonts w:eastAsiaTheme="minorEastAsia" w:cs="Arial"/>
        </w:rPr>
        <w:t xml:space="preserve"> la consecució d’un adequat clima ambiental que, en termes generals condiciona, dignifica i modela la conducta de la població internada, i situa a tot el personal penitenciari com </w:t>
      </w:r>
      <w:r>
        <w:rPr>
          <w:rFonts w:eastAsiaTheme="minorEastAsia" w:cs="Arial"/>
        </w:rPr>
        <w:t xml:space="preserve">a </w:t>
      </w:r>
      <w:r w:rsidRPr="00647306">
        <w:rPr>
          <w:rFonts w:eastAsiaTheme="minorEastAsia" w:cs="Arial"/>
        </w:rPr>
        <w:t>potencials agents de canvi en la promoció de millores en l’estil de vida</w:t>
      </w:r>
      <w:r>
        <w:rPr>
          <w:rFonts w:eastAsiaTheme="minorEastAsia" w:cs="Arial"/>
        </w:rPr>
        <w:t>, hàbits i valors dels interns</w:t>
      </w:r>
      <w:r w:rsidRPr="00647306">
        <w:rPr>
          <w:rFonts w:eastAsiaTheme="minorEastAsia" w:cs="Arial"/>
        </w:rPr>
        <w:t>.</w:t>
      </w:r>
    </w:p>
    <w:p w:rsidR="006A4109" w:rsidRPr="00647306" w:rsidRDefault="006A4109" w:rsidP="00E930B2">
      <w:pPr>
        <w:rPr>
          <w:rFonts w:eastAsiaTheme="minorEastAsia" w:cs="Arial"/>
        </w:rPr>
      </w:pPr>
      <w:r w:rsidRPr="00647306">
        <w:rPr>
          <w:rFonts w:eastAsiaTheme="minorEastAsia" w:cs="Arial"/>
        </w:rPr>
        <w:t>La normalització i dinamització de la vida dels centres penitenciaris, els programes específics d’intervenció, les activitats orientades a millorar capacitats en àrees deficitàries, l’atenció m</w:t>
      </w:r>
      <w:r>
        <w:rPr>
          <w:rFonts w:eastAsiaTheme="minorEastAsia" w:cs="Arial"/>
        </w:rPr>
        <w:t>e</w:t>
      </w:r>
      <w:r w:rsidRPr="00647306">
        <w:rPr>
          <w:rFonts w:eastAsiaTheme="minorEastAsia" w:cs="Arial"/>
        </w:rPr>
        <w:t>dicosanitària, l’atenció individual i de l’entorn social de la població penitenci</w:t>
      </w:r>
      <w:r>
        <w:rPr>
          <w:rFonts w:eastAsiaTheme="minorEastAsia" w:cs="Arial"/>
        </w:rPr>
        <w:t>à</w:t>
      </w:r>
      <w:r w:rsidRPr="00647306">
        <w:rPr>
          <w:rFonts w:eastAsiaTheme="minorEastAsia" w:cs="Arial"/>
        </w:rPr>
        <w:t>ria resulten claus per tal d’obtenir aquesta convivència, i alhora és determinant en la consecució d’una seguretat interior pe</w:t>
      </w:r>
      <w:r>
        <w:rPr>
          <w:rFonts w:eastAsiaTheme="minorEastAsia" w:cs="Arial"/>
        </w:rPr>
        <w:t>r a</w:t>
      </w:r>
      <w:r w:rsidRPr="00647306">
        <w:rPr>
          <w:rFonts w:eastAsiaTheme="minorEastAsia" w:cs="Arial"/>
        </w:rPr>
        <w:t>ls interns i professionals.</w:t>
      </w:r>
    </w:p>
    <w:p w:rsidR="00751B4F" w:rsidRPr="001D3F06" w:rsidRDefault="006A4109" w:rsidP="00751B4F">
      <w:pPr>
        <w:rPr>
          <w:rFonts w:ascii="Times" w:eastAsia="Times New Roman" w:hAnsi="Times" w:cs="Times New Roman"/>
          <w:b/>
          <w:color w:val="FF0000"/>
          <w:sz w:val="20"/>
          <w:szCs w:val="20"/>
          <w:lang w:val="es-ES"/>
        </w:rPr>
      </w:pPr>
      <w:r>
        <w:rPr>
          <w:rFonts w:eastAsiaTheme="minorEastAsia" w:cs="Arial"/>
        </w:rPr>
        <w:t xml:space="preserve">En conclusió, s’estableix </w:t>
      </w:r>
      <w:r w:rsidRPr="00647306">
        <w:rPr>
          <w:rFonts w:eastAsiaTheme="minorEastAsia" w:cs="Arial"/>
        </w:rPr>
        <w:t>com a principal valor de la seguretat el capital humà del sist</w:t>
      </w:r>
      <w:r>
        <w:rPr>
          <w:rFonts w:eastAsiaTheme="minorEastAsia" w:cs="Arial"/>
        </w:rPr>
        <w:t xml:space="preserve">ema, i </w:t>
      </w:r>
      <w:r w:rsidRPr="000A77D7">
        <w:rPr>
          <w:rFonts w:eastAsiaTheme="minorEastAsia" w:cs="Arial"/>
        </w:rPr>
        <w:t>es treballa generant sinergies adreçades a les diferents finalitats de la institució.</w:t>
      </w:r>
      <w:r w:rsidR="00751B4F" w:rsidRPr="000A77D7">
        <w:rPr>
          <w:rFonts w:eastAsiaTheme="minorEastAsia" w:cs="Arial"/>
        </w:rPr>
        <w:t xml:space="preserve"> Cal signific</w:t>
      </w:r>
      <w:r w:rsidR="000A77D7" w:rsidRPr="000A77D7">
        <w:rPr>
          <w:rFonts w:eastAsiaTheme="minorEastAsia" w:cs="Arial"/>
        </w:rPr>
        <w:t>ar que el 71</w:t>
      </w:r>
      <w:r w:rsidR="00751B4F" w:rsidRPr="000A77D7">
        <w:rPr>
          <w:rFonts w:eastAsiaTheme="minorEastAsia" w:cs="Arial"/>
        </w:rPr>
        <w:t>% del conjunt dels professionals que treballen a un centre penitenciari és personal de règim interior.</w:t>
      </w:r>
      <w:r w:rsidR="00751B4F" w:rsidRPr="00751B4F">
        <w:rPr>
          <w:rFonts w:eastAsiaTheme="minorEastAsia" w:cs="Arial"/>
        </w:rPr>
        <w:t xml:space="preserve"> </w:t>
      </w:r>
    </w:p>
    <w:p w:rsidR="006A4109" w:rsidRPr="00751B4F" w:rsidRDefault="006A4109" w:rsidP="00E930B2">
      <w:pPr>
        <w:rPr>
          <w:rFonts w:eastAsiaTheme="minorEastAsia" w:cs="Arial"/>
          <w:lang w:val="es-ES"/>
        </w:rPr>
      </w:pPr>
    </w:p>
    <w:p w:rsidR="006A4109" w:rsidRPr="00647306" w:rsidRDefault="006A4109" w:rsidP="00E930B2">
      <w:pPr>
        <w:rPr>
          <w:rFonts w:eastAsiaTheme="minorEastAsia" w:cs="Arial"/>
        </w:rPr>
      </w:pPr>
      <w:r w:rsidRPr="00647306">
        <w:rPr>
          <w:rFonts w:eastAsiaTheme="minorEastAsia" w:cs="Arial"/>
        </w:rPr>
        <w:t xml:space="preserve">Segons el Reglament </w:t>
      </w:r>
      <w:r>
        <w:rPr>
          <w:rFonts w:eastAsiaTheme="minorEastAsia" w:cs="Arial"/>
        </w:rPr>
        <w:t>p</w:t>
      </w:r>
      <w:r w:rsidRPr="00647306">
        <w:rPr>
          <w:rFonts w:eastAsiaTheme="minorEastAsia" w:cs="Arial"/>
        </w:rPr>
        <w:t>enitenciari (</w:t>
      </w:r>
      <w:r>
        <w:rPr>
          <w:rFonts w:eastAsiaTheme="minorEastAsia" w:cs="Arial"/>
        </w:rPr>
        <w:t>19</w:t>
      </w:r>
      <w:r w:rsidRPr="00647306">
        <w:rPr>
          <w:rFonts w:eastAsiaTheme="minorEastAsia" w:cs="Arial"/>
        </w:rPr>
        <w:t>96) s’entén per règim penitenciari el conjunt de normes o mesures que persegueixen la consecució d’una convivència ordenada i pacífica que permeti d’assolir l’ambient adequa</w:t>
      </w:r>
      <w:r>
        <w:rPr>
          <w:rFonts w:eastAsiaTheme="minorEastAsia" w:cs="Arial"/>
        </w:rPr>
        <w:t>t</w:t>
      </w:r>
      <w:r w:rsidRPr="00647306">
        <w:rPr>
          <w:rFonts w:eastAsiaTheme="minorEastAsia" w:cs="Arial"/>
        </w:rPr>
        <w:t xml:space="preserve"> per a l’èxit del tractament i la retenció i custòdia dels reclusos. Han de ser sempre proporcionades a la finalitat que persegueixen, i no poden significar un obstacle per a l’execució dels programes de tractament i intervenció dels reclusos. Aquestes activitats regides pel principi d’especialització ha</w:t>
      </w:r>
      <w:r>
        <w:rPr>
          <w:rFonts w:eastAsiaTheme="minorEastAsia" w:cs="Arial"/>
        </w:rPr>
        <w:t>n</w:t>
      </w:r>
      <w:r w:rsidRPr="00647306">
        <w:rPr>
          <w:rFonts w:eastAsiaTheme="minorEastAsia" w:cs="Arial"/>
        </w:rPr>
        <w:t xml:space="preserve"> d’estar coordinades degudament.</w:t>
      </w:r>
    </w:p>
    <w:p w:rsidR="006A4109" w:rsidRPr="00647306" w:rsidRDefault="006A4109" w:rsidP="00E930B2">
      <w:pPr>
        <w:rPr>
          <w:rFonts w:eastAsiaTheme="minorEastAsia" w:cs="Arial"/>
        </w:rPr>
      </w:pPr>
      <w:r>
        <w:rPr>
          <w:rFonts w:eastAsiaTheme="minorEastAsia" w:cs="Arial"/>
        </w:rPr>
        <w:t>El Reglament d’o</w:t>
      </w:r>
      <w:r w:rsidRPr="00647306">
        <w:rPr>
          <w:rFonts w:eastAsiaTheme="minorEastAsia" w:cs="Arial"/>
        </w:rPr>
        <w:t xml:space="preserve">rganització i </w:t>
      </w:r>
      <w:r>
        <w:rPr>
          <w:rFonts w:eastAsiaTheme="minorEastAsia" w:cs="Arial"/>
        </w:rPr>
        <w:t>f</w:t>
      </w:r>
      <w:r w:rsidRPr="00647306">
        <w:rPr>
          <w:rFonts w:eastAsiaTheme="minorEastAsia" w:cs="Arial"/>
        </w:rPr>
        <w:t xml:space="preserve">uncionament dels </w:t>
      </w:r>
      <w:r>
        <w:rPr>
          <w:rFonts w:eastAsiaTheme="minorEastAsia" w:cs="Arial"/>
        </w:rPr>
        <w:t>serveis d’e</w:t>
      </w:r>
      <w:r w:rsidRPr="00647306">
        <w:rPr>
          <w:rFonts w:eastAsiaTheme="minorEastAsia" w:cs="Arial"/>
        </w:rPr>
        <w:t xml:space="preserve">xecució </w:t>
      </w:r>
      <w:r>
        <w:rPr>
          <w:rFonts w:eastAsiaTheme="minorEastAsia" w:cs="Arial"/>
        </w:rPr>
        <w:t>p</w:t>
      </w:r>
      <w:r w:rsidRPr="00647306">
        <w:rPr>
          <w:rFonts w:eastAsiaTheme="minorEastAsia" w:cs="Arial"/>
        </w:rPr>
        <w:t>enal a Catalunya (ROFSEPC), en el seu art. 63</w:t>
      </w:r>
      <w:r>
        <w:rPr>
          <w:rFonts w:eastAsiaTheme="minorEastAsia" w:cs="Arial"/>
        </w:rPr>
        <w:t>,</w:t>
      </w:r>
      <w:r w:rsidRPr="00647306">
        <w:rPr>
          <w:rFonts w:eastAsiaTheme="minorEastAsia" w:cs="Arial"/>
        </w:rPr>
        <w:t xml:space="preserve"> determina que el personal dels cossos del grup de serveis penitenciaris que desenvolupin serveis </w:t>
      </w:r>
      <w:r>
        <w:rPr>
          <w:rFonts w:eastAsiaTheme="minorEastAsia" w:cs="Arial"/>
        </w:rPr>
        <w:t>en</w:t>
      </w:r>
      <w:r w:rsidRPr="00647306">
        <w:rPr>
          <w:rFonts w:eastAsiaTheme="minorEastAsia" w:cs="Arial"/>
        </w:rPr>
        <w:t xml:space="preserve"> l’àmbit de règim interior del centre penitenciari, sens</w:t>
      </w:r>
      <w:r>
        <w:rPr>
          <w:rFonts w:eastAsiaTheme="minorEastAsia" w:cs="Arial"/>
        </w:rPr>
        <w:t>e</w:t>
      </w:r>
      <w:r w:rsidRPr="00647306">
        <w:rPr>
          <w:rFonts w:eastAsiaTheme="minorEastAsia" w:cs="Arial"/>
        </w:rPr>
        <w:t xml:space="preserve"> perjudici de la seva participació necessària en la gènesi i el desenvolupament dels models d’intervenció i dels programes de tractament, és l’encarregat de:</w:t>
      </w:r>
    </w:p>
    <w:p w:rsidR="006A4109" w:rsidRPr="00647306" w:rsidRDefault="006A4109" w:rsidP="00E930B2">
      <w:pPr>
        <w:rPr>
          <w:rFonts w:eastAsiaTheme="minorEastAsia" w:cs="Arial"/>
        </w:rPr>
      </w:pPr>
      <w:r>
        <w:rPr>
          <w:rFonts w:eastAsiaTheme="minorEastAsia" w:cs="Arial"/>
        </w:rPr>
        <w:t>G</w:t>
      </w:r>
      <w:r w:rsidRPr="00647306">
        <w:rPr>
          <w:rFonts w:eastAsiaTheme="minorEastAsia" w:cs="Arial"/>
        </w:rPr>
        <w:t>arantir la seguretat, el bon ordre i la convivència ordenada del centre penitenciari.</w:t>
      </w:r>
    </w:p>
    <w:p w:rsidR="006A4109" w:rsidRPr="00647306" w:rsidRDefault="006A4109" w:rsidP="00E930B2">
      <w:pPr>
        <w:rPr>
          <w:rFonts w:eastAsiaTheme="minorEastAsia" w:cs="Arial"/>
        </w:rPr>
      </w:pPr>
      <w:r>
        <w:rPr>
          <w:rFonts w:eastAsiaTheme="minorEastAsia" w:cs="Arial"/>
        </w:rPr>
        <w:t>D</w:t>
      </w:r>
      <w:r w:rsidRPr="00647306">
        <w:rPr>
          <w:rFonts w:eastAsiaTheme="minorEastAsia" w:cs="Arial"/>
        </w:rPr>
        <w:t>ur a terme les actuacions que calgui per assegurar que es presten els serveis penitenciaris necessaris per garantir els drets de les persones internades a les institucions penitenciàries.</w:t>
      </w:r>
    </w:p>
    <w:p w:rsidR="006A4109" w:rsidRPr="00647306" w:rsidRDefault="006A4109" w:rsidP="00E930B2">
      <w:pPr>
        <w:rPr>
          <w:rFonts w:eastAsiaTheme="minorEastAsia" w:cs="Arial"/>
        </w:rPr>
      </w:pPr>
      <w:r>
        <w:rPr>
          <w:rFonts w:eastAsiaTheme="minorEastAsia" w:cs="Arial"/>
        </w:rPr>
        <w:t>E</w:t>
      </w:r>
      <w:r w:rsidRPr="00647306">
        <w:rPr>
          <w:rFonts w:eastAsiaTheme="minorEastAsia" w:cs="Arial"/>
        </w:rPr>
        <w:t>xigir-los les seves obligacions, d’acord amb el que dispo</w:t>
      </w:r>
      <w:r>
        <w:rPr>
          <w:rFonts w:eastAsiaTheme="minorEastAsia" w:cs="Arial"/>
        </w:rPr>
        <w:t>sa la legislació penitenciària.</w:t>
      </w:r>
    </w:p>
    <w:p w:rsidR="00B80CC7" w:rsidRDefault="00B80CC7" w:rsidP="00E930B2">
      <w:pPr>
        <w:rPr>
          <w:rFonts w:eastAsiaTheme="minorEastAsia" w:cs="Arial"/>
        </w:rPr>
      </w:pPr>
    </w:p>
    <w:p w:rsidR="00B80CC7" w:rsidRDefault="00B80CC7" w:rsidP="0070401F">
      <w:pPr>
        <w:pStyle w:val="Ttol3"/>
      </w:pPr>
      <w:bookmarkStart w:id="319" w:name="_Toc465293406"/>
      <w:r>
        <w:t>Àrees prestacionals i serveis interiors</w:t>
      </w:r>
      <w:bookmarkEnd w:id="319"/>
    </w:p>
    <w:p w:rsidR="00B80CC7" w:rsidRDefault="00B80CC7" w:rsidP="00E930B2">
      <w:pPr>
        <w:rPr>
          <w:rFonts w:eastAsiaTheme="minorEastAsia" w:cs="Arial"/>
        </w:rPr>
      </w:pPr>
    </w:p>
    <w:p w:rsidR="00B80CC7" w:rsidRPr="000A77D7" w:rsidRDefault="00B80CC7" w:rsidP="00B80CC7">
      <w:r w:rsidRPr="000A77D7">
        <w:t>Per garantir la seguretat, l’ordre i la convivència és essencial una gestió adequada de les diferents àrees logístiques i dels serveis que s’han de prestar a cada centre. Per fer-ho, s’ha  de definir la seva organització i protocol·litzar els sistemes de treball. Dins aquest apartat podem significar des de les regulacions dels accessos del centre, dels mòduls ordinaris, dels departaments singulars (règim tancat, de sancionats, salut mental, ingressos, d’atenció especialitzada,...), fins el desenvolupament de les diferents prestacions que han d’oferir els centres com les comunicacions, peculi, tallers, alimentació, subministraments i la gestió administrativa que tots ells comportem.</w:t>
      </w:r>
    </w:p>
    <w:p w:rsidR="00B80CC7" w:rsidRPr="00B80CC7" w:rsidRDefault="00B80CC7" w:rsidP="00B80CC7">
      <w:r w:rsidRPr="000A77D7">
        <w:t>Una bona organització en aquest àmbit és el punt de partida necessari per desenvolupar el conjunt d’actuacions orientades a l’acompanyament dels processos de reinserció de la població penitenciaria.</w:t>
      </w:r>
      <w:r w:rsidRPr="00B80CC7">
        <w:t xml:space="preserve"> </w:t>
      </w:r>
    </w:p>
    <w:p w:rsidR="00B80CC7" w:rsidRDefault="00B80CC7" w:rsidP="00E930B2">
      <w:pPr>
        <w:rPr>
          <w:rFonts w:eastAsiaTheme="minorEastAsia" w:cs="Arial"/>
        </w:rPr>
      </w:pPr>
    </w:p>
    <w:p w:rsidR="00B80CC7" w:rsidRPr="00B80CC7" w:rsidRDefault="00B80CC7" w:rsidP="00B80CC7">
      <w:pPr>
        <w:keepNext/>
        <w:keepLines/>
        <w:numPr>
          <w:ilvl w:val="2"/>
          <w:numId w:val="29"/>
        </w:numPr>
        <w:pBdr>
          <w:bottom w:val="single" w:sz="12" w:space="1" w:color="A6A6A6" w:themeColor="background1" w:themeShade="A6"/>
        </w:pBdr>
        <w:spacing w:before="200" w:after="120"/>
        <w:outlineLvl w:val="2"/>
        <w:rPr>
          <w:rFonts w:eastAsiaTheme="minorEastAsia" w:cstheme="majorBidi"/>
          <w:b/>
          <w:bCs/>
          <w:caps/>
          <w:color w:val="4A442A" w:themeColor="background2" w:themeShade="40"/>
          <w:sz w:val="24"/>
          <w:szCs w:val="26"/>
        </w:rPr>
      </w:pPr>
      <w:bookmarkStart w:id="320" w:name="_Toc465293407"/>
      <w:r w:rsidRPr="00B80CC7">
        <w:rPr>
          <w:rFonts w:eastAsiaTheme="minorEastAsia" w:cstheme="majorBidi"/>
          <w:b/>
          <w:bCs/>
          <w:caps/>
          <w:color w:val="4A442A" w:themeColor="background2" w:themeShade="40"/>
          <w:sz w:val="24"/>
          <w:szCs w:val="26"/>
        </w:rPr>
        <w:t>Gestió expedients personals</w:t>
      </w:r>
      <w:bookmarkEnd w:id="320"/>
    </w:p>
    <w:p w:rsidR="00B80CC7" w:rsidRPr="00B80CC7" w:rsidRDefault="00B80CC7" w:rsidP="00E930B2">
      <w:pPr>
        <w:rPr>
          <w:rFonts w:eastAsiaTheme="minorEastAsia" w:cs="Arial"/>
        </w:rPr>
      </w:pPr>
    </w:p>
    <w:p w:rsidR="00B80CC7" w:rsidRPr="000A77D7" w:rsidRDefault="00B80CC7" w:rsidP="00B80CC7">
      <w:r w:rsidRPr="000A77D7">
        <w:t>La correcta i puntual gestió de les diferents tramitacions penals i penitenciaria són vitals pel compliment del nostre mandat. La pulcritud en el compliment dels mandats judicials i la resta de vicissituds pròpies del sistema penitenciari redunden plenament en els processos de reinserció de cada un dels interns i, simultàniament en l’obtenció de centres segurs, ordenats i amb una adequada convivència.</w:t>
      </w:r>
    </w:p>
    <w:p w:rsidR="00B80CC7" w:rsidRPr="000A77D7" w:rsidRDefault="00B80CC7" w:rsidP="00B80CC7">
      <w:r w:rsidRPr="000A77D7">
        <w:t>Un fita important en l’alineament cap l’objecti</w:t>
      </w:r>
      <w:r w:rsidR="000A77D7" w:rsidRPr="000A77D7">
        <w:t>u comú i final del nostre sistem</w:t>
      </w:r>
      <w:r w:rsidRPr="000A77D7">
        <w:t xml:space="preserve">a, es va produir l’any 2004 a l’àmbit de la gestió administrativa amb la unificació de les antigues oficines de règim i tractament en una moderna oficina unificada, l’Oficina de Gestió Penitenciària. </w:t>
      </w:r>
    </w:p>
    <w:p w:rsidR="00B80CC7" w:rsidRPr="000A77D7" w:rsidRDefault="00B80CC7" w:rsidP="00B80CC7">
      <w:r w:rsidRPr="000A77D7">
        <w:t>Aquesta oficina està en continua evolució al tenor de les diferents modificacions legislatives i d’una adaptació tecnològica incessant.</w:t>
      </w:r>
    </w:p>
    <w:p w:rsidR="00B80CC7" w:rsidRPr="00E312F5" w:rsidRDefault="00B80CC7" w:rsidP="00E930B2">
      <w:pPr>
        <w:rPr>
          <w:rFonts w:eastAsiaTheme="minorEastAsia" w:cs="Arial"/>
          <w:highlight w:val="yellow"/>
        </w:rPr>
      </w:pPr>
    </w:p>
    <w:p w:rsidR="00B80CC7" w:rsidRPr="000A77D7" w:rsidRDefault="00B80CC7" w:rsidP="00B80CC7">
      <w:pPr>
        <w:keepNext/>
        <w:keepLines/>
        <w:numPr>
          <w:ilvl w:val="2"/>
          <w:numId w:val="29"/>
        </w:numPr>
        <w:pBdr>
          <w:bottom w:val="single" w:sz="12" w:space="1" w:color="A6A6A6" w:themeColor="background1" w:themeShade="A6"/>
        </w:pBdr>
        <w:spacing w:before="200" w:after="120"/>
        <w:outlineLvl w:val="2"/>
        <w:rPr>
          <w:rFonts w:eastAsiaTheme="minorEastAsia" w:cstheme="majorBidi"/>
          <w:b/>
          <w:bCs/>
          <w:caps/>
          <w:color w:val="4A442A" w:themeColor="background2" w:themeShade="40"/>
          <w:sz w:val="24"/>
          <w:szCs w:val="26"/>
        </w:rPr>
      </w:pPr>
      <w:bookmarkStart w:id="321" w:name="_Toc465293408"/>
      <w:r w:rsidRPr="000A77D7">
        <w:rPr>
          <w:rFonts w:eastAsiaTheme="minorEastAsia" w:cstheme="majorBidi"/>
          <w:b/>
          <w:bCs/>
          <w:caps/>
          <w:color w:val="4A442A" w:themeColor="background2" w:themeShade="40"/>
          <w:sz w:val="24"/>
          <w:szCs w:val="26"/>
        </w:rPr>
        <w:t>Impuls normatiu i protocols de seguretat</w:t>
      </w:r>
      <w:bookmarkEnd w:id="321"/>
    </w:p>
    <w:p w:rsidR="00B80CC7" w:rsidRPr="000A77D7" w:rsidRDefault="00B80CC7" w:rsidP="00E930B2">
      <w:pPr>
        <w:rPr>
          <w:rFonts w:eastAsiaTheme="minorEastAsia" w:cs="Arial"/>
        </w:rPr>
      </w:pPr>
    </w:p>
    <w:p w:rsidR="006A4109" w:rsidRPr="000A77D7" w:rsidRDefault="006A4109" w:rsidP="00E930B2">
      <w:pPr>
        <w:rPr>
          <w:rFonts w:eastAsiaTheme="minorEastAsia" w:cs="Arial"/>
        </w:rPr>
      </w:pPr>
      <w:r w:rsidRPr="000A77D7">
        <w:rPr>
          <w:rFonts w:eastAsiaTheme="minorEastAsia" w:cs="Arial"/>
        </w:rPr>
        <w:t>Per tal de dur a terme la missió encomanada, es poden destacar les línies següents d’actuació en matèria normativa i de regulació que en l’àmbit s’ha dut a terme:</w:t>
      </w:r>
    </w:p>
    <w:p w:rsidR="006A4109" w:rsidRPr="000A77D7" w:rsidRDefault="006A4109" w:rsidP="00AE0A20">
      <w:pPr>
        <w:pStyle w:val="Pargrafdellista"/>
        <w:numPr>
          <w:ilvl w:val="0"/>
          <w:numId w:val="11"/>
        </w:numPr>
        <w:rPr>
          <w:rFonts w:eastAsiaTheme="minorEastAsia" w:cs="Arial"/>
        </w:rPr>
      </w:pPr>
      <w:r w:rsidRPr="000A77D7">
        <w:rPr>
          <w:rFonts w:eastAsiaTheme="minorEastAsia" w:cs="Arial"/>
        </w:rPr>
        <w:t xml:space="preserve">Circular 1/97 sobre escorcolls corporals i sobre l’aplicació d’altres mitjans de control adequats (derogada parcialment per la Circular 1/2007 i per la 1/2008 que està en vigor). Pretenia unificar els criteris d’actuació en relació amb els escorcolls i adaptar-los a les línies marcades per la jurisprudència constitucional.  </w:t>
      </w:r>
    </w:p>
    <w:p w:rsidR="006A4109" w:rsidRPr="000A77D7" w:rsidRDefault="006A4109" w:rsidP="00AE0A20">
      <w:pPr>
        <w:pStyle w:val="Pargrafdellista"/>
        <w:numPr>
          <w:ilvl w:val="0"/>
          <w:numId w:val="11"/>
        </w:numPr>
        <w:rPr>
          <w:rFonts w:eastAsiaTheme="minorEastAsia" w:cs="Arial"/>
        </w:rPr>
      </w:pPr>
      <w:r w:rsidRPr="000A77D7">
        <w:rPr>
          <w:rFonts w:eastAsiaTheme="minorEastAsia" w:cs="Arial"/>
        </w:rPr>
        <w:t>Instrucció 2/98 sobre la restricció de les comunicacions i visites dels interns que  hi ha als centres penitenciaris.</w:t>
      </w:r>
    </w:p>
    <w:p w:rsidR="006A4109" w:rsidRPr="000A77D7" w:rsidRDefault="006A4109" w:rsidP="00AE0A20">
      <w:pPr>
        <w:pStyle w:val="Pargrafdellista"/>
        <w:numPr>
          <w:ilvl w:val="0"/>
          <w:numId w:val="11"/>
        </w:numPr>
        <w:rPr>
          <w:rFonts w:eastAsiaTheme="minorEastAsia" w:cs="Arial"/>
        </w:rPr>
      </w:pPr>
      <w:r w:rsidRPr="000A77D7">
        <w:rPr>
          <w:rFonts w:eastAsiaTheme="minorEastAsia" w:cs="Arial"/>
        </w:rPr>
        <w:t>Circular 5/2001 que aprova el Programa marc d’intervenció a les unitats i departaments de règim tancat dels centres penitenciaris de Catalunya. Orienta l’actuació amb els interns en règim tancat sota criteris d’intervenció contínua.</w:t>
      </w:r>
    </w:p>
    <w:p w:rsidR="006A4109" w:rsidRPr="000A77D7" w:rsidRDefault="006A4109" w:rsidP="00AE0A20">
      <w:pPr>
        <w:pStyle w:val="Pargrafdellista"/>
        <w:numPr>
          <w:ilvl w:val="0"/>
          <w:numId w:val="11"/>
        </w:numPr>
        <w:rPr>
          <w:rFonts w:eastAsiaTheme="minorEastAsia" w:cs="Arial"/>
        </w:rPr>
      </w:pPr>
      <w:r w:rsidRPr="000A77D7">
        <w:rPr>
          <w:rFonts w:eastAsiaTheme="minorEastAsia" w:cs="Arial"/>
        </w:rPr>
        <w:t>Circular 2/2004 regula els procediments d’actuació davant situacions d’agressivitat sobtada dels pacients ingressats a les unitats de psiquiatria.</w:t>
      </w:r>
    </w:p>
    <w:p w:rsidR="006A4109" w:rsidRPr="000A77D7" w:rsidRDefault="006A4109" w:rsidP="00AE0A20">
      <w:pPr>
        <w:pStyle w:val="Pargrafdellista"/>
        <w:numPr>
          <w:ilvl w:val="0"/>
          <w:numId w:val="11"/>
        </w:numPr>
        <w:rPr>
          <w:rFonts w:eastAsiaTheme="minorEastAsia" w:cs="Arial"/>
        </w:rPr>
      </w:pPr>
      <w:r w:rsidRPr="000A77D7">
        <w:rPr>
          <w:rFonts w:eastAsiaTheme="minorEastAsia" w:cs="Arial"/>
        </w:rPr>
        <w:t>Circular 4/2004 sobre els sistemes de control del personal autoritzat a accedir als establiments penitenciaris (derogada per la 2/2008).</w:t>
      </w:r>
    </w:p>
    <w:p w:rsidR="006A4109" w:rsidRPr="000A77D7" w:rsidRDefault="006A4109" w:rsidP="00AE0A20">
      <w:pPr>
        <w:pStyle w:val="Pargrafdellista"/>
        <w:numPr>
          <w:ilvl w:val="0"/>
          <w:numId w:val="11"/>
        </w:numPr>
        <w:rPr>
          <w:rFonts w:eastAsiaTheme="minorEastAsia" w:cs="Arial"/>
        </w:rPr>
      </w:pPr>
      <w:r w:rsidRPr="000A77D7">
        <w:rPr>
          <w:rFonts w:eastAsiaTheme="minorEastAsia" w:cs="Arial"/>
        </w:rPr>
        <w:t>Circular 6/2004 sobre els procediment d’actuació i observació posterior a la utilització de mitjans coercitius i sobre les normes bàsiques d’ús dels mitjans de seguretat que configuren els equipaments individuals d’intervenció.</w:t>
      </w:r>
    </w:p>
    <w:p w:rsidR="006A4109" w:rsidRPr="000A77D7" w:rsidRDefault="006A4109" w:rsidP="00AE0A20">
      <w:pPr>
        <w:pStyle w:val="Pargrafdellista"/>
        <w:numPr>
          <w:ilvl w:val="0"/>
          <w:numId w:val="11"/>
        </w:numPr>
        <w:rPr>
          <w:rFonts w:eastAsiaTheme="minorEastAsia" w:cs="Arial"/>
        </w:rPr>
      </w:pPr>
      <w:r w:rsidRPr="000A77D7">
        <w:rPr>
          <w:rFonts w:eastAsiaTheme="minorEastAsia" w:cs="Arial"/>
        </w:rPr>
        <w:t>Instrucció 3/2005 sobre els criteris que s’han de seguir per a l’elaboració de la normativa interna dels departaments especials dels centres penitenciaris.</w:t>
      </w:r>
    </w:p>
    <w:p w:rsidR="006A4109" w:rsidRPr="000A77D7" w:rsidRDefault="006A4109" w:rsidP="00AE0A20">
      <w:pPr>
        <w:pStyle w:val="Pargrafdellista"/>
        <w:numPr>
          <w:ilvl w:val="0"/>
          <w:numId w:val="11"/>
        </w:numPr>
        <w:rPr>
          <w:rFonts w:eastAsiaTheme="minorEastAsia" w:cs="Arial"/>
        </w:rPr>
      </w:pPr>
      <w:r w:rsidRPr="000A77D7">
        <w:rPr>
          <w:rFonts w:eastAsiaTheme="minorEastAsia" w:cs="Arial"/>
        </w:rPr>
        <w:t>Circular 2/2007 reguladora del procediment d’immobilització mecànica.</w:t>
      </w:r>
    </w:p>
    <w:p w:rsidR="006A4109" w:rsidRPr="000A77D7" w:rsidRDefault="006A4109" w:rsidP="00AE0A20">
      <w:pPr>
        <w:pStyle w:val="Pargrafdellista"/>
        <w:numPr>
          <w:ilvl w:val="0"/>
          <w:numId w:val="11"/>
        </w:numPr>
        <w:rPr>
          <w:rFonts w:eastAsiaTheme="minorEastAsia" w:cs="Arial"/>
        </w:rPr>
      </w:pPr>
      <w:r w:rsidRPr="000A77D7">
        <w:rPr>
          <w:rFonts w:eastAsiaTheme="minorEastAsia" w:cs="Arial"/>
        </w:rPr>
        <w:t>Instrucció 3/2009 relativa a la separació interior i peculiaritats del règim de vida de les persones transsexuals en els centres penitenciaris de Catalunya.</w:t>
      </w:r>
    </w:p>
    <w:p w:rsidR="006A4109" w:rsidRPr="000A77D7" w:rsidRDefault="006A4109" w:rsidP="00AE0A20">
      <w:pPr>
        <w:pStyle w:val="Pargrafdellista"/>
        <w:numPr>
          <w:ilvl w:val="0"/>
          <w:numId w:val="11"/>
        </w:numPr>
        <w:rPr>
          <w:rFonts w:eastAsiaTheme="minorEastAsia" w:cs="Arial"/>
        </w:rPr>
      </w:pPr>
      <w:r w:rsidRPr="000A77D7">
        <w:rPr>
          <w:rFonts w:eastAsiaTheme="minorEastAsia" w:cs="Arial"/>
        </w:rPr>
        <w:t>Circular 2/2010 d’adaptació als centres i equipaments d’execució penal del protocol de videovigilància del Departament de Justícia.</w:t>
      </w:r>
    </w:p>
    <w:p w:rsidR="006A4109" w:rsidRPr="000A77D7" w:rsidRDefault="006A4109" w:rsidP="00AE0A20">
      <w:pPr>
        <w:pStyle w:val="Pargrafdellista"/>
        <w:numPr>
          <w:ilvl w:val="0"/>
          <w:numId w:val="11"/>
        </w:numPr>
        <w:rPr>
          <w:rFonts w:eastAsiaTheme="minorEastAsia" w:cs="Arial"/>
        </w:rPr>
      </w:pPr>
      <w:r w:rsidRPr="000A77D7">
        <w:rPr>
          <w:rFonts w:eastAsiaTheme="minorEastAsia" w:cs="Arial"/>
        </w:rPr>
        <w:t>Circular 2/2011 Codi ètic dels professionals d’execució penal a Catalunya.</w:t>
      </w:r>
    </w:p>
    <w:p w:rsidR="006A4109" w:rsidRPr="000A77D7" w:rsidRDefault="006A4109" w:rsidP="00AE0A20">
      <w:pPr>
        <w:pStyle w:val="Pargrafdellista"/>
        <w:numPr>
          <w:ilvl w:val="0"/>
          <w:numId w:val="11"/>
        </w:numPr>
        <w:rPr>
          <w:rFonts w:eastAsiaTheme="minorEastAsia" w:cs="Arial"/>
        </w:rPr>
      </w:pPr>
      <w:r w:rsidRPr="000A77D7">
        <w:rPr>
          <w:rFonts w:eastAsiaTheme="minorEastAsia" w:cs="Arial"/>
        </w:rPr>
        <w:t xml:space="preserve">Instrucció 1/2011 sobre ordenació dels plans d’autoprotecció i seguretat, i manuals d’organització i funcionament dels centres penitenciaris de Catalunya. </w:t>
      </w:r>
    </w:p>
    <w:p w:rsidR="006A4109" w:rsidRPr="000A77D7" w:rsidRDefault="006A4109" w:rsidP="00E930B2">
      <w:pPr>
        <w:rPr>
          <w:rFonts w:eastAsiaTheme="minorEastAsia" w:cs="Arial"/>
          <w:b/>
        </w:rPr>
      </w:pPr>
    </w:p>
    <w:p w:rsidR="006A4109" w:rsidRPr="000A77D7" w:rsidRDefault="006A4109" w:rsidP="00E930B2">
      <w:pPr>
        <w:rPr>
          <w:rFonts w:eastAsiaTheme="minorEastAsia" w:cs="Arial"/>
        </w:rPr>
      </w:pPr>
      <w:r w:rsidRPr="000A77D7">
        <w:rPr>
          <w:rFonts w:eastAsiaTheme="minorEastAsia" w:cs="Arial"/>
        </w:rPr>
        <w:lastRenderedPageBreak/>
        <w:t xml:space="preserve">Aquesta última norma suposa un punt d’inflexió en l’àmbit de règim interior ja que regula el contingut, estructura i implementació dels plans d’autoprotecció i seguretat, els seus requeriments bàsics i mínims, així com el procediment d’aprovació, modificació i homologació. A partir d’aquest model, tots els centres han elaborat els seus plans d’autoprotecció i protocols de seguretat. </w:t>
      </w:r>
    </w:p>
    <w:p w:rsidR="00B80CC7" w:rsidRPr="000A77D7" w:rsidRDefault="00B80CC7" w:rsidP="00E930B2">
      <w:pPr>
        <w:rPr>
          <w:rFonts w:eastAsiaTheme="minorEastAsia" w:cs="Arial"/>
        </w:rPr>
      </w:pPr>
    </w:p>
    <w:p w:rsidR="00B80CC7" w:rsidRPr="000A77D7" w:rsidRDefault="00B80CC7" w:rsidP="00B80CC7">
      <w:pPr>
        <w:keepNext/>
        <w:keepLines/>
        <w:numPr>
          <w:ilvl w:val="2"/>
          <w:numId w:val="29"/>
        </w:numPr>
        <w:pBdr>
          <w:bottom w:val="single" w:sz="12" w:space="1" w:color="A6A6A6" w:themeColor="background1" w:themeShade="A6"/>
        </w:pBdr>
        <w:spacing w:before="200" w:after="120"/>
        <w:outlineLvl w:val="2"/>
        <w:rPr>
          <w:rFonts w:eastAsiaTheme="minorEastAsia" w:cstheme="majorBidi"/>
          <w:b/>
          <w:bCs/>
          <w:caps/>
          <w:color w:val="4A442A" w:themeColor="background2" w:themeShade="40"/>
          <w:sz w:val="24"/>
          <w:szCs w:val="26"/>
        </w:rPr>
      </w:pPr>
      <w:bookmarkStart w:id="322" w:name="_Toc465293409"/>
      <w:r w:rsidRPr="000A77D7">
        <w:rPr>
          <w:rFonts w:eastAsiaTheme="minorEastAsia" w:cstheme="majorBidi"/>
          <w:b/>
          <w:bCs/>
          <w:caps/>
          <w:color w:val="4A442A" w:themeColor="background2" w:themeShade="40"/>
          <w:sz w:val="24"/>
          <w:szCs w:val="26"/>
        </w:rPr>
        <w:t>Mitjans materials</w:t>
      </w:r>
      <w:bookmarkEnd w:id="322"/>
    </w:p>
    <w:p w:rsidR="00B80CC7" w:rsidRPr="000A77D7" w:rsidRDefault="00B80CC7" w:rsidP="00E930B2">
      <w:pPr>
        <w:rPr>
          <w:rFonts w:eastAsiaTheme="minorEastAsia" w:cs="Arial"/>
        </w:rPr>
      </w:pPr>
    </w:p>
    <w:p w:rsidR="006A4109" w:rsidRPr="000A77D7" w:rsidRDefault="006A4109" w:rsidP="00E930B2">
      <w:pPr>
        <w:rPr>
          <w:rFonts w:eastAsiaTheme="minorEastAsia" w:cs="Arial"/>
        </w:rPr>
      </w:pPr>
      <w:r w:rsidRPr="000A77D7">
        <w:rPr>
          <w:rFonts w:eastAsiaTheme="minorEastAsia" w:cs="Arial"/>
        </w:rPr>
        <w:t>En relació amb els mitjans materials, la incorporació de material de seguretat als diferents centres penitenciaris ha estat progressiva i no sempre homogènia. Cada vegada que s’inaugurava un establiment penitenciari es dotava de material, bàsicament sistemes electrònics de comunicació i una dotació mínima del material coercitiu reglamentari.</w:t>
      </w:r>
    </w:p>
    <w:p w:rsidR="006A4109" w:rsidRPr="000A77D7" w:rsidRDefault="006A4109" w:rsidP="00E930B2">
      <w:pPr>
        <w:rPr>
          <w:rFonts w:eastAsiaTheme="minorEastAsia" w:cs="Arial"/>
        </w:rPr>
      </w:pPr>
      <w:r w:rsidRPr="000A77D7">
        <w:rPr>
          <w:rFonts w:eastAsiaTheme="minorEastAsia" w:cs="Arial"/>
        </w:rPr>
        <w:t>Al 2001 es produeix un canvi substancial mitjançant l’Acord entre l’Administració de la Generalitat i les organitzacions sindicals representatives del personal penitenciari en matèria de seguretat. Del qual es van acordar els criteris següents:</w:t>
      </w:r>
    </w:p>
    <w:p w:rsidR="006A4109" w:rsidRPr="000A77D7" w:rsidRDefault="006A4109" w:rsidP="00AE0A20">
      <w:pPr>
        <w:pStyle w:val="Pargrafdellista"/>
        <w:numPr>
          <w:ilvl w:val="0"/>
          <w:numId w:val="12"/>
        </w:numPr>
        <w:rPr>
          <w:rFonts w:eastAsiaTheme="minorEastAsia" w:cs="Arial"/>
        </w:rPr>
      </w:pPr>
      <w:r w:rsidRPr="000A77D7">
        <w:rPr>
          <w:rFonts w:eastAsiaTheme="minorEastAsia" w:cs="Arial"/>
        </w:rPr>
        <w:t xml:space="preserve">incrementar les dotacions de radiotransmissors de cada centre fins un nombre equivalent al màxim de personal de vigilància per torn de treball, més un 10%. </w:t>
      </w:r>
    </w:p>
    <w:p w:rsidR="006A4109" w:rsidRPr="000A77D7" w:rsidRDefault="006A4109" w:rsidP="00AE0A20">
      <w:pPr>
        <w:pStyle w:val="Pargrafdellista"/>
        <w:numPr>
          <w:ilvl w:val="0"/>
          <w:numId w:val="12"/>
        </w:numPr>
        <w:rPr>
          <w:rFonts w:eastAsiaTheme="minorEastAsia" w:cs="Arial"/>
        </w:rPr>
      </w:pPr>
      <w:r w:rsidRPr="000A77D7">
        <w:rPr>
          <w:rFonts w:eastAsiaTheme="minorEastAsia" w:cs="Arial"/>
        </w:rPr>
        <w:t>incrementar les dotacions de polsadors antipànic de cada centre a un nombre equivalent al total de personal d’altres àrees d’intervenció (rehabilitació) que interactuïn amb interns, més un 10%.</w:t>
      </w:r>
    </w:p>
    <w:p w:rsidR="006A4109" w:rsidRPr="000A77D7" w:rsidRDefault="006A4109" w:rsidP="00AE0A20">
      <w:pPr>
        <w:pStyle w:val="Pargrafdellista"/>
        <w:numPr>
          <w:ilvl w:val="0"/>
          <w:numId w:val="12"/>
        </w:numPr>
        <w:rPr>
          <w:rFonts w:eastAsiaTheme="minorEastAsia" w:cs="Arial"/>
        </w:rPr>
      </w:pPr>
      <w:r w:rsidRPr="000A77D7">
        <w:rPr>
          <w:rFonts w:eastAsiaTheme="minorEastAsia" w:cs="Arial"/>
        </w:rPr>
        <w:t>revisar els sistemes de classificació interior del centres penitenciaris per tal de millorar el control i seguiment d’interns que facin preveure comportaments de risc o perillosos. Aquesta revisió s’ha de fer en comissions tècniques amb representació de personal de les diverses àrees dels centres penitenciaris.</w:t>
      </w:r>
    </w:p>
    <w:p w:rsidR="006A4109" w:rsidRPr="000A77D7" w:rsidRDefault="006A4109" w:rsidP="00AE0A20">
      <w:pPr>
        <w:pStyle w:val="Pargrafdellista"/>
        <w:numPr>
          <w:ilvl w:val="0"/>
          <w:numId w:val="12"/>
        </w:numPr>
        <w:rPr>
          <w:rFonts w:eastAsiaTheme="minorEastAsia" w:cs="Arial"/>
        </w:rPr>
      </w:pPr>
      <w:r w:rsidRPr="000A77D7">
        <w:rPr>
          <w:rFonts w:eastAsiaTheme="minorEastAsia" w:cs="Arial"/>
        </w:rPr>
        <w:t>garantir el control visual del personal en situacions d’interacció col·lectiva o individual amb interns. Especifica les mesures següents:</w:t>
      </w:r>
    </w:p>
    <w:p w:rsidR="006A4109" w:rsidRPr="000A77D7" w:rsidRDefault="006A4109" w:rsidP="00AE0A20">
      <w:pPr>
        <w:pStyle w:val="Pargrafdellista"/>
        <w:numPr>
          <w:ilvl w:val="1"/>
          <w:numId w:val="12"/>
        </w:numPr>
        <w:rPr>
          <w:rFonts w:eastAsiaTheme="minorEastAsia" w:cs="Arial"/>
        </w:rPr>
      </w:pPr>
      <w:r w:rsidRPr="000A77D7">
        <w:rPr>
          <w:rFonts w:eastAsiaTheme="minorEastAsia" w:cs="Arial"/>
        </w:rPr>
        <w:t>Adaptar els espais d’ús individual i col·lectiu a l’efecte de possibilitar la visibilitat des de l’exterior d’aquests espais.</w:t>
      </w:r>
    </w:p>
    <w:p w:rsidR="006A4109" w:rsidRPr="000A77D7" w:rsidRDefault="006A4109" w:rsidP="00AE0A20">
      <w:pPr>
        <w:pStyle w:val="Pargrafdellista"/>
        <w:numPr>
          <w:ilvl w:val="1"/>
          <w:numId w:val="12"/>
        </w:numPr>
        <w:rPr>
          <w:rFonts w:eastAsiaTheme="minorEastAsia" w:cs="Arial"/>
        </w:rPr>
      </w:pPr>
      <w:r w:rsidRPr="000A77D7">
        <w:rPr>
          <w:rFonts w:eastAsiaTheme="minorEastAsia" w:cs="Arial"/>
        </w:rPr>
        <w:t xml:space="preserve">Revisar i millorar els procediments de treball a fi de garantir la vigilància de les zones de treball ubicades en àrees de circulació menys freqüent. </w:t>
      </w:r>
    </w:p>
    <w:p w:rsidR="006A4109" w:rsidRPr="000A77D7" w:rsidRDefault="006A4109" w:rsidP="00AE0A20">
      <w:pPr>
        <w:pStyle w:val="Pargrafdellista"/>
        <w:numPr>
          <w:ilvl w:val="1"/>
          <w:numId w:val="12"/>
        </w:numPr>
        <w:rPr>
          <w:rFonts w:eastAsiaTheme="minorEastAsia" w:cs="Arial"/>
        </w:rPr>
      </w:pPr>
      <w:r w:rsidRPr="000A77D7">
        <w:rPr>
          <w:rFonts w:eastAsiaTheme="minorEastAsia" w:cs="Arial"/>
        </w:rPr>
        <w:t>Instal·lació de càmeres de control.</w:t>
      </w:r>
    </w:p>
    <w:p w:rsidR="006A4109" w:rsidRPr="000A77D7" w:rsidRDefault="006A4109" w:rsidP="00AE0A20">
      <w:pPr>
        <w:pStyle w:val="Pargrafdellista"/>
        <w:numPr>
          <w:ilvl w:val="1"/>
          <w:numId w:val="12"/>
        </w:numPr>
        <w:rPr>
          <w:rFonts w:eastAsiaTheme="minorEastAsia" w:cs="Arial"/>
        </w:rPr>
      </w:pPr>
      <w:r w:rsidRPr="000A77D7">
        <w:rPr>
          <w:rFonts w:eastAsiaTheme="minorEastAsia" w:cs="Arial"/>
        </w:rPr>
        <w:t>Millorar les dotacions de personal de vigilància, sense increment de plantilla, que principalment suposaven reforçar l’horari matí-tarda, de dilluns a divendres, i la reconversió de 26 llocs base en caps d’unitat, per tal de garantir la seva presència els torns de matí i tarda, de dilluns a diumenge.</w:t>
      </w:r>
    </w:p>
    <w:p w:rsidR="006A4109" w:rsidRPr="000A77D7" w:rsidRDefault="006A4109" w:rsidP="00AE0A20">
      <w:pPr>
        <w:pStyle w:val="Pargrafdellista"/>
        <w:numPr>
          <w:ilvl w:val="1"/>
          <w:numId w:val="12"/>
        </w:numPr>
        <w:rPr>
          <w:rFonts w:eastAsiaTheme="minorEastAsia" w:cs="Arial"/>
        </w:rPr>
      </w:pPr>
      <w:r w:rsidRPr="000A77D7">
        <w:rPr>
          <w:rFonts w:eastAsiaTheme="minorEastAsia" w:cs="Arial"/>
        </w:rPr>
        <w:t>Habilitar cabines de control en patis i altres àrees comunes. Han de ser oficines de treball per al personal de servei interior que, a la vegada, garanteixi el control visual de les àrees comunes del centre i patis.</w:t>
      </w:r>
    </w:p>
    <w:p w:rsidR="006A4109" w:rsidRPr="000A77D7" w:rsidRDefault="006A4109" w:rsidP="00AE0A20">
      <w:pPr>
        <w:pStyle w:val="Pargrafdellista"/>
        <w:numPr>
          <w:ilvl w:val="1"/>
          <w:numId w:val="12"/>
        </w:numPr>
        <w:rPr>
          <w:rFonts w:eastAsiaTheme="minorEastAsia" w:cs="Arial"/>
        </w:rPr>
      </w:pPr>
      <w:r w:rsidRPr="000A77D7">
        <w:rPr>
          <w:rFonts w:eastAsiaTheme="minorEastAsia" w:cs="Arial"/>
        </w:rPr>
        <w:t>Millorar la formació en situacions de conflicte i establir protocols d’actuació en situacions d’emergència específica.</w:t>
      </w:r>
    </w:p>
    <w:p w:rsidR="006A4109" w:rsidRPr="000A77D7" w:rsidRDefault="006A4109" w:rsidP="00E930B2">
      <w:pPr>
        <w:rPr>
          <w:rFonts w:eastAsiaTheme="minorEastAsia" w:cs="Arial"/>
          <w:b/>
        </w:rPr>
      </w:pPr>
    </w:p>
    <w:p w:rsidR="006A4109" w:rsidRPr="000A77D7" w:rsidRDefault="006A4109" w:rsidP="00E930B2">
      <w:pPr>
        <w:rPr>
          <w:rFonts w:eastAsiaTheme="minorEastAsia" w:cs="Arial"/>
        </w:rPr>
      </w:pPr>
      <w:r w:rsidRPr="000A77D7">
        <w:rPr>
          <w:rFonts w:eastAsiaTheme="minorEastAsia" w:cs="Arial"/>
        </w:rPr>
        <w:t>En aquest sentit, la renovació del material ha portat un ritme constant i s’ha anat ampliant d’acord amb les noves exigències normatives, de les evolucions tecnològiques del sector i de la capacitat econòmica</w:t>
      </w:r>
      <w:r w:rsidR="000A77D7" w:rsidRPr="000A77D7">
        <w:rPr>
          <w:rFonts w:eastAsiaTheme="minorEastAsia" w:cs="Arial"/>
        </w:rPr>
        <w:t xml:space="preserve"> de cada moment. Paral·lelament</w:t>
      </w:r>
      <w:r w:rsidRPr="000A77D7">
        <w:rPr>
          <w:rFonts w:eastAsiaTheme="minorEastAsia" w:cs="Arial"/>
        </w:rPr>
        <w:t>, a banda del mater</w:t>
      </w:r>
      <w:r w:rsidR="000A77D7" w:rsidRPr="000A77D7">
        <w:rPr>
          <w:rFonts w:eastAsiaTheme="minorEastAsia" w:cs="Arial"/>
        </w:rPr>
        <w:t xml:space="preserve">ial coercitiu reglamentari, s’ha anat </w:t>
      </w:r>
      <w:r w:rsidRPr="000A77D7">
        <w:rPr>
          <w:rFonts w:eastAsiaTheme="minorEastAsia" w:cs="Arial"/>
        </w:rPr>
        <w:t>incorporant ma</w:t>
      </w:r>
      <w:r w:rsidR="000A77D7" w:rsidRPr="000A77D7">
        <w:rPr>
          <w:rFonts w:eastAsiaTheme="minorEastAsia" w:cs="Arial"/>
        </w:rPr>
        <w:t>terial que permet treballar per a</w:t>
      </w:r>
      <w:r w:rsidRPr="000A77D7">
        <w:rPr>
          <w:rFonts w:eastAsiaTheme="minorEastAsia" w:cs="Arial"/>
        </w:rPr>
        <w:t xml:space="preserve"> la seguretat de la població internada i del personal: subjeccions psiquiàtriques, equipament d’autoprotecció, llanternes, detectors de metall manuals, arcs detectors, radiotransmissors, escàners, equips de respiració d’evacuació i d’intervenció, ventiladors extractors de fums mòbils, entre d’altres. </w:t>
      </w:r>
    </w:p>
    <w:p w:rsidR="006A4109" w:rsidRPr="000A77D7" w:rsidRDefault="006A4109" w:rsidP="00E930B2">
      <w:pPr>
        <w:rPr>
          <w:rFonts w:eastAsiaTheme="minorEastAsia" w:cs="Arial"/>
        </w:rPr>
      </w:pPr>
      <w:r w:rsidRPr="000A77D7">
        <w:rPr>
          <w:rFonts w:eastAsiaTheme="minorEastAsia" w:cs="Arial"/>
        </w:rPr>
        <w:lastRenderedPageBreak/>
        <w:t>L’Ordre de servei 2/2012 aprova el programa de control del material de seguretat dels centres penitenciaris de Catalunya i es va acompanyar d’una aplicació informàtica al sistema informàtic penitenciari català (SIPC) que controla l’inventari del material de tots els centres i que informa del seu estat (avaria, trencament, reparació, mal servei...).</w:t>
      </w:r>
    </w:p>
    <w:p w:rsidR="006A4109" w:rsidRPr="000A77D7" w:rsidRDefault="006A4109" w:rsidP="00E930B2">
      <w:pPr>
        <w:rPr>
          <w:rFonts w:eastAsiaTheme="minorEastAsia" w:cs="Arial"/>
        </w:rPr>
      </w:pPr>
      <w:r w:rsidRPr="000A77D7">
        <w:rPr>
          <w:rFonts w:eastAsiaTheme="minorEastAsia" w:cs="Arial"/>
        </w:rPr>
        <w:t>Durant el primer semestre del 2016 va entrar en vigor, per primera vegada, un contracte de rènting de radiotransmissors digitals per a tots els centres penitenciaris que renova, modernitza, millora i dóna estabilitat a una</w:t>
      </w:r>
      <w:r w:rsidR="000A77D7">
        <w:rPr>
          <w:rFonts w:eastAsiaTheme="minorEastAsia" w:cs="Arial"/>
        </w:rPr>
        <w:t xml:space="preserve"> eina bàsica per a aquest àmbit, que permet la intercomunicació continua i per tant una garantia en el temps de resposta.</w:t>
      </w:r>
      <w:r w:rsidRPr="000A77D7">
        <w:rPr>
          <w:rFonts w:eastAsiaTheme="minorEastAsia" w:cs="Arial"/>
        </w:rPr>
        <w:t xml:space="preserve"> </w:t>
      </w:r>
    </w:p>
    <w:p w:rsidR="00B80CC7" w:rsidRPr="005472DD" w:rsidRDefault="00B80CC7" w:rsidP="00E930B2">
      <w:pPr>
        <w:rPr>
          <w:rFonts w:eastAsiaTheme="minorEastAsia" w:cs="Arial"/>
        </w:rPr>
      </w:pPr>
    </w:p>
    <w:p w:rsidR="00B80CC7" w:rsidRPr="005472DD" w:rsidRDefault="00B80CC7" w:rsidP="00B80CC7">
      <w:pPr>
        <w:keepNext/>
        <w:keepLines/>
        <w:numPr>
          <w:ilvl w:val="2"/>
          <w:numId w:val="29"/>
        </w:numPr>
        <w:pBdr>
          <w:bottom w:val="single" w:sz="12" w:space="1" w:color="A6A6A6" w:themeColor="background1" w:themeShade="A6"/>
        </w:pBdr>
        <w:spacing w:before="200" w:after="120"/>
        <w:outlineLvl w:val="2"/>
        <w:rPr>
          <w:rFonts w:eastAsiaTheme="minorEastAsia" w:cstheme="majorBidi"/>
          <w:b/>
          <w:bCs/>
          <w:caps/>
          <w:color w:val="4A442A" w:themeColor="background2" w:themeShade="40"/>
          <w:sz w:val="24"/>
          <w:szCs w:val="26"/>
        </w:rPr>
      </w:pPr>
      <w:bookmarkStart w:id="323" w:name="_Toc465293410"/>
      <w:r w:rsidRPr="005472DD">
        <w:rPr>
          <w:rFonts w:eastAsiaTheme="minorEastAsia" w:cstheme="majorBidi"/>
          <w:b/>
          <w:bCs/>
          <w:caps/>
          <w:color w:val="4A442A" w:themeColor="background2" w:themeShade="40"/>
          <w:sz w:val="24"/>
          <w:szCs w:val="26"/>
        </w:rPr>
        <w:t>incidents i GESTIÓ CONFLICTES</w:t>
      </w:r>
      <w:bookmarkEnd w:id="323"/>
    </w:p>
    <w:p w:rsidR="00B80CC7" w:rsidRPr="005472DD" w:rsidRDefault="00B80CC7" w:rsidP="00E930B2">
      <w:pPr>
        <w:rPr>
          <w:rFonts w:eastAsiaTheme="minorEastAsia" w:cs="Arial"/>
        </w:rPr>
      </w:pPr>
    </w:p>
    <w:p w:rsidR="00B80CC7" w:rsidRPr="005472DD" w:rsidRDefault="00B80CC7" w:rsidP="00B80CC7">
      <w:pPr>
        <w:rPr>
          <w:rFonts w:eastAsiaTheme="minorEastAsia" w:cs="Arial"/>
        </w:rPr>
      </w:pPr>
      <w:r w:rsidRPr="005472DD">
        <w:rPr>
          <w:rFonts w:eastAsiaTheme="minorEastAsia" w:cs="Arial"/>
        </w:rPr>
        <w:t xml:space="preserve">El nostre model de servei s’orienta a l’acompanyament dels processos de reinserció del interns e intenta reproduir als centres penitenciaris l’ambient i les situacions de la vida extramurs de la manera més fidel possible.  Als centres penitenciaris, com qualsevol altra organització social que ha de conviure en un entorn tancat, es generen situacions de conflicte dels que es deriven incidències. </w:t>
      </w:r>
    </w:p>
    <w:p w:rsidR="00B80CC7" w:rsidRPr="005472DD" w:rsidRDefault="00B80CC7" w:rsidP="00B80CC7">
      <w:pPr>
        <w:rPr>
          <w:rFonts w:eastAsiaTheme="minorEastAsia" w:cs="Arial"/>
        </w:rPr>
      </w:pPr>
      <w:r w:rsidRPr="005472DD">
        <w:rPr>
          <w:rFonts w:eastAsiaTheme="minorEastAsia" w:cs="Arial"/>
        </w:rPr>
        <w:t>Per evitar incidents i/o minimitzar els seus efectes el sistema disposa d’elements específics de seguretat. Podem diferenciar entre els elements passius físics i electrònics (murs, barrots, sistemes de CCTV, sistemes de detecció, sistemes de comunicació,...), i la seguretat dinàmica bassada en un personal qualificat que es relacioni, conegui i dinamitzi positivament la població penitenciaria. Respecte els primers, disposem de centres moderns tecnològicament i centres que requereixen una inversió important per acostar els seus sistemes als estàndards funcionals dels centres moderns. Respecte la seguretat dinàmica, iguala potencialment a tots els centres i ha de ser la que ens permeti anticipar actuacions que evitin possibles conflictes.</w:t>
      </w:r>
    </w:p>
    <w:p w:rsidR="00B80CC7" w:rsidRPr="005472DD" w:rsidRDefault="00B80CC7" w:rsidP="00B80CC7">
      <w:pPr>
        <w:rPr>
          <w:rFonts w:eastAsiaTheme="minorEastAsia" w:cs="Arial"/>
        </w:rPr>
      </w:pPr>
      <w:r w:rsidRPr="005472DD">
        <w:rPr>
          <w:rFonts w:eastAsiaTheme="minorEastAsia" w:cs="Arial"/>
        </w:rPr>
        <w:t xml:space="preserve">La legislació penitenciaria determina com a actuacions específiques de seguretat la observació dels interns, els recomptes, els registres, escorcolls,  requises i intervencions. Igualment situa com a principis generals el de necessitat, proporcionalitat i el respecte a la dignitat i als drets fonamentals dels interns. Aquests principis han de presidir qualsevol de les actuacions del nostre àmbit, especialment totes les que puguin suposar una limitació o restricció de drets dels interns. </w:t>
      </w:r>
    </w:p>
    <w:p w:rsidR="00B80CC7" w:rsidRPr="005472DD" w:rsidRDefault="00B80CC7" w:rsidP="00B80CC7">
      <w:pPr>
        <w:rPr>
          <w:rFonts w:eastAsiaTheme="minorEastAsia" w:cs="Arial"/>
        </w:rPr>
      </w:pPr>
      <w:r w:rsidRPr="005472DD">
        <w:rPr>
          <w:rFonts w:eastAsiaTheme="minorEastAsia" w:cs="Arial"/>
        </w:rPr>
        <w:t xml:space="preserve">Una correcta gestió de la informació, basada en l’observació i obtenció d’informació de qualitat a cada centre penitenciari, en la millora dels sistemes informàtics per gestionar-la adequadament i en la formació del personal de vigilància en tasques d’investigació i anàlisi, ens permetrà aplicar polítiques preventives que reduiran i minimitzaran els incidents i redundaran en una convivència més ordenada i segura. </w:t>
      </w:r>
    </w:p>
    <w:p w:rsidR="00B80CC7" w:rsidRPr="005472DD" w:rsidRDefault="00B80CC7" w:rsidP="00B80CC7">
      <w:pPr>
        <w:rPr>
          <w:rFonts w:eastAsiaTheme="minorEastAsia" w:cs="Arial"/>
        </w:rPr>
      </w:pPr>
      <w:r w:rsidRPr="005472DD">
        <w:rPr>
          <w:rFonts w:eastAsiaTheme="minorEastAsia" w:cs="Arial"/>
        </w:rPr>
        <w:t xml:space="preserve">Una correcta avaluació del risc individual pot ajudar a identificar els interns que suposen una amenaça per ells mateixos, pel personal, per la resta d’interns o per la comunitat en general. L’eina Riscanvi ens facilita la detecció d’aquestes persones i, un cop identificades, ajustar la intervenció necessària per reduir aquests riscos. </w:t>
      </w:r>
    </w:p>
    <w:p w:rsidR="00B80CC7" w:rsidRPr="005472DD" w:rsidRDefault="00B80CC7" w:rsidP="00B80CC7">
      <w:pPr>
        <w:rPr>
          <w:rFonts w:eastAsiaTheme="minorEastAsia" w:cs="Arial"/>
        </w:rPr>
      </w:pPr>
      <w:r w:rsidRPr="005472DD">
        <w:rPr>
          <w:rFonts w:eastAsiaTheme="minorEastAsia" w:cs="Arial"/>
        </w:rPr>
        <w:t>Paral·lelament, d’acord amb les recomanacions internacionals i entenent que la resposta en forma de càstig ha de ser l’última decisió, hem de desenvolupar sistemes de gestió de conflictes alternatius que, pel seu caràcter preventiu, educatiu, reparador i conciliador, s’acostin més als principis reeducadors i de tractament. Tenim experiències a diferents centres que estan donant resultats molt positius, que redueixen  la  repetició d’infraccions de normes dels interns participants i faciliten la conciliació entre interns quan apareixen diferencies i/o conflictes entre ells.</w:t>
      </w:r>
    </w:p>
    <w:p w:rsidR="00B80CC7" w:rsidRPr="005472DD" w:rsidRDefault="00B80CC7" w:rsidP="00B80CC7">
      <w:pPr>
        <w:rPr>
          <w:rFonts w:eastAsiaTheme="minorEastAsia" w:cs="Arial"/>
        </w:rPr>
      </w:pPr>
      <w:r w:rsidRPr="005472DD">
        <w:rPr>
          <w:rFonts w:eastAsiaTheme="minorEastAsia" w:cs="Arial"/>
        </w:rPr>
        <w:lastRenderedPageBreak/>
        <w:t>Per tenir referències del moment actual i situar clarament els objectius de futur, val la pena assenyalar alguna referència. Durant l’any 2015 es van produir al conjunt dels centres penitenciaris un total de 7.259 incidents, destacant:</w:t>
      </w:r>
    </w:p>
    <w:p w:rsidR="00B80CC7" w:rsidRPr="005472DD" w:rsidRDefault="00B80CC7" w:rsidP="00B80CC7">
      <w:pPr>
        <w:pStyle w:val="Pargrafdellista"/>
        <w:numPr>
          <w:ilvl w:val="0"/>
          <w:numId w:val="97"/>
        </w:numPr>
        <w:rPr>
          <w:rFonts w:eastAsiaTheme="minorEastAsia" w:cs="Arial"/>
        </w:rPr>
      </w:pPr>
      <w:r w:rsidRPr="005472DD">
        <w:rPr>
          <w:rFonts w:eastAsiaTheme="minorEastAsia" w:cs="Arial"/>
        </w:rPr>
        <w:t>235 alteracions greus de l’ordre</w:t>
      </w:r>
    </w:p>
    <w:p w:rsidR="00B80CC7" w:rsidRPr="005472DD" w:rsidRDefault="00B80CC7" w:rsidP="00B80CC7">
      <w:pPr>
        <w:pStyle w:val="Pargrafdellista"/>
        <w:numPr>
          <w:ilvl w:val="0"/>
          <w:numId w:val="97"/>
        </w:numPr>
        <w:rPr>
          <w:rFonts w:eastAsiaTheme="minorEastAsia" w:cs="Arial"/>
        </w:rPr>
      </w:pPr>
      <w:r w:rsidRPr="005472DD">
        <w:rPr>
          <w:rFonts w:eastAsiaTheme="minorEastAsia" w:cs="Arial"/>
        </w:rPr>
        <w:t>2.383 alteracions lleus de l’ordre</w:t>
      </w:r>
    </w:p>
    <w:p w:rsidR="00B80CC7" w:rsidRPr="005472DD" w:rsidRDefault="00B80CC7" w:rsidP="00B80CC7">
      <w:pPr>
        <w:pStyle w:val="Pargrafdellista"/>
        <w:numPr>
          <w:ilvl w:val="0"/>
          <w:numId w:val="97"/>
        </w:numPr>
        <w:rPr>
          <w:rFonts w:eastAsiaTheme="minorEastAsia" w:cs="Arial"/>
        </w:rPr>
      </w:pPr>
      <w:r w:rsidRPr="005472DD">
        <w:rPr>
          <w:rFonts w:eastAsiaTheme="minorEastAsia" w:cs="Arial"/>
        </w:rPr>
        <w:t>1 protesta col·lectiva</w:t>
      </w:r>
    </w:p>
    <w:p w:rsidR="00B80CC7" w:rsidRPr="005472DD" w:rsidRDefault="00B80CC7" w:rsidP="00B80CC7">
      <w:pPr>
        <w:pStyle w:val="Pargrafdellista"/>
        <w:numPr>
          <w:ilvl w:val="0"/>
          <w:numId w:val="97"/>
        </w:numPr>
        <w:rPr>
          <w:rFonts w:eastAsiaTheme="minorEastAsia" w:cs="Arial"/>
        </w:rPr>
      </w:pPr>
      <w:r w:rsidRPr="005472DD">
        <w:rPr>
          <w:rFonts w:eastAsiaTheme="minorEastAsia" w:cs="Arial"/>
        </w:rPr>
        <w:t xml:space="preserve">5 evasions amb ocasió de sortides </w:t>
      </w:r>
    </w:p>
    <w:p w:rsidR="00B80CC7" w:rsidRPr="005472DD" w:rsidRDefault="00B80CC7" w:rsidP="00B80CC7">
      <w:pPr>
        <w:pStyle w:val="Pargrafdellista"/>
        <w:numPr>
          <w:ilvl w:val="0"/>
          <w:numId w:val="97"/>
        </w:numPr>
        <w:rPr>
          <w:rFonts w:eastAsiaTheme="minorEastAsia" w:cs="Arial"/>
        </w:rPr>
      </w:pPr>
      <w:r w:rsidRPr="005472DD">
        <w:rPr>
          <w:rFonts w:eastAsiaTheme="minorEastAsia" w:cs="Arial"/>
        </w:rPr>
        <w:t xml:space="preserve">5 temptatives d’evasió </w:t>
      </w:r>
    </w:p>
    <w:p w:rsidR="00B80CC7" w:rsidRPr="005472DD" w:rsidRDefault="00B80CC7" w:rsidP="00B80CC7">
      <w:pPr>
        <w:pStyle w:val="Pargrafdellista"/>
        <w:numPr>
          <w:ilvl w:val="0"/>
          <w:numId w:val="97"/>
        </w:numPr>
        <w:rPr>
          <w:rFonts w:eastAsiaTheme="minorEastAsia" w:cs="Arial"/>
        </w:rPr>
      </w:pPr>
      <w:r w:rsidRPr="005472DD">
        <w:rPr>
          <w:rFonts w:eastAsiaTheme="minorEastAsia" w:cs="Arial"/>
        </w:rPr>
        <w:t>19 agressions greus a funcionaris</w:t>
      </w:r>
    </w:p>
    <w:p w:rsidR="00B80CC7" w:rsidRPr="005472DD" w:rsidRDefault="00B80CC7" w:rsidP="00B80CC7">
      <w:pPr>
        <w:pStyle w:val="Pargrafdellista"/>
        <w:numPr>
          <w:ilvl w:val="0"/>
          <w:numId w:val="97"/>
        </w:numPr>
        <w:rPr>
          <w:rFonts w:eastAsiaTheme="minorEastAsia" w:cs="Arial"/>
        </w:rPr>
      </w:pPr>
      <w:r w:rsidRPr="005472DD">
        <w:rPr>
          <w:rFonts w:eastAsiaTheme="minorEastAsia" w:cs="Arial"/>
        </w:rPr>
        <w:t>51 agressions lleus a funcionaris</w:t>
      </w:r>
    </w:p>
    <w:p w:rsidR="00B80CC7" w:rsidRPr="005472DD" w:rsidRDefault="00B80CC7" w:rsidP="00B80CC7">
      <w:pPr>
        <w:pStyle w:val="Pargrafdellista"/>
        <w:numPr>
          <w:ilvl w:val="0"/>
          <w:numId w:val="97"/>
        </w:numPr>
        <w:rPr>
          <w:rFonts w:eastAsiaTheme="minorEastAsia" w:cs="Arial"/>
        </w:rPr>
      </w:pPr>
      <w:r w:rsidRPr="005472DD">
        <w:rPr>
          <w:rFonts w:eastAsiaTheme="minorEastAsia" w:cs="Arial"/>
        </w:rPr>
        <w:t>36 agressions greus entre interns</w:t>
      </w:r>
    </w:p>
    <w:p w:rsidR="00B80CC7" w:rsidRPr="005472DD" w:rsidRDefault="00B80CC7" w:rsidP="00B80CC7">
      <w:pPr>
        <w:pStyle w:val="Pargrafdellista"/>
        <w:numPr>
          <w:ilvl w:val="0"/>
          <w:numId w:val="97"/>
        </w:numPr>
        <w:rPr>
          <w:rFonts w:eastAsiaTheme="minorEastAsia" w:cs="Arial"/>
        </w:rPr>
      </w:pPr>
      <w:r w:rsidRPr="005472DD">
        <w:rPr>
          <w:rFonts w:eastAsiaTheme="minorEastAsia" w:cs="Arial"/>
        </w:rPr>
        <w:t>950 agressions lleus entre interns</w:t>
      </w:r>
    </w:p>
    <w:p w:rsidR="00B80CC7" w:rsidRPr="005472DD" w:rsidRDefault="00B80CC7" w:rsidP="00B80CC7">
      <w:pPr>
        <w:pStyle w:val="Pargrafdellista"/>
        <w:numPr>
          <w:ilvl w:val="0"/>
          <w:numId w:val="97"/>
        </w:numPr>
        <w:rPr>
          <w:rFonts w:eastAsiaTheme="minorEastAsia" w:cs="Arial"/>
        </w:rPr>
      </w:pPr>
      <w:r w:rsidRPr="005472DD">
        <w:rPr>
          <w:rFonts w:eastAsiaTheme="minorEastAsia" w:cs="Arial"/>
        </w:rPr>
        <w:t>25 autolesions greus</w:t>
      </w:r>
    </w:p>
    <w:p w:rsidR="00B80CC7" w:rsidRPr="005472DD" w:rsidRDefault="00B80CC7" w:rsidP="00B80CC7">
      <w:pPr>
        <w:pStyle w:val="Pargrafdellista"/>
        <w:numPr>
          <w:ilvl w:val="0"/>
          <w:numId w:val="97"/>
        </w:numPr>
        <w:rPr>
          <w:rFonts w:eastAsiaTheme="minorEastAsia" w:cs="Arial"/>
        </w:rPr>
      </w:pPr>
      <w:r w:rsidRPr="005472DD">
        <w:rPr>
          <w:rFonts w:eastAsiaTheme="minorEastAsia" w:cs="Arial"/>
        </w:rPr>
        <w:t>297 autolesions lleus</w:t>
      </w:r>
    </w:p>
    <w:p w:rsidR="00B80CC7" w:rsidRPr="005472DD" w:rsidRDefault="00B80CC7" w:rsidP="00B80CC7">
      <w:pPr>
        <w:pStyle w:val="Pargrafdellista"/>
        <w:numPr>
          <w:ilvl w:val="0"/>
          <w:numId w:val="97"/>
        </w:numPr>
        <w:rPr>
          <w:rFonts w:eastAsiaTheme="minorEastAsia" w:cs="Arial"/>
        </w:rPr>
      </w:pPr>
      <w:r w:rsidRPr="005472DD">
        <w:rPr>
          <w:rFonts w:eastAsiaTheme="minorEastAsia" w:cs="Arial"/>
        </w:rPr>
        <w:t>22 sobredosis greus (amb sortida hospitalaria)</w:t>
      </w:r>
    </w:p>
    <w:p w:rsidR="00B80CC7" w:rsidRPr="005472DD" w:rsidRDefault="00B80CC7" w:rsidP="00B80CC7">
      <w:pPr>
        <w:pStyle w:val="Pargrafdellista"/>
        <w:numPr>
          <w:ilvl w:val="0"/>
          <w:numId w:val="97"/>
        </w:numPr>
        <w:rPr>
          <w:rFonts w:eastAsiaTheme="minorEastAsia" w:cs="Arial"/>
        </w:rPr>
      </w:pPr>
      <w:r w:rsidRPr="005472DD">
        <w:rPr>
          <w:rFonts w:eastAsiaTheme="minorEastAsia" w:cs="Arial"/>
        </w:rPr>
        <w:t xml:space="preserve">76 sobredosis lleus </w:t>
      </w:r>
    </w:p>
    <w:p w:rsidR="00B80CC7" w:rsidRPr="005472DD" w:rsidRDefault="00B80CC7" w:rsidP="00B80CC7">
      <w:pPr>
        <w:pStyle w:val="Pargrafdellista"/>
        <w:numPr>
          <w:ilvl w:val="0"/>
          <w:numId w:val="97"/>
        </w:numPr>
        <w:rPr>
          <w:rFonts w:eastAsiaTheme="minorEastAsia" w:cs="Arial"/>
        </w:rPr>
      </w:pPr>
      <w:r w:rsidRPr="005472DD">
        <w:rPr>
          <w:rFonts w:eastAsiaTheme="minorEastAsia" w:cs="Arial"/>
        </w:rPr>
        <w:t>2 morts per sobredosis</w:t>
      </w:r>
    </w:p>
    <w:p w:rsidR="00B80CC7" w:rsidRPr="005472DD" w:rsidRDefault="00B80CC7" w:rsidP="00B80CC7">
      <w:pPr>
        <w:pStyle w:val="Pargrafdellista"/>
        <w:numPr>
          <w:ilvl w:val="0"/>
          <w:numId w:val="97"/>
        </w:numPr>
        <w:rPr>
          <w:rFonts w:eastAsiaTheme="minorEastAsia" w:cs="Arial"/>
        </w:rPr>
      </w:pPr>
      <w:r w:rsidRPr="005472DD">
        <w:rPr>
          <w:rFonts w:eastAsiaTheme="minorEastAsia" w:cs="Arial"/>
        </w:rPr>
        <w:t>7 morts per suïcidis</w:t>
      </w:r>
    </w:p>
    <w:p w:rsidR="00B80CC7" w:rsidRPr="005472DD" w:rsidRDefault="00B80CC7" w:rsidP="00B80CC7">
      <w:pPr>
        <w:pStyle w:val="Pargrafdellista"/>
        <w:numPr>
          <w:ilvl w:val="0"/>
          <w:numId w:val="97"/>
        </w:numPr>
        <w:rPr>
          <w:rFonts w:eastAsiaTheme="minorEastAsia" w:cs="Arial"/>
        </w:rPr>
      </w:pPr>
      <w:r w:rsidRPr="005472DD">
        <w:rPr>
          <w:rFonts w:eastAsiaTheme="minorEastAsia" w:cs="Arial"/>
        </w:rPr>
        <w:t xml:space="preserve">50 temptatives de suïcidis </w:t>
      </w:r>
    </w:p>
    <w:p w:rsidR="00B80CC7" w:rsidRPr="005472DD" w:rsidRDefault="00B80CC7" w:rsidP="00B80CC7">
      <w:pPr>
        <w:pStyle w:val="Pargrafdellista"/>
        <w:numPr>
          <w:ilvl w:val="0"/>
          <w:numId w:val="97"/>
        </w:numPr>
        <w:rPr>
          <w:rFonts w:eastAsiaTheme="minorEastAsia" w:cs="Arial"/>
        </w:rPr>
      </w:pPr>
      <w:r w:rsidRPr="005472DD">
        <w:rPr>
          <w:rFonts w:eastAsiaTheme="minorEastAsia" w:cs="Arial"/>
        </w:rPr>
        <w:t>1.469 intervencions de substancies tòxiques</w:t>
      </w:r>
    </w:p>
    <w:p w:rsidR="00B80CC7" w:rsidRPr="005472DD" w:rsidRDefault="00B80CC7" w:rsidP="00B80CC7">
      <w:pPr>
        <w:pStyle w:val="Pargrafdellista"/>
        <w:numPr>
          <w:ilvl w:val="0"/>
          <w:numId w:val="97"/>
        </w:numPr>
        <w:rPr>
          <w:rFonts w:eastAsiaTheme="minorEastAsia" w:cs="Arial"/>
        </w:rPr>
      </w:pPr>
      <w:r w:rsidRPr="005472DD">
        <w:rPr>
          <w:rFonts w:eastAsiaTheme="minorEastAsia" w:cs="Arial"/>
        </w:rPr>
        <w:t>1.111 intervencions d’objectes perillosos o prohibits</w:t>
      </w:r>
    </w:p>
    <w:p w:rsidR="00B80CC7" w:rsidRPr="00B80CC7" w:rsidRDefault="00B80CC7" w:rsidP="00B80CC7">
      <w:pPr>
        <w:rPr>
          <w:rFonts w:eastAsiaTheme="minorEastAsia" w:cs="Arial"/>
        </w:rPr>
      </w:pPr>
      <w:r w:rsidRPr="005472DD">
        <w:rPr>
          <w:rFonts w:eastAsiaTheme="minorEastAsia" w:cs="Arial"/>
        </w:rPr>
        <w:t>Prevenir, evitar i/o reduir els incidents i els seus efectes, molt especialment els que afecten a la integritat, salut o vida de les persones, en post d’uns centres penitenciaris segurs, ordenats i amb una convivència pacifica que permeti el desenvolupament del conjunt d’activitats de rehabilitació, fonamenten i justifiquen el conjunt d’actuacions específiques de l’àmbit de règim interior. Aquestes activitats han de facilitar la missió de la institució i s’han de desenvolupar amb estricte compliment de la legislació penitenciaria i amb escrupolós respecte dels diferents codis ètics internacionals i propis.</w:t>
      </w:r>
    </w:p>
    <w:p w:rsidR="00B80CC7" w:rsidRDefault="00B80CC7" w:rsidP="00E930B2">
      <w:pPr>
        <w:rPr>
          <w:rFonts w:eastAsiaTheme="minorEastAsia" w:cs="Arial"/>
        </w:rPr>
      </w:pPr>
    </w:p>
    <w:p w:rsidR="00B80CC7" w:rsidRPr="00B80CC7" w:rsidRDefault="00B80CC7" w:rsidP="00B80CC7">
      <w:pPr>
        <w:keepNext/>
        <w:keepLines/>
        <w:numPr>
          <w:ilvl w:val="2"/>
          <w:numId w:val="29"/>
        </w:numPr>
        <w:pBdr>
          <w:bottom w:val="single" w:sz="12" w:space="1" w:color="A6A6A6" w:themeColor="background1" w:themeShade="A6"/>
        </w:pBdr>
        <w:spacing w:before="200" w:after="120"/>
        <w:outlineLvl w:val="2"/>
        <w:rPr>
          <w:rFonts w:eastAsiaTheme="minorEastAsia" w:cstheme="majorBidi"/>
          <w:b/>
          <w:bCs/>
          <w:caps/>
          <w:color w:val="4A442A" w:themeColor="background2" w:themeShade="40"/>
          <w:sz w:val="24"/>
          <w:szCs w:val="26"/>
        </w:rPr>
      </w:pPr>
      <w:bookmarkStart w:id="324" w:name="_Toc465293411"/>
      <w:r w:rsidRPr="00B80CC7">
        <w:rPr>
          <w:rFonts w:eastAsiaTheme="minorEastAsia" w:cstheme="majorBidi"/>
          <w:b/>
          <w:bCs/>
          <w:caps/>
          <w:color w:val="4A442A" w:themeColor="background2" w:themeShade="40"/>
          <w:sz w:val="24"/>
          <w:szCs w:val="26"/>
        </w:rPr>
        <w:t>REPTES I OBJECTIUS DE FUTUR</w:t>
      </w:r>
      <w:bookmarkEnd w:id="324"/>
    </w:p>
    <w:p w:rsidR="00B80CC7" w:rsidRPr="006C3BAC" w:rsidRDefault="00B80CC7" w:rsidP="00B80CC7">
      <w:pPr>
        <w:rPr>
          <w:rFonts w:eastAsiaTheme="minorEastAsia" w:cs="Arial"/>
        </w:rPr>
      </w:pPr>
      <w:r w:rsidRPr="006C3BAC">
        <w:rPr>
          <w:rFonts w:eastAsiaTheme="minorEastAsia" w:cs="Arial"/>
        </w:rPr>
        <w:t>Els principals reptes i objectius de futur es concreten en:</w:t>
      </w:r>
    </w:p>
    <w:p w:rsidR="00B80CC7" w:rsidRPr="006C3BAC" w:rsidRDefault="00B80CC7" w:rsidP="00B80CC7">
      <w:pPr>
        <w:numPr>
          <w:ilvl w:val="0"/>
          <w:numId w:val="13"/>
        </w:numPr>
        <w:contextualSpacing/>
        <w:rPr>
          <w:rFonts w:eastAsiaTheme="minorEastAsia" w:cs="Arial"/>
        </w:rPr>
      </w:pPr>
      <w:r w:rsidRPr="006C3BAC">
        <w:rPr>
          <w:rFonts w:eastAsiaTheme="minorEastAsia" w:cs="Arial"/>
        </w:rPr>
        <w:t>Aprofundir en la integració del servei interior en tots els àmbits de treball i el disseny funcional del centre. Alguna de les línies a desenvolupar i implementar:</w:t>
      </w:r>
    </w:p>
    <w:p w:rsidR="00B80CC7" w:rsidRPr="006C3BAC" w:rsidRDefault="00B80CC7" w:rsidP="00B80CC7">
      <w:pPr>
        <w:numPr>
          <w:ilvl w:val="1"/>
          <w:numId w:val="13"/>
        </w:numPr>
        <w:contextualSpacing/>
        <w:rPr>
          <w:rFonts w:eastAsiaTheme="minorEastAsia" w:cs="Arial"/>
        </w:rPr>
      </w:pPr>
      <w:r w:rsidRPr="006C3BAC">
        <w:rPr>
          <w:rFonts w:eastAsiaTheme="minorEastAsia" w:cs="Arial"/>
        </w:rPr>
        <w:t>Garantir la presència efectiva dels caps d’unitat en els equips multidisciplinaris, que els permetrà un coneixement profund dels interns ubicats a les seves unitats i, al mateix temps, participar activament dels seus programes i models d’intervenció.</w:t>
      </w:r>
    </w:p>
    <w:p w:rsidR="00B80CC7" w:rsidRPr="006C3BAC" w:rsidRDefault="00B80CC7" w:rsidP="00B80CC7">
      <w:pPr>
        <w:numPr>
          <w:ilvl w:val="1"/>
          <w:numId w:val="13"/>
        </w:numPr>
        <w:contextualSpacing/>
        <w:rPr>
          <w:rFonts w:eastAsiaTheme="minorEastAsia" w:cs="Arial"/>
        </w:rPr>
      </w:pPr>
      <w:r w:rsidRPr="006C3BAC">
        <w:rPr>
          <w:rFonts w:eastAsiaTheme="minorEastAsia" w:cs="Arial"/>
        </w:rPr>
        <w:t xml:space="preserve">Potenciar els personal de règim interior com agent de canvi amb tasques definides dins els models de gestió de les unitats de vida. </w:t>
      </w:r>
    </w:p>
    <w:p w:rsidR="006C3BAC" w:rsidRPr="006C3BAC" w:rsidRDefault="00B80CC7" w:rsidP="006C3BAC">
      <w:pPr>
        <w:numPr>
          <w:ilvl w:val="1"/>
          <w:numId w:val="13"/>
        </w:numPr>
        <w:contextualSpacing/>
        <w:rPr>
          <w:rFonts w:eastAsiaTheme="minorEastAsia" w:cs="Arial"/>
        </w:rPr>
      </w:pPr>
      <w:r w:rsidRPr="006C3BAC">
        <w:rPr>
          <w:rFonts w:eastAsiaTheme="minorEastAsia" w:cs="Arial"/>
        </w:rPr>
        <w:t>Participar en la planificació i execució de les diferents activitats interiors i exteriors programades amb els interns. Des de la preparació d’activitats de tipus cultural fins l’acompanyament de sortides programades.</w:t>
      </w:r>
    </w:p>
    <w:p w:rsidR="00B80CC7" w:rsidRDefault="00B80CC7" w:rsidP="00B80CC7">
      <w:pPr>
        <w:numPr>
          <w:ilvl w:val="1"/>
          <w:numId w:val="13"/>
        </w:numPr>
        <w:contextualSpacing/>
        <w:rPr>
          <w:rFonts w:eastAsiaTheme="minorEastAsia" w:cs="Arial"/>
        </w:rPr>
      </w:pPr>
      <w:r w:rsidRPr="006C3BAC">
        <w:rPr>
          <w:rFonts w:eastAsiaTheme="minorEastAsia" w:cs="Arial"/>
        </w:rPr>
        <w:t>Adequació de les funcions del personal de règim interior als centres oberts.</w:t>
      </w:r>
    </w:p>
    <w:p w:rsidR="006C3BAC" w:rsidRPr="006C3BAC" w:rsidRDefault="006C3BAC" w:rsidP="006C3BAC">
      <w:pPr>
        <w:ind w:left="1440"/>
        <w:contextualSpacing/>
        <w:rPr>
          <w:rFonts w:eastAsiaTheme="minorEastAsia" w:cs="Arial"/>
        </w:rPr>
      </w:pPr>
    </w:p>
    <w:p w:rsidR="00B80CC7" w:rsidRPr="006C3BAC" w:rsidRDefault="00B80CC7" w:rsidP="00B80CC7">
      <w:pPr>
        <w:numPr>
          <w:ilvl w:val="0"/>
          <w:numId w:val="13"/>
        </w:numPr>
        <w:contextualSpacing/>
        <w:rPr>
          <w:rFonts w:eastAsiaTheme="minorEastAsia" w:cs="Arial"/>
        </w:rPr>
      </w:pPr>
      <w:r w:rsidRPr="006C3BAC">
        <w:rPr>
          <w:rFonts w:eastAsiaTheme="minorEastAsia" w:cs="Arial"/>
        </w:rPr>
        <w:t xml:space="preserve">Dotar el sistema d’eines de gestió que aportin informació significativa que permeti anticipar actuacions correctives per resoldre o minimitzar situacions de risc abans que es concretin. Suposa la creació d’un quadre de comandament d’indicadors crítics que permeti determinar diferents nivells de risc, prèviament definits. </w:t>
      </w:r>
    </w:p>
    <w:p w:rsidR="00B80CC7" w:rsidRPr="006C3BAC" w:rsidRDefault="00B80CC7" w:rsidP="00B80CC7">
      <w:pPr>
        <w:ind w:left="720"/>
        <w:contextualSpacing/>
        <w:rPr>
          <w:rFonts w:eastAsiaTheme="minorEastAsia" w:cs="Arial"/>
        </w:rPr>
      </w:pPr>
      <w:r w:rsidRPr="006C3BAC">
        <w:rPr>
          <w:rFonts w:eastAsiaTheme="minorEastAsia" w:cs="Arial"/>
        </w:rPr>
        <w:t xml:space="preserve"> </w:t>
      </w:r>
    </w:p>
    <w:p w:rsidR="00B80CC7" w:rsidRPr="006C3BAC" w:rsidRDefault="00B80CC7" w:rsidP="00B80CC7">
      <w:pPr>
        <w:numPr>
          <w:ilvl w:val="0"/>
          <w:numId w:val="13"/>
        </w:numPr>
        <w:contextualSpacing/>
        <w:rPr>
          <w:rFonts w:eastAsiaTheme="minorEastAsia" w:cs="Arial"/>
        </w:rPr>
      </w:pPr>
      <w:r w:rsidRPr="006C3BAC">
        <w:rPr>
          <w:rFonts w:eastAsiaTheme="minorEastAsia" w:cs="Arial"/>
        </w:rPr>
        <w:lastRenderedPageBreak/>
        <w:t>Definir i implementar al SIPC un sistemàtica informatitzat comú i integrat per recopilar la informació pròpia del servei interior. Aquest sistema ha de garantir uns estàndards en la qualitat de la informació introduïda, l’accés dels diferents operadors del sistema i acompanyar a l’intern al seu historial. Actualment, la informació recopilada a un centre no acompanya l’intern quan aquest canvia de centre.</w:t>
      </w:r>
    </w:p>
    <w:p w:rsidR="00B80CC7" w:rsidRPr="006C3BAC" w:rsidRDefault="00B80CC7" w:rsidP="00B80CC7">
      <w:pPr>
        <w:rPr>
          <w:rFonts w:eastAsiaTheme="minorEastAsia" w:cs="Arial"/>
        </w:rPr>
      </w:pPr>
    </w:p>
    <w:p w:rsidR="00B80CC7" w:rsidRPr="006C3BAC" w:rsidRDefault="00B80CC7" w:rsidP="00B80CC7">
      <w:pPr>
        <w:numPr>
          <w:ilvl w:val="0"/>
          <w:numId w:val="13"/>
        </w:numPr>
        <w:contextualSpacing/>
        <w:rPr>
          <w:rFonts w:eastAsiaTheme="minorEastAsia" w:cs="Arial"/>
        </w:rPr>
      </w:pPr>
      <w:r w:rsidRPr="006C3BAC">
        <w:rPr>
          <w:rFonts w:eastAsiaTheme="minorEastAsia" w:cs="Arial"/>
        </w:rPr>
        <w:t xml:space="preserve">Cal adequar i potenciar l’organització jeràrquica per garantir la transmissió vertical de les prioritats institucionals. El nostre sistema estableix una estructura jeràrquica per l’àmbit de règim interior als centres ordinaris, formada pels caps d’unitat de servei interior, els cap d’àrea funcional, els caps de servei i els coordinadors d’unitat especialitzada. </w:t>
      </w:r>
    </w:p>
    <w:p w:rsidR="00B80CC7" w:rsidRPr="006C3BAC" w:rsidRDefault="00B80CC7" w:rsidP="00B80CC7">
      <w:pPr>
        <w:ind w:left="720"/>
        <w:contextualSpacing/>
        <w:rPr>
          <w:rFonts w:eastAsiaTheme="minorEastAsia" w:cs="Arial"/>
        </w:rPr>
      </w:pPr>
      <w:r w:rsidRPr="006C3BAC">
        <w:rPr>
          <w:rFonts w:eastAsiaTheme="minorEastAsia" w:cs="Arial"/>
        </w:rPr>
        <w:t>Només el cap de servei té una responsabilitat transversal consolidada. Els torns horaris, els processos de selecció i la formació d’aquesta figura cabdal s’estan mostrant ineficients quant a les tasques que tenen assignades reglamentàriament.</w:t>
      </w:r>
    </w:p>
    <w:p w:rsidR="00B80CC7" w:rsidRPr="006C3BAC" w:rsidRDefault="00B80CC7" w:rsidP="00B80CC7">
      <w:pPr>
        <w:ind w:left="720"/>
        <w:contextualSpacing/>
        <w:rPr>
          <w:rFonts w:eastAsiaTheme="minorEastAsia" w:cs="Arial"/>
        </w:rPr>
      </w:pPr>
    </w:p>
    <w:p w:rsidR="00B80CC7" w:rsidRPr="006C3BAC" w:rsidRDefault="00B80CC7" w:rsidP="00B80CC7">
      <w:pPr>
        <w:numPr>
          <w:ilvl w:val="0"/>
          <w:numId w:val="98"/>
        </w:numPr>
        <w:contextualSpacing/>
        <w:rPr>
          <w:rFonts w:eastAsiaTheme="minorEastAsia" w:cs="Arial"/>
        </w:rPr>
      </w:pPr>
      <w:r w:rsidRPr="006C3BAC">
        <w:rPr>
          <w:rFonts w:eastAsiaTheme="minorEastAsia" w:cs="Arial"/>
        </w:rPr>
        <w:t xml:space="preserve">Cal revisar i adaptar els horaris dels diferents col·lectius per atendre de manera eficient les necessitats de la vida penitenciària en tots els règims de vida: ordinari, tancat i obert. </w:t>
      </w:r>
    </w:p>
    <w:p w:rsidR="00B80CC7" w:rsidRPr="006C3BAC" w:rsidRDefault="00B80CC7" w:rsidP="00B80CC7">
      <w:pPr>
        <w:ind w:left="720"/>
        <w:contextualSpacing/>
        <w:rPr>
          <w:rFonts w:eastAsiaTheme="minorEastAsia" w:cs="Arial"/>
        </w:rPr>
      </w:pPr>
    </w:p>
    <w:p w:rsidR="00B80CC7" w:rsidRPr="006C3BAC" w:rsidRDefault="00B80CC7" w:rsidP="00B80CC7">
      <w:pPr>
        <w:numPr>
          <w:ilvl w:val="0"/>
          <w:numId w:val="98"/>
        </w:numPr>
        <w:contextualSpacing/>
        <w:rPr>
          <w:rFonts w:eastAsiaTheme="minorEastAsia" w:cs="Arial"/>
        </w:rPr>
      </w:pPr>
      <w:r w:rsidRPr="006C3BAC">
        <w:rPr>
          <w:rFonts w:eastAsiaTheme="minorEastAsia" w:cs="Arial"/>
        </w:rPr>
        <w:t xml:space="preserve">Cal revisar i adequar el model de treball i els rols del personal de règim interior dels centres oberts. Les condicions i molts dels criteris actuals de treball als centres oberts són mimètics del medi ordinari. </w:t>
      </w:r>
    </w:p>
    <w:p w:rsidR="00B80CC7" w:rsidRPr="006C3BAC" w:rsidRDefault="00B80CC7" w:rsidP="00B80CC7">
      <w:pPr>
        <w:ind w:left="720"/>
        <w:contextualSpacing/>
        <w:rPr>
          <w:rFonts w:eastAsiaTheme="minorEastAsia" w:cs="Arial"/>
        </w:rPr>
      </w:pPr>
    </w:p>
    <w:p w:rsidR="00B80CC7" w:rsidRPr="006C3BAC" w:rsidRDefault="00B80CC7" w:rsidP="00B80CC7">
      <w:pPr>
        <w:numPr>
          <w:ilvl w:val="0"/>
          <w:numId w:val="98"/>
        </w:numPr>
        <w:contextualSpacing/>
        <w:rPr>
          <w:rFonts w:eastAsiaTheme="minorEastAsia" w:cs="Arial"/>
        </w:rPr>
      </w:pPr>
      <w:r w:rsidRPr="006C3BAC">
        <w:rPr>
          <w:rFonts w:eastAsiaTheme="minorEastAsia" w:cs="Arial"/>
        </w:rPr>
        <w:t xml:space="preserve">Tots els centres penitenciaris disposen de manuals i protocols d’actuació per afrontar les situacions més complexes. No obstant això, la pràctica diària ens mostra que no estan degudament assimilats, ni adaptats a les diferents situacions dels centres. Cal fer una revisió i simplificació dels diferents protocols, i  implementar-los de manera efectiva en els centres. </w:t>
      </w:r>
    </w:p>
    <w:p w:rsidR="00B80CC7" w:rsidRPr="006C3BAC" w:rsidRDefault="00B80CC7" w:rsidP="00B80CC7">
      <w:pPr>
        <w:ind w:left="720"/>
        <w:contextualSpacing/>
        <w:rPr>
          <w:rFonts w:eastAsiaTheme="minorEastAsia" w:cs="Arial"/>
        </w:rPr>
      </w:pPr>
    </w:p>
    <w:p w:rsidR="00B80CC7" w:rsidRPr="006C3BAC" w:rsidRDefault="00B80CC7" w:rsidP="00B80CC7">
      <w:pPr>
        <w:numPr>
          <w:ilvl w:val="0"/>
          <w:numId w:val="98"/>
        </w:numPr>
        <w:contextualSpacing/>
        <w:rPr>
          <w:rFonts w:eastAsiaTheme="minorEastAsia" w:cs="Arial"/>
        </w:rPr>
      </w:pPr>
      <w:r w:rsidRPr="006C3BAC">
        <w:rPr>
          <w:rFonts w:eastAsiaTheme="minorEastAsia" w:cs="Arial"/>
        </w:rPr>
        <w:t>La formació teòrica/pràctica dels diferents protocols d’actuació que s’imparteixen als centres i al CEJFE han demostrat ser insuficients per incorporar coneixements i habilitats especialment complexos i/o de gran impacte per a la institució. Per incorporar aquestes habilitats la formació periòdica no es suficient,  s’han de practicar contínuament. Cal la incorporació de pràctiques professionals contínues per garantir la seva implementació.</w:t>
      </w:r>
    </w:p>
    <w:p w:rsidR="00B80CC7" w:rsidRPr="006C3BAC" w:rsidRDefault="00B80CC7" w:rsidP="00B80CC7">
      <w:pPr>
        <w:rPr>
          <w:rFonts w:eastAsiaTheme="minorEastAsia" w:cs="Arial"/>
        </w:rPr>
      </w:pPr>
    </w:p>
    <w:p w:rsidR="00B80CC7" w:rsidRPr="006C3BAC" w:rsidRDefault="00B80CC7" w:rsidP="00B80CC7">
      <w:pPr>
        <w:numPr>
          <w:ilvl w:val="0"/>
          <w:numId w:val="98"/>
        </w:numPr>
        <w:contextualSpacing/>
        <w:rPr>
          <w:rFonts w:eastAsiaTheme="minorEastAsia" w:cs="Arial"/>
        </w:rPr>
      </w:pPr>
      <w:r w:rsidRPr="006C3BAC">
        <w:rPr>
          <w:rFonts w:eastAsiaTheme="minorEastAsia" w:cs="Arial"/>
        </w:rPr>
        <w:t>És necessari revisar el model de formació continuada per millorar el desenvolupament dels diferents rols professionals en relació amb les competències comunes: gestió de conflictes, habilitats comunicatives, gestió de la informació; així com competències específiques relacionades amb el lloc de treball: caps de servei, CUSI, CAF, adreçades al medi obert, al medi tancat, a joves, etc. i competències transversals: noves aplicacions, equips.</w:t>
      </w:r>
    </w:p>
    <w:p w:rsidR="00B80CC7" w:rsidRPr="006C3BAC" w:rsidRDefault="00B80CC7" w:rsidP="00B80CC7">
      <w:pPr>
        <w:ind w:left="720"/>
        <w:contextualSpacing/>
        <w:rPr>
          <w:rFonts w:eastAsiaTheme="minorEastAsia" w:cs="Arial"/>
        </w:rPr>
      </w:pPr>
    </w:p>
    <w:p w:rsidR="00B80CC7" w:rsidRPr="006C3BAC" w:rsidRDefault="00B80CC7" w:rsidP="00B80CC7">
      <w:pPr>
        <w:numPr>
          <w:ilvl w:val="0"/>
          <w:numId w:val="98"/>
        </w:numPr>
        <w:contextualSpacing/>
        <w:rPr>
          <w:rFonts w:eastAsiaTheme="minorEastAsia" w:cs="Arial"/>
        </w:rPr>
      </w:pPr>
      <w:r w:rsidRPr="006C3BAC">
        <w:rPr>
          <w:rFonts w:eastAsiaTheme="minorEastAsia" w:cs="Arial"/>
        </w:rPr>
        <w:t>Desenvolupament tecnològic continu. S’està treballant i cal desenvolupar:</w:t>
      </w:r>
    </w:p>
    <w:p w:rsidR="00B80CC7" w:rsidRPr="006C3BAC" w:rsidRDefault="00B80CC7" w:rsidP="00B80CC7">
      <w:pPr>
        <w:numPr>
          <w:ilvl w:val="1"/>
          <w:numId w:val="98"/>
        </w:numPr>
        <w:contextualSpacing/>
        <w:rPr>
          <w:rFonts w:eastAsiaTheme="minorEastAsia" w:cs="Arial"/>
        </w:rPr>
      </w:pPr>
      <w:r w:rsidRPr="006C3BAC">
        <w:rPr>
          <w:rFonts w:eastAsiaTheme="minorEastAsia" w:cs="Arial"/>
        </w:rPr>
        <w:t>S’han definit estàndards als sistemes de seguretat dels centres penitenciaris que només s’han incorporat als centres nous (inaugurats a partir de 2.007). Cal adequar la resta de centres i millorar els nous amb noves tecnologies.</w:t>
      </w:r>
    </w:p>
    <w:p w:rsidR="00B80CC7" w:rsidRPr="006C3BAC" w:rsidRDefault="00B80CC7" w:rsidP="00B80CC7">
      <w:pPr>
        <w:numPr>
          <w:ilvl w:val="1"/>
          <w:numId w:val="98"/>
        </w:numPr>
        <w:contextualSpacing/>
        <w:rPr>
          <w:rFonts w:eastAsiaTheme="minorEastAsia" w:cs="Arial"/>
        </w:rPr>
      </w:pPr>
      <w:r w:rsidRPr="006C3BAC">
        <w:rPr>
          <w:rFonts w:eastAsiaTheme="minorEastAsia" w:cs="Arial"/>
        </w:rPr>
        <w:t xml:space="preserve">Un sistema tecnològic de comunicació i tramitació de la documentació entre els operadors que intervenen en la gestió dels trasllats i sortides dels interns, així com  incrementar la utilització dels sistemes de videoconferència per reduir els trasllats que efectuen les forces i cossos de seguretat. </w:t>
      </w:r>
    </w:p>
    <w:p w:rsidR="00B80CC7" w:rsidRPr="006C3BAC" w:rsidRDefault="00B80CC7" w:rsidP="00B80CC7">
      <w:pPr>
        <w:numPr>
          <w:ilvl w:val="1"/>
          <w:numId w:val="98"/>
        </w:numPr>
        <w:contextualSpacing/>
        <w:rPr>
          <w:rFonts w:eastAsiaTheme="minorEastAsia" w:cs="Arial"/>
        </w:rPr>
      </w:pPr>
      <w:r w:rsidRPr="006C3BAC">
        <w:rPr>
          <w:rFonts w:eastAsiaTheme="minorEastAsia" w:cs="Arial"/>
        </w:rPr>
        <w:lastRenderedPageBreak/>
        <w:t>La implementació d’un sistema de biometria per identificar els interns que ha de facilitar substancialment la gestió interior dels centres i que hauria d’estar connectat amb la base de dades dels diferents operadors que intervenen en la execució penal: Mossos d’Esquadra, sistema informàtic judicial, etc.</w:t>
      </w:r>
    </w:p>
    <w:p w:rsidR="00B80CC7" w:rsidRPr="006C3BAC" w:rsidRDefault="00B80CC7" w:rsidP="00B80CC7">
      <w:pPr>
        <w:numPr>
          <w:ilvl w:val="1"/>
          <w:numId w:val="98"/>
        </w:numPr>
        <w:contextualSpacing/>
        <w:rPr>
          <w:rFonts w:eastAsiaTheme="minorEastAsia" w:cs="Arial"/>
        </w:rPr>
      </w:pPr>
      <w:r w:rsidRPr="006C3BAC">
        <w:rPr>
          <w:rFonts w:eastAsiaTheme="minorEastAsia" w:cs="Arial"/>
        </w:rPr>
        <w:t>El SIPC està en continua adaptació a es necessitats del sistema.</w:t>
      </w:r>
    </w:p>
    <w:p w:rsidR="00B80CC7" w:rsidRPr="006C3BAC" w:rsidRDefault="00B80CC7" w:rsidP="00B80CC7">
      <w:pPr>
        <w:ind w:left="1440"/>
        <w:contextualSpacing/>
        <w:rPr>
          <w:rFonts w:eastAsiaTheme="minorEastAsia" w:cs="Arial"/>
        </w:rPr>
      </w:pPr>
    </w:p>
    <w:p w:rsidR="00B80CC7" w:rsidRPr="006C3BAC" w:rsidRDefault="00B80CC7" w:rsidP="00B80CC7">
      <w:pPr>
        <w:numPr>
          <w:ilvl w:val="0"/>
          <w:numId w:val="98"/>
        </w:numPr>
        <w:contextualSpacing/>
        <w:rPr>
          <w:rFonts w:eastAsiaTheme="minorEastAsia" w:cs="Arial"/>
        </w:rPr>
      </w:pPr>
      <w:r w:rsidRPr="006C3BAC">
        <w:rPr>
          <w:rFonts w:eastAsiaTheme="minorEastAsia" w:cs="Arial"/>
        </w:rPr>
        <w:t xml:space="preserve">Instaurar programes de gestió alternativa </w:t>
      </w:r>
      <w:r w:rsidR="006C3BAC">
        <w:rPr>
          <w:rFonts w:eastAsiaTheme="minorEastAsia" w:cs="Arial"/>
        </w:rPr>
        <w:t>de conflictes basats en la medi</w:t>
      </w:r>
      <w:r w:rsidRPr="006C3BAC">
        <w:rPr>
          <w:rFonts w:eastAsiaTheme="minorEastAsia" w:cs="Arial"/>
        </w:rPr>
        <w:t>ació, conciliació i reparació, com a part del procés educatiu i de desenvolupament personal.</w:t>
      </w:r>
    </w:p>
    <w:p w:rsidR="00B80CC7" w:rsidRPr="006C3BAC" w:rsidRDefault="00B80CC7" w:rsidP="00B80CC7">
      <w:pPr>
        <w:ind w:left="720"/>
        <w:contextualSpacing/>
        <w:rPr>
          <w:rFonts w:eastAsiaTheme="minorEastAsia" w:cs="Arial"/>
        </w:rPr>
      </w:pPr>
    </w:p>
    <w:p w:rsidR="00B80CC7" w:rsidRPr="00D1295D" w:rsidRDefault="00B80CC7" w:rsidP="00E930B2">
      <w:pPr>
        <w:numPr>
          <w:ilvl w:val="0"/>
          <w:numId w:val="98"/>
        </w:numPr>
        <w:contextualSpacing/>
        <w:rPr>
          <w:rFonts w:eastAsiaTheme="minorEastAsia" w:cs="Arial"/>
          <w:b/>
          <w:color w:val="FF0000"/>
        </w:rPr>
      </w:pPr>
      <w:r w:rsidRPr="006C3BAC">
        <w:rPr>
          <w:rFonts w:eastAsiaTheme="minorEastAsia" w:cs="Arial"/>
        </w:rPr>
        <w:t>Millora continua amb la incorporació d’una sistemàtica multidisciplinària per investigar i analitzar incidents com a eina d’aprenentatge organitzacional. Cada incident i la seva resolució són oportunitats per fer millora els protocols, les normatives i els procediments si els analitzem amb mètode i visió crítica.</w:t>
      </w:r>
      <w:r w:rsidRPr="006C3BAC">
        <w:rPr>
          <w:rFonts w:eastAsiaTheme="minorEastAsia" w:cs="Arial"/>
          <w:b/>
        </w:rPr>
        <w:t xml:space="preserve"> </w:t>
      </w:r>
    </w:p>
    <w:p w:rsidR="00B80CC7" w:rsidRPr="00647306" w:rsidRDefault="00B80CC7" w:rsidP="00E930B2">
      <w:pPr>
        <w:rPr>
          <w:rFonts w:eastAsiaTheme="minorEastAsia" w:cs="Arial"/>
        </w:rPr>
      </w:pPr>
    </w:p>
    <w:p w:rsidR="006A4109" w:rsidRDefault="006A4109" w:rsidP="00E930B2">
      <w:pPr>
        <w:spacing w:before="0"/>
        <w:jc w:val="left"/>
        <w:rPr>
          <w:rFonts w:eastAsiaTheme="majorEastAsia" w:cs="Arial"/>
          <w:b/>
          <w:color w:val="1F497D" w:themeColor="text2"/>
          <w:sz w:val="24"/>
          <w:szCs w:val="24"/>
        </w:rPr>
      </w:pPr>
    </w:p>
    <w:p w:rsidR="006A4109" w:rsidRPr="00F02D52" w:rsidRDefault="006A4109" w:rsidP="0070401F">
      <w:pPr>
        <w:pStyle w:val="Ttol2"/>
      </w:pPr>
      <w:bookmarkStart w:id="325" w:name="_Toc463867787"/>
      <w:bookmarkStart w:id="326" w:name="_Toc464685674"/>
      <w:bookmarkStart w:id="327" w:name="_Toc465293412"/>
      <w:r w:rsidRPr="00F02D52">
        <w:t xml:space="preserve">Principi de coresponsabilitat. </w:t>
      </w:r>
      <w:r w:rsidRPr="00EB1B4D">
        <w:t>Prestació</w:t>
      </w:r>
      <w:r w:rsidRPr="00F02D52">
        <w:t xml:space="preserve"> de les administracions</w:t>
      </w:r>
      <w:bookmarkEnd w:id="325"/>
      <w:bookmarkEnd w:id="326"/>
      <w:bookmarkEnd w:id="327"/>
    </w:p>
    <w:p w:rsidR="006A4109" w:rsidRPr="00647306" w:rsidRDefault="006A4109" w:rsidP="00E930B2">
      <w:pPr>
        <w:rPr>
          <w:rFonts w:cs="Arial"/>
        </w:rPr>
      </w:pPr>
      <w:r w:rsidRPr="00647306">
        <w:rPr>
          <w:rFonts w:cs="Arial"/>
        </w:rPr>
        <w:t>La progressiva tendència a la integració d’altres administracions i serveis públics en l’àmbit de la gestió penitenci</w:t>
      </w:r>
      <w:r>
        <w:rPr>
          <w:rFonts w:cs="Arial"/>
        </w:rPr>
        <w:t>à</w:t>
      </w:r>
      <w:r w:rsidRPr="00647306">
        <w:rPr>
          <w:rFonts w:cs="Arial"/>
        </w:rPr>
        <w:t>ria, com a conseqüència d</w:t>
      </w:r>
      <w:r>
        <w:rPr>
          <w:rFonts w:cs="Arial"/>
        </w:rPr>
        <w:t>e definir la política penitencià</w:t>
      </w:r>
      <w:r w:rsidRPr="00647306">
        <w:rPr>
          <w:rFonts w:cs="Arial"/>
        </w:rPr>
        <w:t xml:space="preserve">ria com a política social, </w:t>
      </w:r>
      <w:r>
        <w:rPr>
          <w:rFonts w:cs="Arial"/>
        </w:rPr>
        <w:t>queda recollit en el Reglament p</w:t>
      </w:r>
      <w:r w:rsidRPr="00647306">
        <w:rPr>
          <w:rFonts w:cs="Arial"/>
        </w:rPr>
        <w:t>enitenciari català de 2006 el qual manifesta com a eix prioritari l’articulació del principi de coresponsabilitat institucional i social d’altres serveis públics competents en cada matèria, especial</w:t>
      </w:r>
      <w:r>
        <w:rPr>
          <w:rFonts w:cs="Arial"/>
        </w:rPr>
        <w:t>ment</w:t>
      </w:r>
      <w:r w:rsidRPr="00647306">
        <w:rPr>
          <w:rFonts w:cs="Arial"/>
        </w:rPr>
        <w:t xml:space="preserve"> en l’àmbit de la salut i educació.</w:t>
      </w:r>
    </w:p>
    <w:p w:rsidR="006A4109" w:rsidRPr="00647306" w:rsidRDefault="006A4109" w:rsidP="00E930B2">
      <w:pPr>
        <w:rPr>
          <w:rFonts w:cs="Arial"/>
        </w:rPr>
      </w:pPr>
      <w:r>
        <w:rPr>
          <w:rFonts w:cs="Arial"/>
        </w:rPr>
        <w:t>É</w:t>
      </w:r>
      <w:r w:rsidRPr="00647306">
        <w:rPr>
          <w:rFonts w:cs="Arial"/>
        </w:rPr>
        <w:t xml:space="preserve">s per això que actualment trobem un escenari de progrés i consolidació d’aquest objectiu, amb un important desenvolupament de mitjans, funcions i competències dels respectius </w:t>
      </w:r>
      <w:r>
        <w:rPr>
          <w:rFonts w:cs="Arial"/>
        </w:rPr>
        <w:t>d</w:t>
      </w:r>
      <w:r w:rsidRPr="00647306">
        <w:rPr>
          <w:rFonts w:cs="Arial"/>
        </w:rPr>
        <w:t xml:space="preserve">epartaments en els centres penitenciaris, en coordinació amb el Departament de </w:t>
      </w:r>
      <w:r>
        <w:rPr>
          <w:rFonts w:cs="Arial"/>
        </w:rPr>
        <w:t>J</w:t>
      </w:r>
      <w:r w:rsidRPr="00647306">
        <w:rPr>
          <w:rFonts w:cs="Arial"/>
        </w:rPr>
        <w:t>ustícia.</w:t>
      </w:r>
    </w:p>
    <w:p w:rsidR="006A4109" w:rsidRPr="00647306" w:rsidRDefault="006A4109" w:rsidP="00E930B2">
      <w:pPr>
        <w:rPr>
          <w:rFonts w:cs="Arial"/>
        </w:rPr>
      </w:pPr>
      <w:r w:rsidRPr="00647306">
        <w:rPr>
          <w:rFonts w:cs="Arial"/>
        </w:rPr>
        <w:t>Tanmateix el CIRE com a empresa pública sotmesa a dret privat ha anat desplegant en constant creixement accions i serveis amb els mateixos principis i objectius.</w:t>
      </w:r>
    </w:p>
    <w:p w:rsidR="006A4109" w:rsidRPr="00F02D52" w:rsidRDefault="006A4109" w:rsidP="0070401F">
      <w:pPr>
        <w:pStyle w:val="Ttol3"/>
      </w:pPr>
      <w:bookmarkStart w:id="328" w:name="_Toc463867788"/>
      <w:bookmarkStart w:id="329" w:name="_Toc464685675"/>
      <w:bookmarkStart w:id="330" w:name="_Toc465293413"/>
      <w:r w:rsidRPr="00F02D52">
        <w:t>Serveis educatius</w:t>
      </w:r>
      <w:bookmarkEnd w:id="328"/>
      <w:bookmarkEnd w:id="329"/>
      <w:bookmarkEnd w:id="330"/>
    </w:p>
    <w:p w:rsidR="006A4109" w:rsidRPr="00F02D52" w:rsidRDefault="006A4109" w:rsidP="00064125"/>
    <w:p w:rsidR="006A4109" w:rsidRPr="00F02D52" w:rsidRDefault="006A4109" w:rsidP="0070401F">
      <w:pPr>
        <w:pStyle w:val="Ttol4"/>
      </w:pPr>
      <w:bookmarkStart w:id="331" w:name="_Toc463867789"/>
      <w:r w:rsidRPr="00F02D52">
        <w:t>Procés de desplegament escolar, mitjans i recursos</w:t>
      </w:r>
      <w:bookmarkEnd w:id="331"/>
    </w:p>
    <w:p w:rsidR="006A4109" w:rsidRPr="00647306" w:rsidRDefault="006A4109" w:rsidP="00E930B2">
      <w:pPr>
        <w:rPr>
          <w:rFonts w:cs="Arial"/>
        </w:rPr>
      </w:pPr>
      <w:r w:rsidRPr="00647306">
        <w:rPr>
          <w:rFonts w:cs="Arial"/>
        </w:rPr>
        <w:t xml:space="preserve">El panorama escolar </w:t>
      </w:r>
      <w:r>
        <w:rPr>
          <w:rFonts w:cs="Arial"/>
        </w:rPr>
        <w:t>que hi havia</w:t>
      </w:r>
      <w:r w:rsidRPr="00647306">
        <w:rPr>
          <w:rFonts w:cs="Arial"/>
        </w:rPr>
        <w:t xml:space="preserve"> l’any 1984 consistia en l’assignació d’un mestre com a mínim </w:t>
      </w:r>
      <w:r>
        <w:rPr>
          <w:rFonts w:cs="Arial"/>
        </w:rPr>
        <w:t>a</w:t>
      </w:r>
      <w:r w:rsidRPr="00647306">
        <w:rPr>
          <w:rFonts w:cs="Arial"/>
        </w:rPr>
        <w:t xml:space="preserve"> cada un dels 7 centres penitenciaris existents en aquells moments, per la qual cosa en la gran majoria de centres </w:t>
      </w:r>
      <w:r>
        <w:rPr>
          <w:rFonts w:cs="Arial"/>
        </w:rPr>
        <w:t>l’escola mantenia un sol mestre</w:t>
      </w:r>
      <w:r w:rsidRPr="00647306">
        <w:rPr>
          <w:rFonts w:cs="Arial"/>
        </w:rPr>
        <w:t>, en molts caso</w:t>
      </w:r>
      <w:r>
        <w:rPr>
          <w:rFonts w:cs="Arial"/>
        </w:rPr>
        <w:t>s, recentment incorporats de l’Administració penitencià</w:t>
      </w:r>
      <w:r w:rsidRPr="00647306">
        <w:rPr>
          <w:rFonts w:cs="Arial"/>
        </w:rPr>
        <w:t>ria espanyola.</w:t>
      </w:r>
    </w:p>
    <w:p w:rsidR="006A4109" w:rsidRPr="00647306" w:rsidRDefault="006A4109" w:rsidP="00E930B2">
      <w:pPr>
        <w:rPr>
          <w:rFonts w:cs="Arial"/>
        </w:rPr>
      </w:pPr>
      <w:r w:rsidRPr="00647306">
        <w:rPr>
          <w:rFonts w:cs="Arial"/>
        </w:rPr>
        <w:t>L’escola i els mestres per la seva naturalesa i tradicional metodologia de treball aportaven un cert marc d’ordenament i estructuració metodològica en comparació a</w:t>
      </w:r>
      <w:r>
        <w:rPr>
          <w:rFonts w:cs="Arial"/>
        </w:rPr>
        <w:t xml:space="preserve">mb </w:t>
      </w:r>
      <w:r w:rsidRPr="00647306">
        <w:rPr>
          <w:rFonts w:cs="Arial"/>
        </w:rPr>
        <w:t>altres disciplines socioeducatives incipients en el sistema penitenciari.</w:t>
      </w:r>
    </w:p>
    <w:p w:rsidR="006A4109" w:rsidRPr="00647306" w:rsidRDefault="006A4109" w:rsidP="00E930B2">
      <w:pPr>
        <w:rPr>
          <w:rFonts w:cs="Arial"/>
        </w:rPr>
      </w:pPr>
      <w:r w:rsidRPr="00647306">
        <w:rPr>
          <w:rFonts w:cs="Arial"/>
        </w:rPr>
        <w:t>El novembre de 1986 s’</w:t>
      </w:r>
      <w:r>
        <w:rPr>
          <w:rFonts w:cs="Arial"/>
        </w:rPr>
        <w:t>acorda un primer conveni de col·</w:t>
      </w:r>
      <w:r w:rsidRPr="00647306">
        <w:rPr>
          <w:rFonts w:cs="Arial"/>
        </w:rPr>
        <w:t>laboració entre el Departament d’Ensenyament i de Justícia on e</w:t>
      </w:r>
      <w:r>
        <w:rPr>
          <w:rFonts w:cs="Arial"/>
        </w:rPr>
        <w:t>s reconeix l’existència de les a</w:t>
      </w:r>
      <w:r w:rsidRPr="00647306">
        <w:rPr>
          <w:rFonts w:cs="Arial"/>
        </w:rPr>
        <w:t xml:space="preserve">ules de </w:t>
      </w:r>
      <w:r>
        <w:rPr>
          <w:rFonts w:cs="Arial"/>
        </w:rPr>
        <w:t>f</w:t>
      </w:r>
      <w:r w:rsidRPr="00647306">
        <w:rPr>
          <w:rFonts w:cs="Arial"/>
        </w:rPr>
        <w:t xml:space="preserve">ormació </w:t>
      </w:r>
      <w:r>
        <w:rPr>
          <w:rFonts w:cs="Arial"/>
        </w:rPr>
        <w:t>permanent d’</w:t>
      </w:r>
      <w:r w:rsidRPr="00647306">
        <w:rPr>
          <w:rFonts w:cs="Arial"/>
        </w:rPr>
        <w:t xml:space="preserve">Adults (AFPA). Cal tenir present que en aquella època la formació d’adults depenia del Departament de Benestar Social, concretament de la Direcció General de Formació d’Adults, amb la qual </w:t>
      </w:r>
      <w:r>
        <w:rPr>
          <w:rFonts w:cs="Arial"/>
        </w:rPr>
        <w:t>e</w:t>
      </w:r>
      <w:r w:rsidRPr="00647306">
        <w:rPr>
          <w:rFonts w:cs="Arial"/>
        </w:rPr>
        <w:t>s</w:t>
      </w:r>
      <w:r>
        <w:rPr>
          <w:rFonts w:cs="Arial"/>
        </w:rPr>
        <w:t xml:space="preserve"> van </w:t>
      </w:r>
      <w:r w:rsidRPr="00647306">
        <w:rPr>
          <w:rFonts w:cs="Arial"/>
        </w:rPr>
        <w:t>establir mecanismes de diàleg i coordinació per desenvolupar els programes formatius.</w:t>
      </w:r>
    </w:p>
    <w:p w:rsidR="006A4109" w:rsidRPr="00647306" w:rsidRDefault="006A4109" w:rsidP="00E930B2">
      <w:pPr>
        <w:rPr>
          <w:rFonts w:cs="Arial"/>
        </w:rPr>
      </w:pPr>
      <w:r>
        <w:rPr>
          <w:rFonts w:cs="Arial"/>
        </w:rPr>
        <w:t xml:space="preserve">Cada </w:t>
      </w:r>
      <w:r w:rsidRPr="00647306">
        <w:rPr>
          <w:rFonts w:cs="Arial"/>
        </w:rPr>
        <w:t xml:space="preserve">un dels centres </w:t>
      </w:r>
      <w:r>
        <w:rPr>
          <w:rFonts w:cs="Arial"/>
        </w:rPr>
        <w:t>que hi havia té des d’aleshores una aula de f</w:t>
      </w:r>
      <w:r w:rsidRPr="00647306">
        <w:rPr>
          <w:rFonts w:cs="Arial"/>
        </w:rPr>
        <w:t xml:space="preserve">ormació </w:t>
      </w:r>
      <w:r>
        <w:rPr>
          <w:rFonts w:cs="Arial"/>
        </w:rPr>
        <w:t>p</w:t>
      </w:r>
      <w:r w:rsidRPr="00647306">
        <w:rPr>
          <w:rFonts w:cs="Arial"/>
        </w:rPr>
        <w:t>ermanent d’</w:t>
      </w:r>
      <w:r>
        <w:rPr>
          <w:rFonts w:cs="Arial"/>
        </w:rPr>
        <w:t xml:space="preserve">adults (AFPA) amb nom </w:t>
      </w:r>
      <w:r w:rsidRPr="00647306">
        <w:rPr>
          <w:rFonts w:cs="Arial"/>
        </w:rPr>
        <w:t xml:space="preserve">registrat: </w:t>
      </w:r>
    </w:p>
    <w:p w:rsidR="006A4109" w:rsidRPr="00647306" w:rsidRDefault="006A4109" w:rsidP="00E930B2">
      <w:pPr>
        <w:ind w:left="708"/>
        <w:rPr>
          <w:rFonts w:cs="Arial"/>
        </w:rPr>
      </w:pPr>
      <w:r w:rsidRPr="00647306">
        <w:rPr>
          <w:rFonts w:cs="Arial"/>
        </w:rPr>
        <w:lastRenderedPageBreak/>
        <w:t xml:space="preserve">• Jacint Verdaguer en el CP </w:t>
      </w:r>
      <w:r>
        <w:rPr>
          <w:rFonts w:cs="Arial"/>
        </w:rPr>
        <w:t>d’</w:t>
      </w:r>
      <w:r w:rsidRPr="00647306">
        <w:rPr>
          <w:rFonts w:cs="Arial"/>
        </w:rPr>
        <w:t>Homes de Barcelona</w:t>
      </w:r>
    </w:p>
    <w:p w:rsidR="006A4109" w:rsidRPr="00647306" w:rsidRDefault="006A4109" w:rsidP="00E930B2">
      <w:pPr>
        <w:ind w:left="708"/>
        <w:rPr>
          <w:rFonts w:cs="Arial"/>
        </w:rPr>
      </w:pPr>
      <w:r w:rsidRPr="00647306">
        <w:rPr>
          <w:rFonts w:cs="Arial"/>
        </w:rPr>
        <w:t xml:space="preserve">• Concepció Arenal en el CP </w:t>
      </w:r>
      <w:r>
        <w:rPr>
          <w:rFonts w:cs="Arial"/>
        </w:rPr>
        <w:t xml:space="preserve">de </w:t>
      </w:r>
      <w:r w:rsidRPr="00647306">
        <w:rPr>
          <w:rFonts w:cs="Arial"/>
        </w:rPr>
        <w:t>Dones de Barcelona</w:t>
      </w:r>
    </w:p>
    <w:p w:rsidR="006A4109" w:rsidRPr="00647306" w:rsidRDefault="006A4109" w:rsidP="00E930B2">
      <w:pPr>
        <w:ind w:left="708"/>
        <w:rPr>
          <w:rFonts w:cs="Arial"/>
        </w:rPr>
      </w:pPr>
      <w:r w:rsidRPr="00647306">
        <w:rPr>
          <w:rFonts w:cs="Arial"/>
        </w:rPr>
        <w:t xml:space="preserve">• Santiago Rusiñol en el CP </w:t>
      </w:r>
      <w:r>
        <w:rPr>
          <w:rFonts w:cs="Arial"/>
        </w:rPr>
        <w:t xml:space="preserve">de </w:t>
      </w:r>
      <w:r w:rsidRPr="00647306">
        <w:rPr>
          <w:rFonts w:cs="Arial"/>
        </w:rPr>
        <w:t>Joves de Barcelona</w:t>
      </w:r>
    </w:p>
    <w:p w:rsidR="006A4109" w:rsidRPr="00647306" w:rsidRDefault="006A4109" w:rsidP="00E930B2">
      <w:pPr>
        <w:ind w:left="708"/>
        <w:rPr>
          <w:rFonts w:cs="Arial"/>
        </w:rPr>
      </w:pPr>
      <w:r w:rsidRPr="00647306">
        <w:rPr>
          <w:rFonts w:cs="Arial"/>
        </w:rPr>
        <w:t>• Enric Granados en el CP Ponent</w:t>
      </w:r>
    </w:p>
    <w:p w:rsidR="006A4109" w:rsidRPr="00647306" w:rsidRDefault="006A4109" w:rsidP="00E930B2">
      <w:pPr>
        <w:ind w:left="708"/>
        <w:rPr>
          <w:rFonts w:cs="Arial"/>
        </w:rPr>
      </w:pPr>
      <w:r>
        <w:rPr>
          <w:rFonts w:cs="Arial"/>
        </w:rPr>
        <w:t>• Pau C</w:t>
      </w:r>
      <w:r w:rsidRPr="00647306">
        <w:rPr>
          <w:rFonts w:cs="Arial"/>
        </w:rPr>
        <w:t xml:space="preserve">asals en el CP </w:t>
      </w:r>
      <w:r>
        <w:rPr>
          <w:rFonts w:cs="Arial"/>
        </w:rPr>
        <w:t xml:space="preserve">de </w:t>
      </w:r>
      <w:r w:rsidRPr="00647306">
        <w:rPr>
          <w:rFonts w:cs="Arial"/>
        </w:rPr>
        <w:t>Tarragona</w:t>
      </w:r>
    </w:p>
    <w:p w:rsidR="006A4109" w:rsidRPr="00647306" w:rsidRDefault="006A4109" w:rsidP="00E930B2">
      <w:pPr>
        <w:ind w:left="708"/>
        <w:rPr>
          <w:rFonts w:cs="Arial"/>
        </w:rPr>
      </w:pPr>
      <w:r w:rsidRPr="00647306">
        <w:rPr>
          <w:rFonts w:cs="Arial"/>
        </w:rPr>
        <w:t xml:space="preserve">• Pompeu Fabra en el CP </w:t>
      </w:r>
      <w:r>
        <w:rPr>
          <w:rFonts w:cs="Arial"/>
        </w:rPr>
        <w:t xml:space="preserve">de </w:t>
      </w:r>
      <w:r w:rsidRPr="00647306">
        <w:rPr>
          <w:rFonts w:cs="Arial"/>
        </w:rPr>
        <w:t>Girona</w:t>
      </w:r>
    </w:p>
    <w:p w:rsidR="006A4109" w:rsidRPr="00647306" w:rsidRDefault="006A4109" w:rsidP="00E930B2">
      <w:pPr>
        <w:ind w:left="708"/>
        <w:rPr>
          <w:rFonts w:cs="Arial"/>
        </w:rPr>
      </w:pPr>
      <w:r w:rsidRPr="00647306">
        <w:rPr>
          <w:rFonts w:cs="Arial"/>
        </w:rPr>
        <w:t xml:space="preserve">• Josep Pla en el CP </w:t>
      </w:r>
      <w:r>
        <w:rPr>
          <w:rFonts w:cs="Arial"/>
        </w:rPr>
        <w:t xml:space="preserve">de </w:t>
      </w:r>
      <w:r w:rsidRPr="00647306">
        <w:rPr>
          <w:rFonts w:cs="Arial"/>
        </w:rPr>
        <w:t>Figueres</w:t>
      </w:r>
    </w:p>
    <w:p w:rsidR="006A4109" w:rsidRPr="00647306" w:rsidRDefault="006A4109" w:rsidP="00E930B2">
      <w:pPr>
        <w:rPr>
          <w:rFonts w:cs="Arial"/>
        </w:rPr>
      </w:pPr>
      <w:r w:rsidRPr="00647306">
        <w:rPr>
          <w:rFonts w:cs="Arial"/>
        </w:rPr>
        <w:t>Amb motiu de l’obertura del CP Quatre Camins l’any 1989 i del CP Brians l’any 1990 es creen l’AFPA Salvador Dalí i l’AFPA Artur Martorell</w:t>
      </w:r>
      <w:r>
        <w:rPr>
          <w:rFonts w:cs="Arial"/>
        </w:rPr>
        <w:t>,</w:t>
      </w:r>
      <w:r w:rsidRPr="00647306">
        <w:rPr>
          <w:rFonts w:cs="Arial"/>
        </w:rPr>
        <w:t xml:space="preserve"> respectivament.</w:t>
      </w:r>
    </w:p>
    <w:p w:rsidR="006A4109" w:rsidRPr="00647306" w:rsidRDefault="006A4109" w:rsidP="00E930B2">
      <w:pPr>
        <w:rPr>
          <w:rFonts w:cs="Arial"/>
        </w:rPr>
      </w:pPr>
      <w:r w:rsidRPr="00647306">
        <w:rPr>
          <w:rFonts w:cs="Arial"/>
        </w:rPr>
        <w:t xml:space="preserve">Tanquem la dècada dels 90 amb un plantilla de 87 docents distribuïts en 9 centres i amb la publicació del Reial </w:t>
      </w:r>
      <w:r>
        <w:rPr>
          <w:rFonts w:cs="Arial"/>
        </w:rPr>
        <w:t>d</w:t>
      </w:r>
      <w:r w:rsidRPr="00647306">
        <w:rPr>
          <w:rFonts w:cs="Arial"/>
        </w:rPr>
        <w:t>ecret 1203/99 d’integració dels mestres de presons al cos de mestres d’acord amb allò que establia la disposició desena, punt 3, de la LOGSE.</w:t>
      </w:r>
    </w:p>
    <w:p w:rsidR="006A4109" w:rsidRPr="00647306" w:rsidRDefault="006A4109" w:rsidP="00E930B2">
      <w:pPr>
        <w:rPr>
          <w:rFonts w:cs="Arial"/>
        </w:rPr>
      </w:pPr>
      <w:r w:rsidRPr="00647306">
        <w:rPr>
          <w:rFonts w:cs="Arial"/>
        </w:rPr>
        <w:t xml:space="preserve">El desplegament progressiu de nous equipaments penitenciaris </w:t>
      </w:r>
      <w:r>
        <w:rPr>
          <w:rFonts w:cs="Arial"/>
        </w:rPr>
        <w:t xml:space="preserve">va </w:t>
      </w:r>
      <w:r w:rsidRPr="00647306">
        <w:rPr>
          <w:rFonts w:cs="Arial"/>
        </w:rPr>
        <w:t>determina</w:t>
      </w:r>
      <w:r>
        <w:rPr>
          <w:rFonts w:cs="Arial"/>
        </w:rPr>
        <w:t>r</w:t>
      </w:r>
      <w:r w:rsidRPr="00647306">
        <w:rPr>
          <w:rFonts w:cs="Arial"/>
        </w:rPr>
        <w:t xml:space="preserve"> la creació/traspàs de nous CFPA. L’any 2007 és crea el CFPA Victor Català amb motiu de l’obertura del CP Brians 2 i l’any 2008 es crea el CFPA Carmen Karr al CP Lledoners, així com es traspassa el CFPA Santiago Rusiñol al nou Centre Penitenciari de Joves.</w:t>
      </w:r>
    </w:p>
    <w:p w:rsidR="006A4109" w:rsidRPr="00647306" w:rsidRDefault="006A4109" w:rsidP="00E930B2">
      <w:pPr>
        <w:rPr>
          <w:rFonts w:cs="Arial"/>
        </w:rPr>
      </w:pPr>
      <w:r w:rsidRPr="00647306">
        <w:rPr>
          <w:rFonts w:cs="Arial"/>
        </w:rPr>
        <w:t xml:space="preserve">L’any 2014, amb motiu de l’obertura del CP Puig de les Basses, es crea </w:t>
      </w:r>
      <w:r>
        <w:rPr>
          <w:rFonts w:cs="Arial"/>
        </w:rPr>
        <w:t xml:space="preserve">el </w:t>
      </w:r>
      <w:r w:rsidRPr="00647306">
        <w:rPr>
          <w:rFonts w:cs="Arial"/>
        </w:rPr>
        <w:t>CFPA Tramuntana, i es gestion</w:t>
      </w:r>
      <w:r>
        <w:rPr>
          <w:rFonts w:cs="Arial"/>
        </w:rPr>
        <w:t>en</w:t>
      </w:r>
      <w:r w:rsidRPr="00647306">
        <w:rPr>
          <w:rFonts w:cs="Arial"/>
        </w:rPr>
        <w:t xml:space="preserve"> els tancaments dels CFPA Pompeu Fabra (CP </w:t>
      </w:r>
      <w:r>
        <w:rPr>
          <w:rFonts w:cs="Arial"/>
        </w:rPr>
        <w:t xml:space="preserve">de </w:t>
      </w:r>
      <w:r w:rsidRPr="00647306">
        <w:rPr>
          <w:rFonts w:cs="Arial"/>
        </w:rPr>
        <w:t xml:space="preserve">Girona) i Josep Pla (CP </w:t>
      </w:r>
      <w:r>
        <w:rPr>
          <w:rFonts w:cs="Arial"/>
        </w:rPr>
        <w:t xml:space="preserve">de </w:t>
      </w:r>
      <w:r w:rsidRPr="00647306">
        <w:rPr>
          <w:rFonts w:cs="Arial"/>
        </w:rPr>
        <w:t>Figueres).</w:t>
      </w:r>
    </w:p>
    <w:p w:rsidR="006A4109" w:rsidRPr="00647306" w:rsidRDefault="006A4109" w:rsidP="00E930B2">
      <w:pPr>
        <w:rPr>
          <w:rFonts w:cs="Arial"/>
        </w:rPr>
      </w:pPr>
      <w:r w:rsidRPr="00647306">
        <w:rPr>
          <w:rFonts w:cs="Arial"/>
        </w:rPr>
        <w:t xml:space="preserve">Finalment l’any 2015, amb motiu de l’obertura del CP Mas </w:t>
      </w:r>
      <w:r>
        <w:rPr>
          <w:rFonts w:cs="Arial"/>
        </w:rPr>
        <w:t>d’</w:t>
      </w:r>
      <w:r w:rsidRPr="00647306">
        <w:rPr>
          <w:rFonts w:cs="Arial"/>
        </w:rPr>
        <w:t>Enric, es traslla</w:t>
      </w:r>
      <w:r>
        <w:rPr>
          <w:rFonts w:cs="Arial"/>
        </w:rPr>
        <w:t xml:space="preserve">da </w:t>
      </w:r>
      <w:r w:rsidRPr="00647306">
        <w:rPr>
          <w:rFonts w:cs="Arial"/>
        </w:rPr>
        <w:t xml:space="preserve">el CFPA Pau Casals del CP </w:t>
      </w:r>
      <w:r>
        <w:rPr>
          <w:rFonts w:cs="Arial"/>
        </w:rPr>
        <w:t xml:space="preserve">de </w:t>
      </w:r>
      <w:r w:rsidRPr="00647306">
        <w:rPr>
          <w:rFonts w:cs="Arial"/>
        </w:rPr>
        <w:t>Tarragona al nou centre.</w:t>
      </w:r>
    </w:p>
    <w:p w:rsidR="006A4109" w:rsidRPr="00647306" w:rsidRDefault="006A4109" w:rsidP="00E930B2">
      <w:pPr>
        <w:rPr>
          <w:rFonts w:cs="Arial"/>
        </w:rPr>
      </w:pPr>
      <w:r w:rsidRPr="00647306">
        <w:rPr>
          <w:rFonts w:cs="Arial"/>
        </w:rPr>
        <w:t>Els serveis educatius penitenciaris no disposen d’una partida econòmica planificada per despeses corrents i material fungible, depenen de les circumstàncies econ</w:t>
      </w:r>
      <w:r>
        <w:rPr>
          <w:rFonts w:cs="Arial"/>
        </w:rPr>
        <w:t>o</w:t>
      </w:r>
      <w:r w:rsidRPr="00647306">
        <w:rPr>
          <w:rFonts w:cs="Arial"/>
        </w:rPr>
        <w:t>mic</w:t>
      </w:r>
      <w:r>
        <w:rPr>
          <w:rFonts w:cs="Arial"/>
        </w:rPr>
        <w:t>o</w:t>
      </w:r>
      <w:r w:rsidRPr="00647306">
        <w:rPr>
          <w:rFonts w:cs="Arial"/>
        </w:rPr>
        <w:t>administratives dels centres penitenciaris de referència, els quals tampoc disposen de cap marge d’autonomia financera.</w:t>
      </w:r>
    </w:p>
    <w:p w:rsidR="006A4109" w:rsidRPr="00647306" w:rsidRDefault="006A4109" w:rsidP="00E930B2">
      <w:pPr>
        <w:rPr>
          <w:rFonts w:cs="Arial"/>
        </w:rPr>
      </w:pPr>
      <w:r>
        <w:rPr>
          <w:rFonts w:cs="Arial"/>
        </w:rPr>
        <w:t>S’i</w:t>
      </w:r>
      <w:r w:rsidRPr="00647306">
        <w:rPr>
          <w:rFonts w:cs="Arial"/>
        </w:rPr>
        <w:t>nici</w:t>
      </w:r>
      <w:r>
        <w:rPr>
          <w:rFonts w:cs="Arial"/>
        </w:rPr>
        <w:t>ava aquest c</w:t>
      </w:r>
      <w:r w:rsidRPr="00647306">
        <w:rPr>
          <w:rFonts w:cs="Arial"/>
        </w:rPr>
        <w:t>apítol informant del panorama de l’any 1984 en relació a</w:t>
      </w:r>
      <w:r>
        <w:rPr>
          <w:rFonts w:cs="Arial"/>
        </w:rPr>
        <w:t>mb e</w:t>
      </w:r>
      <w:r w:rsidRPr="00647306">
        <w:rPr>
          <w:rFonts w:cs="Arial"/>
        </w:rPr>
        <w:t xml:space="preserve">l sistema escolar i la dotació de recursos humans. Una dada ràpida i significativa que palesa el compromís i l’esforç </w:t>
      </w:r>
      <w:r>
        <w:rPr>
          <w:rFonts w:cs="Arial"/>
        </w:rPr>
        <w:t>efectuat</w:t>
      </w:r>
      <w:r w:rsidRPr="00647306">
        <w:rPr>
          <w:rFonts w:cs="Arial"/>
        </w:rPr>
        <w:t xml:space="preserve"> per desplegar adequadament els serveis educatius a presons, ens l’ofereix la descripció de l’actual plantilla docent dels centres penitenciaris a Catalunya, consistent en 149,5 docents.</w:t>
      </w:r>
    </w:p>
    <w:p w:rsidR="006A4109" w:rsidRPr="00647306" w:rsidRDefault="006A4109" w:rsidP="00E930B2">
      <w:pPr>
        <w:rPr>
          <w:rFonts w:cs="Arial"/>
        </w:rPr>
      </w:pPr>
    </w:p>
    <w:tbl>
      <w:tblPr>
        <w:tblW w:w="8938" w:type="dxa"/>
        <w:tblInd w:w="55" w:type="dxa"/>
        <w:tblCellMar>
          <w:left w:w="70" w:type="dxa"/>
          <w:right w:w="70" w:type="dxa"/>
        </w:tblCellMar>
        <w:tblLook w:val="04A0" w:firstRow="1" w:lastRow="0" w:firstColumn="1" w:lastColumn="0" w:noHBand="0" w:noVBand="1"/>
      </w:tblPr>
      <w:tblGrid>
        <w:gridCol w:w="1902"/>
        <w:gridCol w:w="2224"/>
        <w:gridCol w:w="1276"/>
        <w:gridCol w:w="1216"/>
        <w:gridCol w:w="1160"/>
        <w:gridCol w:w="1160"/>
      </w:tblGrid>
      <w:tr w:rsidR="006A4109" w:rsidRPr="00647306" w:rsidTr="00E930B2">
        <w:trPr>
          <w:trHeight w:val="20"/>
        </w:trPr>
        <w:tc>
          <w:tcPr>
            <w:tcW w:w="1902" w:type="dxa"/>
            <w:tcBorders>
              <w:top w:val="nil"/>
              <w:left w:val="nil"/>
              <w:bottom w:val="single" w:sz="12" w:space="0" w:color="auto"/>
              <w:right w:val="nil"/>
            </w:tcBorders>
            <w:shd w:val="clear" w:color="auto" w:fill="D9D9D9" w:themeFill="background1" w:themeFillShade="D9"/>
            <w:noWrap/>
            <w:vAlign w:val="center"/>
            <w:hideMark/>
          </w:tcPr>
          <w:p w:rsidR="006A4109" w:rsidRPr="00647306" w:rsidRDefault="006A4109" w:rsidP="00E930B2">
            <w:pPr>
              <w:rPr>
                <w:rFonts w:eastAsia="Times New Roman" w:cs="Arial"/>
                <w:b/>
                <w:color w:val="000000"/>
                <w:sz w:val="20"/>
                <w:szCs w:val="20"/>
                <w:lang w:eastAsia="ca-ES"/>
              </w:rPr>
            </w:pPr>
            <w:r w:rsidRPr="00647306">
              <w:rPr>
                <w:rFonts w:eastAsia="Times New Roman" w:cs="Arial"/>
                <w:b/>
                <w:color w:val="000000"/>
                <w:sz w:val="20"/>
                <w:szCs w:val="20"/>
                <w:lang w:eastAsia="ca-ES"/>
              </w:rPr>
              <w:t>Centre penitenciari</w:t>
            </w:r>
          </w:p>
        </w:tc>
        <w:tc>
          <w:tcPr>
            <w:tcW w:w="2224" w:type="dxa"/>
            <w:tcBorders>
              <w:top w:val="nil"/>
              <w:left w:val="nil"/>
              <w:bottom w:val="single" w:sz="12" w:space="0" w:color="auto"/>
              <w:right w:val="nil"/>
            </w:tcBorders>
            <w:shd w:val="clear" w:color="auto" w:fill="D9D9D9" w:themeFill="background1" w:themeFillShade="D9"/>
            <w:noWrap/>
            <w:vAlign w:val="center"/>
            <w:hideMark/>
          </w:tcPr>
          <w:p w:rsidR="006A4109" w:rsidRPr="00647306" w:rsidRDefault="006A4109" w:rsidP="00E930B2">
            <w:pPr>
              <w:rPr>
                <w:rFonts w:eastAsia="Times New Roman" w:cs="Arial"/>
                <w:b/>
                <w:color w:val="000000"/>
                <w:sz w:val="20"/>
                <w:szCs w:val="20"/>
                <w:lang w:eastAsia="ca-ES"/>
              </w:rPr>
            </w:pPr>
            <w:r w:rsidRPr="00647306">
              <w:rPr>
                <w:rFonts w:eastAsia="Times New Roman" w:cs="Arial"/>
                <w:b/>
                <w:color w:val="000000"/>
                <w:sz w:val="20"/>
                <w:szCs w:val="20"/>
                <w:lang w:eastAsia="ca-ES"/>
              </w:rPr>
              <w:t>Centre de formació de persones adultes</w:t>
            </w:r>
          </w:p>
        </w:tc>
        <w:tc>
          <w:tcPr>
            <w:tcW w:w="1276" w:type="dxa"/>
            <w:tcBorders>
              <w:top w:val="nil"/>
              <w:left w:val="nil"/>
              <w:bottom w:val="single" w:sz="12" w:space="0" w:color="auto"/>
              <w:right w:val="nil"/>
            </w:tcBorders>
            <w:shd w:val="clear" w:color="auto" w:fill="D9D9D9" w:themeFill="background1" w:themeFillShade="D9"/>
            <w:noWrap/>
            <w:vAlign w:val="center"/>
            <w:hideMark/>
          </w:tcPr>
          <w:p w:rsidR="006A4109" w:rsidRPr="00647306" w:rsidRDefault="006A4109" w:rsidP="00E930B2">
            <w:pPr>
              <w:rPr>
                <w:rFonts w:ascii="Arial Narrow" w:eastAsia="Times New Roman" w:hAnsi="Arial Narrow" w:cs="Arial"/>
                <w:b/>
                <w:color w:val="000000"/>
                <w:sz w:val="20"/>
                <w:szCs w:val="20"/>
                <w:lang w:eastAsia="ca-ES"/>
              </w:rPr>
            </w:pPr>
            <w:r w:rsidRPr="00647306">
              <w:rPr>
                <w:rFonts w:ascii="Arial Narrow" w:eastAsia="Times New Roman" w:hAnsi="Arial Narrow" w:cs="Arial"/>
                <w:b/>
                <w:color w:val="000000"/>
                <w:sz w:val="20"/>
                <w:szCs w:val="20"/>
                <w:lang w:eastAsia="ca-ES"/>
              </w:rPr>
              <w:t>Direcció docent</w:t>
            </w:r>
          </w:p>
        </w:tc>
        <w:tc>
          <w:tcPr>
            <w:tcW w:w="1216" w:type="dxa"/>
            <w:tcBorders>
              <w:top w:val="nil"/>
              <w:left w:val="nil"/>
              <w:bottom w:val="single" w:sz="12" w:space="0" w:color="auto"/>
              <w:right w:val="nil"/>
            </w:tcBorders>
            <w:shd w:val="clear" w:color="auto" w:fill="D9D9D9" w:themeFill="background1" w:themeFillShade="D9"/>
            <w:noWrap/>
            <w:vAlign w:val="center"/>
            <w:hideMark/>
          </w:tcPr>
          <w:p w:rsidR="006A4109" w:rsidRPr="00647306" w:rsidRDefault="006A4109" w:rsidP="00E930B2">
            <w:pPr>
              <w:rPr>
                <w:rFonts w:ascii="Arial Narrow" w:eastAsia="Times New Roman" w:hAnsi="Arial Narrow" w:cs="Arial"/>
                <w:b/>
                <w:color w:val="000000"/>
                <w:sz w:val="20"/>
                <w:szCs w:val="20"/>
                <w:lang w:eastAsia="ca-ES"/>
              </w:rPr>
            </w:pPr>
            <w:r w:rsidRPr="00647306">
              <w:rPr>
                <w:rFonts w:ascii="Arial Narrow" w:eastAsia="Times New Roman" w:hAnsi="Arial Narrow" w:cs="Arial"/>
                <w:b/>
                <w:color w:val="000000"/>
                <w:sz w:val="20"/>
                <w:szCs w:val="20"/>
                <w:lang w:eastAsia="ca-ES"/>
              </w:rPr>
              <w:t>Cos de professors/es</w:t>
            </w:r>
          </w:p>
        </w:tc>
        <w:tc>
          <w:tcPr>
            <w:tcW w:w="1160" w:type="dxa"/>
            <w:tcBorders>
              <w:top w:val="nil"/>
              <w:left w:val="nil"/>
              <w:bottom w:val="single" w:sz="12" w:space="0" w:color="auto"/>
              <w:right w:val="nil"/>
            </w:tcBorders>
            <w:shd w:val="clear" w:color="auto" w:fill="D9D9D9" w:themeFill="background1" w:themeFillShade="D9"/>
            <w:noWrap/>
            <w:vAlign w:val="center"/>
            <w:hideMark/>
          </w:tcPr>
          <w:p w:rsidR="006A4109" w:rsidRPr="00647306" w:rsidRDefault="006A4109" w:rsidP="00E930B2">
            <w:pPr>
              <w:rPr>
                <w:rFonts w:ascii="Arial Narrow" w:eastAsia="Times New Roman" w:hAnsi="Arial Narrow" w:cs="Arial"/>
                <w:b/>
                <w:color w:val="000000"/>
                <w:sz w:val="20"/>
                <w:szCs w:val="20"/>
                <w:lang w:eastAsia="ca-ES"/>
              </w:rPr>
            </w:pPr>
            <w:r w:rsidRPr="00647306">
              <w:rPr>
                <w:rFonts w:ascii="Arial Narrow" w:eastAsia="Times New Roman" w:hAnsi="Arial Narrow" w:cs="Arial"/>
                <w:b/>
                <w:color w:val="000000"/>
                <w:sz w:val="20"/>
                <w:szCs w:val="20"/>
                <w:lang w:eastAsia="ca-ES"/>
              </w:rPr>
              <w:t>Cos de mestres</w:t>
            </w:r>
          </w:p>
        </w:tc>
        <w:tc>
          <w:tcPr>
            <w:tcW w:w="1160" w:type="dxa"/>
            <w:tcBorders>
              <w:top w:val="nil"/>
              <w:left w:val="nil"/>
              <w:bottom w:val="single" w:sz="12" w:space="0" w:color="auto"/>
              <w:right w:val="nil"/>
            </w:tcBorders>
            <w:shd w:val="clear" w:color="auto" w:fill="D9D9D9" w:themeFill="background1" w:themeFillShade="D9"/>
            <w:noWrap/>
            <w:vAlign w:val="center"/>
            <w:hideMark/>
          </w:tcPr>
          <w:p w:rsidR="006A4109" w:rsidRPr="00647306" w:rsidRDefault="006A4109" w:rsidP="00E930B2">
            <w:pPr>
              <w:rPr>
                <w:rFonts w:eastAsia="Times New Roman" w:cs="Arial"/>
                <w:b/>
                <w:color w:val="000000"/>
                <w:sz w:val="20"/>
                <w:szCs w:val="20"/>
                <w:lang w:eastAsia="ca-ES"/>
              </w:rPr>
            </w:pPr>
            <w:r w:rsidRPr="00647306">
              <w:rPr>
                <w:rFonts w:eastAsia="Times New Roman" w:cs="Arial"/>
                <w:b/>
                <w:color w:val="000000"/>
                <w:sz w:val="20"/>
                <w:szCs w:val="20"/>
                <w:lang w:eastAsia="ca-ES"/>
              </w:rPr>
              <w:t>Total</w:t>
            </w:r>
          </w:p>
        </w:tc>
      </w:tr>
      <w:tr w:rsidR="006A4109" w:rsidRPr="00F02D52" w:rsidTr="00E930B2">
        <w:trPr>
          <w:trHeight w:val="20"/>
        </w:trPr>
        <w:tc>
          <w:tcPr>
            <w:tcW w:w="1902" w:type="dxa"/>
            <w:tcBorders>
              <w:top w:val="single" w:sz="12" w:space="0" w:color="auto"/>
              <w:left w:val="nil"/>
              <w:bottom w:val="single" w:sz="4" w:space="0" w:color="auto"/>
              <w:right w:val="nil"/>
            </w:tcBorders>
            <w:shd w:val="clear" w:color="auto" w:fill="auto"/>
            <w:noWrap/>
            <w:vAlign w:val="center"/>
            <w:hideMark/>
          </w:tcPr>
          <w:p w:rsidR="006A4109" w:rsidRPr="00647306" w:rsidRDefault="006A4109" w:rsidP="00E930B2">
            <w:pPr>
              <w:rPr>
                <w:rFonts w:eastAsia="Times New Roman" w:cs="Arial"/>
                <w:color w:val="000000"/>
                <w:sz w:val="20"/>
                <w:szCs w:val="20"/>
                <w:lang w:eastAsia="ca-ES"/>
              </w:rPr>
            </w:pPr>
            <w:r w:rsidRPr="00647306">
              <w:rPr>
                <w:rFonts w:eastAsia="Times New Roman" w:cs="Arial"/>
                <w:color w:val="000000"/>
                <w:sz w:val="20"/>
                <w:szCs w:val="20"/>
                <w:lang w:eastAsia="ca-ES"/>
              </w:rPr>
              <w:t>Homes Barcelona</w:t>
            </w:r>
          </w:p>
        </w:tc>
        <w:tc>
          <w:tcPr>
            <w:tcW w:w="2224" w:type="dxa"/>
            <w:tcBorders>
              <w:top w:val="single" w:sz="12" w:space="0" w:color="auto"/>
              <w:left w:val="nil"/>
              <w:bottom w:val="single" w:sz="4" w:space="0" w:color="auto"/>
              <w:right w:val="nil"/>
            </w:tcBorders>
            <w:shd w:val="clear" w:color="auto" w:fill="auto"/>
            <w:noWrap/>
            <w:vAlign w:val="center"/>
            <w:hideMark/>
          </w:tcPr>
          <w:p w:rsidR="006A4109" w:rsidRPr="00647306" w:rsidRDefault="006A4109" w:rsidP="00E930B2">
            <w:pPr>
              <w:rPr>
                <w:rFonts w:eastAsia="Times New Roman" w:cs="Arial"/>
                <w:color w:val="000000"/>
                <w:sz w:val="20"/>
                <w:szCs w:val="20"/>
                <w:lang w:eastAsia="ca-ES"/>
              </w:rPr>
            </w:pPr>
            <w:r w:rsidRPr="00647306">
              <w:rPr>
                <w:rFonts w:eastAsia="Times New Roman" w:cs="Arial"/>
                <w:color w:val="000000"/>
                <w:sz w:val="20"/>
                <w:szCs w:val="20"/>
                <w:lang w:eastAsia="ca-ES"/>
              </w:rPr>
              <w:t>Jacint Verdaguer</w:t>
            </w:r>
          </w:p>
        </w:tc>
        <w:tc>
          <w:tcPr>
            <w:tcW w:w="1276" w:type="dxa"/>
            <w:tcBorders>
              <w:top w:val="single" w:sz="12" w:space="0" w:color="auto"/>
              <w:left w:val="nil"/>
              <w:bottom w:val="single" w:sz="4" w:space="0" w:color="auto"/>
              <w:right w:val="nil"/>
            </w:tcBorders>
            <w:shd w:val="clear" w:color="auto" w:fill="auto"/>
            <w:noWrap/>
            <w:vAlign w:val="center"/>
            <w:hideMark/>
          </w:tcPr>
          <w:p w:rsidR="006A4109" w:rsidRPr="00647306" w:rsidRDefault="006A4109" w:rsidP="00E930B2">
            <w:pPr>
              <w:rPr>
                <w:rFonts w:eastAsia="Times New Roman" w:cs="Arial"/>
                <w:color w:val="000000"/>
                <w:sz w:val="20"/>
                <w:szCs w:val="20"/>
                <w:lang w:eastAsia="ca-ES"/>
              </w:rPr>
            </w:pPr>
            <w:r w:rsidRPr="00647306">
              <w:rPr>
                <w:rFonts w:eastAsia="Times New Roman" w:cs="Arial"/>
                <w:color w:val="000000"/>
                <w:sz w:val="20"/>
                <w:szCs w:val="20"/>
                <w:lang w:eastAsia="ca-ES"/>
              </w:rPr>
              <w:t>1</w:t>
            </w:r>
          </w:p>
        </w:tc>
        <w:tc>
          <w:tcPr>
            <w:tcW w:w="1216" w:type="dxa"/>
            <w:tcBorders>
              <w:top w:val="single" w:sz="12" w:space="0" w:color="auto"/>
              <w:left w:val="nil"/>
              <w:bottom w:val="single" w:sz="4" w:space="0" w:color="auto"/>
              <w:right w:val="nil"/>
            </w:tcBorders>
            <w:shd w:val="clear" w:color="auto" w:fill="auto"/>
            <w:noWrap/>
            <w:vAlign w:val="center"/>
            <w:hideMark/>
          </w:tcPr>
          <w:p w:rsidR="006A4109" w:rsidRPr="00647306" w:rsidRDefault="006A4109" w:rsidP="00E930B2">
            <w:pPr>
              <w:rPr>
                <w:rFonts w:eastAsia="Times New Roman" w:cs="Arial"/>
                <w:color w:val="000000"/>
                <w:sz w:val="20"/>
                <w:szCs w:val="20"/>
                <w:lang w:eastAsia="ca-ES"/>
              </w:rPr>
            </w:pPr>
            <w:r w:rsidRPr="00647306">
              <w:rPr>
                <w:rFonts w:eastAsia="Times New Roman" w:cs="Arial"/>
                <w:color w:val="000000"/>
                <w:sz w:val="20"/>
                <w:szCs w:val="20"/>
                <w:lang w:eastAsia="ca-ES"/>
              </w:rPr>
              <w:t>3</w:t>
            </w:r>
          </w:p>
        </w:tc>
        <w:tc>
          <w:tcPr>
            <w:tcW w:w="1160" w:type="dxa"/>
            <w:tcBorders>
              <w:top w:val="single" w:sz="12" w:space="0" w:color="auto"/>
              <w:left w:val="nil"/>
              <w:bottom w:val="single" w:sz="4" w:space="0" w:color="auto"/>
              <w:right w:val="nil"/>
            </w:tcBorders>
            <w:shd w:val="clear" w:color="auto" w:fill="auto"/>
            <w:noWrap/>
            <w:vAlign w:val="center"/>
            <w:hideMark/>
          </w:tcPr>
          <w:p w:rsidR="006A4109" w:rsidRPr="00647306" w:rsidRDefault="006A4109" w:rsidP="00E930B2">
            <w:pPr>
              <w:rPr>
                <w:rFonts w:eastAsia="Times New Roman" w:cs="Arial"/>
                <w:color w:val="000000"/>
                <w:sz w:val="20"/>
                <w:szCs w:val="20"/>
                <w:lang w:eastAsia="ca-ES"/>
              </w:rPr>
            </w:pPr>
            <w:r w:rsidRPr="00647306">
              <w:rPr>
                <w:rFonts w:eastAsia="Times New Roman" w:cs="Arial"/>
                <w:color w:val="000000"/>
                <w:sz w:val="20"/>
                <w:szCs w:val="20"/>
                <w:lang w:eastAsia="ca-ES"/>
              </w:rPr>
              <w:t>14</w:t>
            </w:r>
          </w:p>
        </w:tc>
        <w:tc>
          <w:tcPr>
            <w:tcW w:w="1160" w:type="dxa"/>
            <w:tcBorders>
              <w:top w:val="single" w:sz="12" w:space="0" w:color="auto"/>
              <w:left w:val="nil"/>
              <w:bottom w:val="single" w:sz="4" w:space="0" w:color="auto"/>
              <w:right w:val="nil"/>
            </w:tcBorders>
            <w:shd w:val="clear" w:color="auto" w:fill="auto"/>
            <w:noWrap/>
            <w:vAlign w:val="center"/>
            <w:hideMark/>
          </w:tcPr>
          <w:p w:rsidR="006A4109" w:rsidRPr="00647306" w:rsidRDefault="006A4109" w:rsidP="00E930B2">
            <w:pPr>
              <w:rPr>
                <w:rFonts w:eastAsia="Times New Roman" w:cs="Arial"/>
                <w:color w:val="000000"/>
                <w:sz w:val="20"/>
                <w:szCs w:val="20"/>
                <w:lang w:eastAsia="ca-ES"/>
              </w:rPr>
            </w:pPr>
            <w:r w:rsidRPr="00647306">
              <w:rPr>
                <w:rFonts w:eastAsia="Times New Roman" w:cs="Arial"/>
                <w:color w:val="000000"/>
                <w:sz w:val="20"/>
                <w:szCs w:val="20"/>
                <w:lang w:eastAsia="ca-ES"/>
              </w:rPr>
              <w:t>18</w:t>
            </w:r>
          </w:p>
        </w:tc>
      </w:tr>
      <w:tr w:rsidR="006A4109" w:rsidRPr="00F02D52" w:rsidTr="00E930B2">
        <w:trPr>
          <w:trHeight w:val="20"/>
        </w:trPr>
        <w:tc>
          <w:tcPr>
            <w:tcW w:w="1902" w:type="dxa"/>
            <w:tcBorders>
              <w:top w:val="single" w:sz="4" w:space="0" w:color="auto"/>
              <w:left w:val="nil"/>
              <w:bottom w:val="single" w:sz="4" w:space="0" w:color="auto"/>
              <w:right w:val="nil"/>
            </w:tcBorders>
            <w:shd w:val="clear" w:color="auto" w:fill="auto"/>
            <w:noWrap/>
            <w:vAlign w:val="center"/>
            <w:hideMark/>
          </w:tcPr>
          <w:p w:rsidR="006A4109" w:rsidRPr="00647306" w:rsidRDefault="006A4109" w:rsidP="00E930B2">
            <w:pPr>
              <w:rPr>
                <w:rFonts w:eastAsia="Times New Roman" w:cs="Arial"/>
                <w:color w:val="000000"/>
                <w:sz w:val="20"/>
                <w:szCs w:val="20"/>
                <w:lang w:eastAsia="ca-ES"/>
              </w:rPr>
            </w:pPr>
            <w:r w:rsidRPr="00647306">
              <w:rPr>
                <w:rFonts w:eastAsia="Times New Roman" w:cs="Arial"/>
                <w:color w:val="000000"/>
                <w:sz w:val="20"/>
                <w:szCs w:val="20"/>
                <w:lang w:eastAsia="ca-ES"/>
              </w:rPr>
              <w:t>Dones Barcelona</w:t>
            </w:r>
          </w:p>
        </w:tc>
        <w:tc>
          <w:tcPr>
            <w:tcW w:w="2224" w:type="dxa"/>
            <w:tcBorders>
              <w:top w:val="single" w:sz="4" w:space="0" w:color="auto"/>
              <w:left w:val="nil"/>
              <w:bottom w:val="single" w:sz="4" w:space="0" w:color="auto"/>
              <w:right w:val="nil"/>
            </w:tcBorders>
            <w:shd w:val="clear" w:color="auto" w:fill="auto"/>
            <w:noWrap/>
            <w:vAlign w:val="center"/>
            <w:hideMark/>
          </w:tcPr>
          <w:p w:rsidR="006A4109" w:rsidRPr="00647306" w:rsidRDefault="006A4109" w:rsidP="00E930B2">
            <w:pPr>
              <w:rPr>
                <w:rFonts w:eastAsia="Times New Roman" w:cs="Arial"/>
                <w:color w:val="000000"/>
                <w:sz w:val="20"/>
                <w:szCs w:val="20"/>
                <w:lang w:eastAsia="ca-ES"/>
              </w:rPr>
            </w:pPr>
            <w:r w:rsidRPr="00647306">
              <w:rPr>
                <w:rFonts w:eastAsia="Times New Roman" w:cs="Arial"/>
                <w:color w:val="000000"/>
                <w:sz w:val="20"/>
                <w:szCs w:val="20"/>
                <w:lang w:eastAsia="ca-ES"/>
              </w:rPr>
              <w:t>Concepció Arenal</w:t>
            </w:r>
          </w:p>
        </w:tc>
        <w:tc>
          <w:tcPr>
            <w:tcW w:w="1276" w:type="dxa"/>
            <w:tcBorders>
              <w:top w:val="single" w:sz="4" w:space="0" w:color="auto"/>
              <w:left w:val="nil"/>
              <w:bottom w:val="single" w:sz="4" w:space="0" w:color="auto"/>
              <w:right w:val="nil"/>
            </w:tcBorders>
            <w:shd w:val="clear" w:color="auto" w:fill="auto"/>
            <w:noWrap/>
            <w:vAlign w:val="center"/>
            <w:hideMark/>
          </w:tcPr>
          <w:p w:rsidR="006A4109" w:rsidRPr="00647306" w:rsidRDefault="006A4109" w:rsidP="00E930B2">
            <w:pPr>
              <w:rPr>
                <w:rFonts w:eastAsia="Times New Roman" w:cs="Arial"/>
                <w:color w:val="000000"/>
                <w:sz w:val="20"/>
                <w:szCs w:val="20"/>
                <w:lang w:eastAsia="ca-ES"/>
              </w:rPr>
            </w:pPr>
            <w:r w:rsidRPr="00647306">
              <w:rPr>
                <w:rFonts w:eastAsia="Times New Roman" w:cs="Arial"/>
                <w:color w:val="000000"/>
                <w:sz w:val="20"/>
                <w:szCs w:val="20"/>
                <w:lang w:eastAsia="ca-ES"/>
              </w:rPr>
              <w:t>1</w:t>
            </w:r>
          </w:p>
        </w:tc>
        <w:tc>
          <w:tcPr>
            <w:tcW w:w="1216" w:type="dxa"/>
            <w:tcBorders>
              <w:top w:val="single" w:sz="4" w:space="0" w:color="auto"/>
              <w:left w:val="nil"/>
              <w:bottom w:val="single" w:sz="4" w:space="0" w:color="auto"/>
              <w:right w:val="nil"/>
            </w:tcBorders>
            <w:shd w:val="clear" w:color="auto" w:fill="auto"/>
            <w:noWrap/>
            <w:vAlign w:val="bottom"/>
            <w:hideMark/>
          </w:tcPr>
          <w:p w:rsidR="006A4109" w:rsidRPr="00647306" w:rsidRDefault="006A4109" w:rsidP="00E930B2">
            <w:pPr>
              <w:rPr>
                <w:rFonts w:ascii="Calibri" w:eastAsia="Times New Roman" w:hAnsi="Calibri" w:cs="Calibri"/>
                <w:color w:val="000000"/>
                <w:sz w:val="20"/>
                <w:szCs w:val="20"/>
                <w:lang w:eastAsia="ca-ES"/>
              </w:rPr>
            </w:pPr>
          </w:p>
        </w:tc>
        <w:tc>
          <w:tcPr>
            <w:tcW w:w="1160" w:type="dxa"/>
            <w:tcBorders>
              <w:top w:val="single" w:sz="4" w:space="0" w:color="auto"/>
              <w:left w:val="nil"/>
              <w:bottom w:val="single" w:sz="4" w:space="0" w:color="auto"/>
              <w:right w:val="nil"/>
            </w:tcBorders>
            <w:shd w:val="clear" w:color="auto" w:fill="auto"/>
            <w:noWrap/>
            <w:vAlign w:val="center"/>
            <w:hideMark/>
          </w:tcPr>
          <w:p w:rsidR="006A4109" w:rsidRPr="00647306" w:rsidRDefault="006A4109" w:rsidP="00E930B2">
            <w:pPr>
              <w:rPr>
                <w:rFonts w:eastAsia="Times New Roman" w:cs="Arial"/>
                <w:color w:val="000000"/>
                <w:sz w:val="20"/>
                <w:szCs w:val="20"/>
                <w:lang w:eastAsia="ca-ES"/>
              </w:rPr>
            </w:pPr>
            <w:r w:rsidRPr="00647306">
              <w:rPr>
                <w:rFonts w:eastAsia="Times New Roman" w:cs="Arial"/>
                <w:color w:val="000000"/>
                <w:sz w:val="20"/>
                <w:szCs w:val="20"/>
                <w:lang w:eastAsia="ca-ES"/>
              </w:rPr>
              <w:t>2</w:t>
            </w:r>
          </w:p>
        </w:tc>
        <w:tc>
          <w:tcPr>
            <w:tcW w:w="1160" w:type="dxa"/>
            <w:tcBorders>
              <w:top w:val="single" w:sz="4" w:space="0" w:color="auto"/>
              <w:left w:val="nil"/>
              <w:bottom w:val="single" w:sz="4" w:space="0" w:color="auto"/>
              <w:right w:val="nil"/>
            </w:tcBorders>
            <w:shd w:val="clear" w:color="auto" w:fill="auto"/>
            <w:noWrap/>
            <w:vAlign w:val="center"/>
            <w:hideMark/>
          </w:tcPr>
          <w:p w:rsidR="006A4109" w:rsidRPr="00647306" w:rsidRDefault="006A4109" w:rsidP="00E930B2">
            <w:pPr>
              <w:rPr>
                <w:rFonts w:eastAsia="Times New Roman" w:cs="Arial"/>
                <w:color w:val="000000"/>
                <w:sz w:val="20"/>
                <w:szCs w:val="20"/>
                <w:lang w:eastAsia="ca-ES"/>
              </w:rPr>
            </w:pPr>
            <w:r w:rsidRPr="00647306">
              <w:rPr>
                <w:rFonts w:eastAsia="Times New Roman" w:cs="Arial"/>
                <w:color w:val="000000"/>
                <w:sz w:val="20"/>
                <w:szCs w:val="20"/>
                <w:lang w:eastAsia="ca-ES"/>
              </w:rPr>
              <w:t>3</w:t>
            </w:r>
          </w:p>
        </w:tc>
      </w:tr>
      <w:tr w:rsidR="006A4109" w:rsidRPr="00F02D52" w:rsidTr="00E930B2">
        <w:trPr>
          <w:trHeight w:val="20"/>
        </w:trPr>
        <w:tc>
          <w:tcPr>
            <w:tcW w:w="1902" w:type="dxa"/>
            <w:tcBorders>
              <w:top w:val="single" w:sz="4" w:space="0" w:color="auto"/>
              <w:left w:val="nil"/>
              <w:bottom w:val="single" w:sz="4" w:space="0" w:color="auto"/>
              <w:right w:val="nil"/>
            </w:tcBorders>
            <w:shd w:val="clear" w:color="auto" w:fill="auto"/>
            <w:noWrap/>
            <w:vAlign w:val="center"/>
            <w:hideMark/>
          </w:tcPr>
          <w:p w:rsidR="006A4109" w:rsidRPr="00647306" w:rsidRDefault="006A4109" w:rsidP="00E930B2">
            <w:pPr>
              <w:rPr>
                <w:rFonts w:eastAsia="Times New Roman" w:cs="Arial"/>
                <w:color w:val="000000"/>
                <w:sz w:val="20"/>
                <w:szCs w:val="20"/>
                <w:lang w:eastAsia="ca-ES"/>
              </w:rPr>
            </w:pPr>
            <w:r w:rsidRPr="00647306">
              <w:rPr>
                <w:rFonts w:eastAsia="Times New Roman" w:cs="Arial"/>
                <w:color w:val="000000"/>
                <w:sz w:val="20"/>
                <w:szCs w:val="20"/>
                <w:lang w:eastAsia="ca-ES"/>
              </w:rPr>
              <w:t>Joves</w:t>
            </w:r>
          </w:p>
        </w:tc>
        <w:tc>
          <w:tcPr>
            <w:tcW w:w="2224" w:type="dxa"/>
            <w:tcBorders>
              <w:top w:val="single" w:sz="4" w:space="0" w:color="auto"/>
              <w:left w:val="nil"/>
              <w:bottom w:val="single" w:sz="4" w:space="0" w:color="auto"/>
              <w:right w:val="nil"/>
            </w:tcBorders>
            <w:shd w:val="clear" w:color="auto" w:fill="auto"/>
            <w:noWrap/>
            <w:vAlign w:val="center"/>
            <w:hideMark/>
          </w:tcPr>
          <w:p w:rsidR="006A4109" w:rsidRPr="00647306" w:rsidRDefault="006A4109" w:rsidP="00E930B2">
            <w:pPr>
              <w:rPr>
                <w:rFonts w:eastAsia="Times New Roman" w:cs="Arial"/>
                <w:color w:val="000000"/>
                <w:sz w:val="20"/>
                <w:szCs w:val="20"/>
                <w:lang w:eastAsia="ca-ES"/>
              </w:rPr>
            </w:pPr>
            <w:r w:rsidRPr="00647306">
              <w:rPr>
                <w:rFonts w:eastAsia="Times New Roman" w:cs="Arial"/>
                <w:color w:val="000000"/>
                <w:sz w:val="20"/>
                <w:szCs w:val="20"/>
                <w:lang w:eastAsia="ca-ES"/>
              </w:rPr>
              <w:t>Santiago Rusiñol</w:t>
            </w:r>
          </w:p>
        </w:tc>
        <w:tc>
          <w:tcPr>
            <w:tcW w:w="1276" w:type="dxa"/>
            <w:tcBorders>
              <w:top w:val="single" w:sz="4" w:space="0" w:color="auto"/>
              <w:left w:val="nil"/>
              <w:bottom w:val="single" w:sz="4" w:space="0" w:color="auto"/>
              <w:right w:val="nil"/>
            </w:tcBorders>
            <w:shd w:val="clear" w:color="auto" w:fill="auto"/>
            <w:noWrap/>
            <w:vAlign w:val="center"/>
            <w:hideMark/>
          </w:tcPr>
          <w:p w:rsidR="006A4109" w:rsidRPr="00647306" w:rsidRDefault="006A4109" w:rsidP="00E930B2">
            <w:pPr>
              <w:rPr>
                <w:rFonts w:eastAsia="Times New Roman" w:cs="Arial"/>
                <w:color w:val="000000"/>
                <w:sz w:val="20"/>
                <w:szCs w:val="20"/>
                <w:lang w:eastAsia="ca-ES"/>
              </w:rPr>
            </w:pPr>
            <w:r w:rsidRPr="00647306">
              <w:rPr>
                <w:rFonts w:eastAsia="Times New Roman" w:cs="Arial"/>
                <w:color w:val="000000"/>
                <w:sz w:val="20"/>
                <w:szCs w:val="20"/>
                <w:lang w:eastAsia="ca-ES"/>
              </w:rPr>
              <w:t>1</w:t>
            </w:r>
          </w:p>
        </w:tc>
        <w:tc>
          <w:tcPr>
            <w:tcW w:w="1216" w:type="dxa"/>
            <w:tcBorders>
              <w:top w:val="single" w:sz="4" w:space="0" w:color="auto"/>
              <w:left w:val="nil"/>
              <w:bottom w:val="single" w:sz="4" w:space="0" w:color="auto"/>
              <w:right w:val="nil"/>
            </w:tcBorders>
            <w:shd w:val="clear" w:color="auto" w:fill="auto"/>
            <w:noWrap/>
            <w:vAlign w:val="center"/>
            <w:hideMark/>
          </w:tcPr>
          <w:p w:rsidR="006A4109" w:rsidRPr="00647306" w:rsidRDefault="006A4109" w:rsidP="00E930B2">
            <w:pPr>
              <w:rPr>
                <w:rFonts w:eastAsia="Times New Roman" w:cs="Arial"/>
                <w:color w:val="000000"/>
                <w:sz w:val="20"/>
                <w:szCs w:val="20"/>
                <w:lang w:eastAsia="ca-ES"/>
              </w:rPr>
            </w:pPr>
            <w:r w:rsidRPr="00647306">
              <w:rPr>
                <w:rFonts w:eastAsia="Times New Roman" w:cs="Arial"/>
                <w:color w:val="000000"/>
                <w:sz w:val="20"/>
                <w:szCs w:val="20"/>
                <w:lang w:eastAsia="ca-ES"/>
              </w:rPr>
              <w:t>4,5</w:t>
            </w:r>
          </w:p>
        </w:tc>
        <w:tc>
          <w:tcPr>
            <w:tcW w:w="1160" w:type="dxa"/>
            <w:tcBorders>
              <w:top w:val="single" w:sz="4" w:space="0" w:color="auto"/>
              <w:left w:val="nil"/>
              <w:bottom w:val="single" w:sz="4" w:space="0" w:color="auto"/>
              <w:right w:val="nil"/>
            </w:tcBorders>
            <w:shd w:val="clear" w:color="auto" w:fill="auto"/>
            <w:noWrap/>
            <w:vAlign w:val="center"/>
            <w:hideMark/>
          </w:tcPr>
          <w:p w:rsidR="006A4109" w:rsidRPr="00647306" w:rsidRDefault="006A4109" w:rsidP="00E930B2">
            <w:pPr>
              <w:rPr>
                <w:rFonts w:eastAsia="Times New Roman" w:cs="Arial"/>
                <w:color w:val="000000"/>
                <w:sz w:val="20"/>
                <w:szCs w:val="20"/>
                <w:lang w:eastAsia="ca-ES"/>
              </w:rPr>
            </w:pPr>
            <w:r w:rsidRPr="00647306">
              <w:rPr>
                <w:rFonts w:eastAsia="Times New Roman" w:cs="Arial"/>
                <w:color w:val="000000"/>
                <w:sz w:val="20"/>
                <w:szCs w:val="20"/>
                <w:lang w:eastAsia="ca-ES"/>
              </w:rPr>
              <w:t>8</w:t>
            </w:r>
          </w:p>
        </w:tc>
        <w:tc>
          <w:tcPr>
            <w:tcW w:w="1160" w:type="dxa"/>
            <w:tcBorders>
              <w:top w:val="single" w:sz="4" w:space="0" w:color="auto"/>
              <w:left w:val="nil"/>
              <w:bottom w:val="single" w:sz="4" w:space="0" w:color="auto"/>
              <w:right w:val="nil"/>
            </w:tcBorders>
            <w:shd w:val="clear" w:color="auto" w:fill="auto"/>
            <w:noWrap/>
            <w:vAlign w:val="center"/>
            <w:hideMark/>
          </w:tcPr>
          <w:p w:rsidR="006A4109" w:rsidRPr="00647306" w:rsidRDefault="006A4109" w:rsidP="00E930B2">
            <w:pPr>
              <w:rPr>
                <w:rFonts w:eastAsia="Times New Roman" w:cs="Arial"/>
                <w:color w:val="000000"/>
                <w:sz w:val="20"/>
                <w:szCs w:val="20"/>
                <w:lang w:eastAsia="ca-ES"/>
              </w:rPr>
            </w:pPr>
            <w:r w:rsidRPr="00647306">
              <w:rPr>
                <w:rFonts w:eastAsia="Times New Roman" w:cs="Arial"/>
                <w:color w:val="000000"/>
                <w:sz w:val="20"/>
                <w:szCs w:val="20"/>
                <w:lang w:eastAsia="ca-ES"/>
              </w:rPr>
              <w:t>13,5</w:t>
            </w:r>
          </w:p>
        </w:tc>
      </w:tr>
      <w:tr w:rsidR="006A4109" w:rsidRPr="00F02D52" w:rsidTr="00E930B2">
        <w:trPr>
          <w:trHeight w:val="20"/>
        </w:trPr>
        <w:tc>
          <w:tcPr>
            <w:tcW w:w="1902" w:type="dxa"/>
            <w:tcBorders>
              <w:top w:val="single" w:sz="4" w:space="0" w:color="auto"/>
              <w:left w:val="nil"/>
              <w:bottom w:val="single" w:sz="4" w:space="0" w:color="auto"/>
              <w:right w:val="nil"/>
            </w:tcBorders>
            <w:shd w:val="clear" w:color="auto" w:fill="auto"/>
            <w:noWrap/>
            <w:vAlign w:val="center"/>
            <w:hideMark/>
          </w:tcPr>
          <w:p w:rsidR="006A4109" w:rsidRPr="00647306" w:rsidRDefault="006A4109" w:rsidP="00E930B2">
            <w:pPr>
              <w:rPr>
                <w:rFonts w:eastAsia="Times New Roman" w:cs="Arial"/>
                <w:color w:val="000000"/>
                <w:sz w:val="20"/>
                <w:szCs w:val="20"/>
                <w:lang w:eastAsia="ca-ES"/>
              </w:rPr>
            </w:pPr>
            <w:r w:rsidRPr="00647306">
              <w:rPr>
                <w:rFonts w:eastAsia="Times New Roman" w:cs="Arial"/>
                <w:color w:val="000000"/>
                <w:sz w:val="20"/>
                <w:szCs w:val="20"/>
                <w:lang w:eastAsia="ca-ES"/>
              </w:rPr>
              <w:t>Quatre Camins</w:t>
            </w:r>
          </w:p>
        </w:tc>
        <w:tc>
          <w:tcPr>
            <w:tcW w:w="2224" w:type="dxa"/>
            <w:tcBorders>
              <w:top w:val="single" w:sz="4" w:space="0" w:color="auto"/>
              <w:left w:val="nil"/>
              <w:bottom w:val="single" w:sz="4" w:space="0" w:color="auto"/>
              <w:right w:val="nil"/>
            </w:tcBorders>
            <w:shd w:val="clear" w:color="auto" w:fill="auto"/>
            <w:noWrap/>
            <w:vAlign w:val="center"/>
            <w:hideMark/>
          </w:tcPr>
          <w:p w:rsidR="006A4109" w:rsidRPr="00647306" w:rsidRDefault="006A4109" w:rsidP="00E930B2">
            <w:pPr>
              <w:rPr>
                <w:rFonts w:eastAsia="Times New Roman" w:cs="Arial"/>
                <w:color w:val="000000"/>
                <w:sz w:val="20"/>
                <w:szCs w:val="20"/>
                <w:lang w:eastAsia="ca-ES"/>
              </w:rPr>
            </w:pPr>
            <w:r w:rsidRPr="00647306">
              <w:rPr>
                <w:rFonts w:eastAsia="Times New Roman" w:cs="Arial"/>
                <w:color w:val="000000"/>
                <w:sz w:val="20"/>
                <w:szCs w:val="20"/>
                <w:lang w:eastAsia="ca-ES"/>
              </w:rPr>
              <w:t>Salvador Dalí</w:t>
            </w:r>
          </w:p>
        </w:tc>
        <w:tc>
          <w:tcPr>
            <w:tcW w:w="1276" w:type="dxa"/>
            <w:tcBorders>
              <w:top w:val="single" w:sz="4" w:space="0" w:color="auto"/>
              <w:left w:val="nil"/>
              <w:bottom w:val="single" w:sz="4" w:space="0" w:color="auto"/>
              <w:right w:val="nil"/>
            </w:tcBorders>
            <w:shd w:val="clear" w:color="auto" w:fill="auto"/>
            <w:noWrap/>
            <w:vAlign w:val="center"/>
            <w:hideMark/>
          </w:tcPr>
          <w:p w:rsidR="006A4109" w:rsidRPr="00647306" w:rsidRDefault="006A4109" w:rsidP="00E930B2">
            <w:pPr>
              <w:rPr>
                <w:rFonts w:eastAsia="Times New Roman" w:cs="Arial"/>
                <w:color w:val="000000"/>
                <w:sz w:val="20"/>
                <w:szCs w:val="20"/>
                <w:lang w:eastAsia="ca-ES"/>
              </w:rPr>
            </w:pPr>
            <w:r w:rsidRPr="00647306">
              <w:rPr>
                <w:rFonts w:eastAsia="Times New Roman" w:cs="Arial"/>
                <w:color w:val="000000"/>
                <w:sz w:val="20"/>
                <w:szCs w:val="20"/>
                <w:lang w:eastAsia="ca-ES"/>
              </w:rPr>
              <w:t>1</w:t>
            </w:r>
          </w:p>
        </w:tc>
        <w:tc>
          <w:tcPr>
            <w:tcW w:w="1216" w:type="dxa"/>
            <w:tcBorders>
              <w:top w:val="single" w:sz="4" w:space="0" w:color="auto"/>
              <w:left w:val="nil"/>
              <w:bottom w:val="single" w:sz="4" w:space="0" w:color="auto"/>
              <w:right w:val="nil"/>
            </w:tcBorders>
            <w:shd w:val="clear" w:color="auto" w:fill="auto"/>
            <w:noWrap/>
            <w:vAlign w:val="center"/>
            <w:hideMark/>
          </w:tcPr>
          <w:p w:rsidR="006A4109" w:rsidRPr="00647306" w:rsidRDefault="006A4109" w:rsidP="00E930B2">
            <w:pPr>
              <w:rPr>
                <w:rFonts w:eastAsia="Times New Roman" w:cs="Arial"/>
                <w:color w:val="000000"/>
                <w:sz w:val="20"/>
                <w:szCs w:val="20"/>
                <w:lang w:eastAsia="ca-ES"/>
              </w:rPr>
            </w:pPr>
            <w:r w:rsidRPr="00647306">
              <w:rPr>
                <w:rFonts w:eastAsia="Times New Roman" w:cs="Arial"/>
                <w:color w:val="000000"/>
                <w:sz w:val="20"/>
                <w:szCs w:val="20"/>
                <w:lang w:eastAsia="ca-ES"/>
              </w:rPr>
              <w:t>3</w:t>
            </w:r>
          </w:p>
        </w:tc>
        <w:tc>
          <w:tcPr>
            <w:tcW w:w="1160" w:type="dxa"/>
            <w:tcBorders>
              <w:top w:val="single" w:sz="4" w:space="0" w:color="auto"/>
              <w:left w:val="nil"/>
              <w:bottom w:val="single" w:sz="4" w:space="0" w:color="auto"/>
              <w:right w:val="nil"/>
            </w:tcBorders>
            <w:shd w:val="clear" w:color="auto" w:fill="auto"/>
            <w:noWrap/>
            <w:vAlign w:val="center"/>
            <w:hideMark/>
          </w:tcPr>
          <w:p w:rsidR="006A4109" w:rsidRPr="00647306" w:rsidRDefault="006A4109" w:rsidP="00E930B2">
            <w:pPr>
              <w:rPr>
                <w:rFonts w:eastAsia="Times New Roman" w:cs="Arial"/>
                <w:color w:val="000000"/>
                <w:sz w:val="20"/>
                <w:szCs w:val="20"/>
                <w:lang w:eastAsia="ca-ES"/>
              </w:rPr>
            </w:pPr>
            <w:r w:rsidRPr="00647306">
              <w:rPr>
                <w:rFonts w:eastAsia="Times New Roman" w:cs="Arial"/>
                <w:color w:val="000000"/>
                <w:sz w:val="20"/>
                <w:szCs w:val="20"/>
                <w:lang w:eastAsia="ca-ES"/>
              </w:rPr>
              <w:t>18</w:t>
            </w:r>
          </w:p>
        </w:tc>
        <w:tc>
          <w:tcPr>
            <w:tcW w:w="1160" w:type="dxa"/>
            <w:tcBorders>
              <w:top w:val="single" w:sz="4" w:space="0" w:color="auto"/>
              <w:left w:val="nil"/>
              <w:bottom w:val="single" w:sz="4" w:space="0" w:color="auto"/>
              <w:right w:val="nil"/>
            </w:tcBorders>
            <w:shd w:val="clear" w:color="auto" w:fill="auto"/>
            <w:noWrap/>
            <w:vAlign w:val="center"/>
            <w:hideMark/>
          </w:tcPr>
          <w:p w:rsidR="006A4109" w:rsidRPr="00647306" w:rsidRDefault="006A4109" w:rsidP="00E930B2">
            <w:pPr>
              <w:rPr>
                <w:rFonts w:eastAsia="Times New Roman" w:cs="Arial"/>
                <w:color w:val="000000"/>
                <w:sz w:val="20"/>
                <w:szCs w:val="20"/>
                <w:lang w:eastAsia="ca-ES"/>
              </w:rPr>
            </w:pPr>
            <w:r w:rsidRPr="00647306">
              <w:rPr>
                <w:rFonts w:eastAsia="Times New Roman" w:cs="Arial"/>
                <w:color w:val="000000"/>
                <w:sz w:val="20"/>
                <w:szCs w:val="20"/>
                <w:lang w:eastAsia="ca-ES"/>
              </w:rPr>
              <w:t>22</w:t>
            </w:r>
          </w:p>
        </w:tc>
      </w:tr>
      <w:tr w:rsidR="006A4109" w:rsidRPr="00F02D52" w:rsidTr="00E930B2">
        <w:trPr>
          <w:trHeight w:val="20"/>
        </w:trPr>
        <w:tc>
          <w:tcPr>
            <w:tcW w:w="1902" w:type="dxa"/>
            <w:tcBorders>
              <w:top w:val="single" w:sz="4" w:space="0" w:color="auto"/>
              <w:left w:val="nil"/>
              <w:bottom w:val="single" w:sz="4" w:space="0" w:color="auto"/>
              <w:right w:val="nil"/>
            </w:tcBorders>
            <w:shd w:val="clear" w:color="auto" w:fill="auto"/>
            <w:noWrap/>
            <w:vAlign w:val="center"/>
            <w:hideMark/>
          </w:tcPr>
          <w:p w:rsidR="006A4109" w:rsidRPr="00647306" w:rsidRDefault="006A4109" w:rsidP="00E930B2">
            <w:pPr>
              <w:rPr>
                <w:rFonts w:eastAsia="Times New Roman" w:cs="Arial"/>
                <w:color w:val="000000"/>
                <w:sz w:val="20"/>
                <w:szCs w:val="20"/>
                <w:lang w:eastAsia="ca-ES"/>
              </w:rPr>
            </w:pPr>
            <w:r w:rsidRPr="00647306">
              <w:rPr>
                <w:rFonts w:eastAsia="Times New Roman" w:cs="Arial"/>
                <w:color w:val="000000"/>
                <w:sz w:val="20"/>
                <w:szCs w:val="20"/>
                <w:lang w:eastAsia="ca-ES"/>
              </w:rPr>
              <w:t>Brians 1</w:t>
            </w:r>
          </w:p>
        </w:tc>
        <w:tc>
          <w:tcPr>
            <w:tcW w:w="2224" w:type="dxa"/>
            <w:tcBorders>
              <w:top w:val="single" w:sz="4" w:space="0" w:color="auto"/>
              <w:left w:val="nil"/>
              <w:bottom w:val="single" w:sz="4" w:space="0" w:color="auto"/>
              <w:right w:val="nil"/>
            </w:tcBorders>
            <w:shd w:val="clear" w:color="auto" w:fill="auto"/>
            <w:noWrap/>
            <w:vAlign w:val="center"/>
            <w:hideMark/>
          </w:tcPr>
          <w:p w:rsidR="006A4109" w:rsidRPr="00647306" w:rsidRDefault="006A4109" w:rsidP="00E930B2">
            <w:pPr>
              <w:rPr>
                <w:rFonts w:eastAsia="Times New Roman" w:cs="Arial"/>
                <w:color w:val="000000"/>
                <w:sz w:val="20"/>
                <w:szCs w:val="20"/>
                <w:lang w:eastAsia="ca-ES"/>
              </w:rPr>
            </w:pPr>
            <w:r w:rsidRPr="00647306">
              <w:rPr>
                <w:rFonts w:eastAsia="Times New Roman" w:cs="Arial"/>
                <w:color w:val="000000"/>
                <w:sz w:val="20"/>
                <w:szCs w:val="20"/>
                <w:lang w:eastAsia="ca-ES"/>
              </w:rPr>
              <w:t>Artur Martorell</w:t>
            </w:r>
          </w:p>
        </w:tc>
        <w:tc>
          <w:tcPr>
            <w:tcW w:w="1276" w:type="dxa"/>
            <w:tcBorders>
              <w:top w:val="single" w:sz="4" w:space="0" w:color="auto"/>
              <w:left w:val="nil"/>
              <w:bottom w:val="single" w:sz="4" w:space="0" w:color="auto"/>
              <w:right w:val="nil"/>
            </w:tcBorders>
            <w:shd w:val="clear" w:color="auto" w:fill="auto"/>
            <w:noWrap/>
            <w:vAlign w:val="center"/>
            <w:hideMark/>
          </w:tcPr>
          <w:p w:rsidR="006A4109" w:rsidRPr="00647306" w:rsidRDefault="006A4109" w:rsidP="00E930B2">
            <w:pPr>
              <w:rPr>
                <w:rFonts w:eastAsia="Times New Roman" w:cs="Arial"/>
                <w:color w:val="000000"/>
                <w:sz w:val="20"/>
                <w:szCs w:val="20"/>
                <w:lang w:eastAsia="ca-ES"/>
              </w:rPr>
            </w:pPr>
            <w:r w:rsidRPr="00647306">
              <w:rPr>
                <w:rFonts w:eastAsia="Times New Roman" w:cs="Arial"/>
                <w:color w:val="000000"/>
                <w:sz w:val="20"/>
                <w:szCs w:val="20"/>
                <w:lang w:eastAsia="ca-ES"/>
              </w:rPr>
              <w:t>1</w:t>
            </w:r>
          </w:p>
        </w:tc>
        <w:tc>
          <w:tcPr>
            <w:tcW w:w="1216" w:type="dxa"/>
            <w:tcBorders>
              <w:top w:val="single" w:sz="4" w:space="0" w:color="auto"/>
              <w:left w:val="nil"/>
              <w:bottom w:val="single" w:sz="4" w:space="0" w:color="auto"/>
              <w:right w:val="nil"/>
            </w:tcBorders>
            <w:shd w:val="clear" w:color="auto" w:fill="auto"/>
            <w:noWrap/>
            <w:vAlign w:val="center"/>
            <w:hideMark/>
          </w:tcPr>
          <w:p w:rsidR="006A4109" w:rsidRPr="00647306" w:rsidRDefault="006A4109" w:rsidP="00E930B2">
            <w:pPr>
              <w:rPr>
                <w:rFonts w:eastAsia="Times New Roman" w:cs="Arial"/>
                <w:color w:val="000000"/>
                <w:sz w:val="20"/>
                <w:szCs w:val="20"/>
                <w:lang w:eastAsia="ca-ES"/>
              </w:rPr>
            </w:pPr>
            <w:r w:rsidRPr="00647306">
              <w:rPr>
                <w:rFonts w:eastAsia="Times New Roman" w:cs="Arial"/>
                <w:color w:val="000000"/>
                <w:sz w:val="20"/>
                <w:szCs w:val="20"/>
                <w:lang w:eastAsia="ca-ES"/>
              </w:rPr>
              <w:t>4</w:t>
            </w:r>
          </w:p>
        </w:tc>
        <w:tc>
          <w:tcPr>
            <w:tcW w:w="1160" w:type="dxa"/>
            <w:tcBorders>
              <w:top w:val="single" w:sz="4" w:space="0" w:color="auto"/>
              <w:left w:val="nil"/>
              <w:bottom w:val="single" w:sz="4" w:space="0" w:color="auto"/>
              <w:right w:val="nil"/>
            </w:tcBorders>
            <w:shd w:val="clear" w:color="auto" w:fill="auto"/>
            <w:noWrap/>
            <w:vAlign w:val="center"/>
            <w:hideMark/>
          </w:tcPr>
          <w:p w:rsidR="006A4109" w:rsidRPr="00647306" w:rsidRDefault="006A4109" w:rsidP="00E930B2">
            <w:pPr>
              <w:rPr>
                <w:rFonts w:eastAsia="Times New Roman" w:cs="Arial"/>
                <w:color w:val="000000"/>
                <w:sz w:val="20"/>
                <w:szCs w:val="20"/>
                <w:lang w:eastAsia="ca-ES"/>
              </w:rPr>
            </w:pPr>
            <w:r w:rsidRPr="00647306">
              <w:rPr>
                <w:rFonts w:eastAsia="Times New Roman" w:cs="Arial"/>
                <w:color w:val="000000"/>
                <w:sz w:val="20"/>
                <w:szCs w:val="20"/>
                <w:lang w:eastAsia="ca-ES"/>
              </w:rPr>
              <w:t>16</w:t>
            </w:r>
          </w:p>
        </w:tc>
        <w:tc>
          <w:tcPr>
            <w:tcW w:w="1160" w:type="dxa"/>
            <w:tcBorders>
              <w:top w:val="single" w:sz="4" w:space="0" w:color="auto"/>
              <w:left w:val="nil"/>
              <w:bottom w:val="single" w:sz="4" w:space="0" w:color="auto"/>
              <w:right w:val="nil"/>
            </w:tcBorders>
            <w:shd w:val="clear" w:color="auto" w:fill="auto"/>
            <w:noWrap/>
            <w:vAlign w:val="center"/>
            <w:hideMark/>
          </w:tcPr>
          <w:p w:rsidR="006A4109" w:rsidRPr="00647306" w:rsidRDefault="006A4109" w:rsidP="00E930B2">
            <w:pPr>
              <w:rPr>
                <w:rFonts w:eastAsia="Times New Roman" w:cs="Arial"/>
                <w:color w:val="000000"/>
                <w:sz w:val="20"/>
                <w:szCs w:val="20"/>
                <w:lang w:eastAsia="ca-ES"/>
              </w:rPr>
            </w:pPr>
            <w:r w:rsidRPr="00647306">
              <w:rPr>
                <w:rFonts w:eastAsia="Times New Roman" w:cs="Arial"/>
                <w:color w:val="000000"/>
                <w:sz w:val="20"/>
                <w:szCs w:val="20"/>
                <w:lang w:eastAsia="ca-ES"/>
              </w:rPr>
              <w:t>21</w:t>
            </w:r>
          </w:p>
        </w:tc>
      </w:tr>
      <w:tr w:rsidR="006A4109" w:rsidRPr="00F02D52" w:rsidTr="00E930B2">
        <w:trPr>
          <w:trHeight w:val="20"/>
        </w:trPr>
        <w:tc>
          <w:tcPr>
            <w:tcW w:w="1902" w:type="dxa"/>
            <w:tcBorders>
              <w:top w:val="single" w:sz="4" w:space="0" w:color="auto"/>
              <w:left w:val="nil"/>
              <w:bottom w:val="single" w:sz="4" w:space="0" w:color="auto"/>
              <w:right w:val="nil"/>
            </w:tcBorders>
            <w:shd w:val="clear" w:color="auto" w:fill="auto"/>
            <w:noWrap/>
            <w:vAlign w:val="center"/>
            <w:hideMark/>
          </w:tcPr>
          <w:p w:rsidR="006A4109" w:rsidRPr="00647306" w:rsidRDefault="006A4109" w:rsidP="00E930B2">
            <w:pPr>
              <w:rPr>
                <w:rFonts w:eastAsia="Times New Roman" w:cs="Arial"/>
                <w:color w:val="000000"/>
                <w:sz w:val="20"/>
                <w:szCs w:val="20"/>
                <w:lang w:eastAsia="ca-ES"/>
              </w:rPr>
            </w:pPr>
            <w:r w:rsidRPr="00647306">
              <w:rPr>
                <w:rFonts w:eastAsia="Times New Roman" w:cs="Arial"/>
                <w:color w:val="000000"/>
                <w:sz w:val="20"/>
                <w:szCs w:val="20"/>
                <w:lang w:eastAsia="ca-ES"/>
              </w:rPr>
              <w:t>Brians 2</w:t>
            </w:r>
          </w:p>
        </w:tc>
        <w:tc>
          <w:tcPr>
            <w:tcW w:w="2224" w:type="dxa"/>
            <w:tcBorders>
              <w:top w:val="single" w:sz="4" w:space="0" w:color="auto"/>
              <w:left w:val="nil"/>
              <w:bottom w:val="single" w:sz="4" w:space="0" w:color="auto"/>
              <w:right w:val="nil"/>
            </w:tcBorders>
            <w:shd w:val="clear" w:color="auto" w:fill="auto"/>
            <w:noWrap/>
            <w:vAlign w:val="center"/>
            <w:hideMark/>
          </w:tcPr>
          <w:p w:rsidR="006A4109" w:rsidRPr="00647306" w:rsidRDefault="006A4109" w:rsidP="00E930B2">
            <w:pPr>
              <w:rPr>
                <w:rFonts w:eastAsia="Times New Roman" w:cs="Arial"/>
                <w:color w:val="000000"/>
                <w:sz w:val="20"/>
                <w:szCs w:val="20"/>
                <w:lang w:eastAsia="ca-ES"/>
              </w:rPr>
            </w:pPr>
            <w:r w:rsidRPr="00647306">
              <w:rPr>
                <w:rFonts w:eastAsia="Times New Roman" w:cs="Arial"/>
                <w:color w:val="000000"/>
                <w:sz w:val="20"/>
                <w:szCs w:val="20"/>
                <w:lang w:eastAsia="ca-ES"/>
              </w:rPr>
              <w:t>Víctor Català</w:t>
            </w:r>
          </w:p>
        </w:tc>
        <w:tc>
          <w:tcPr>
            <w:tcW w:w="1276" w:type="dxa"/>
            <w:tcBorders>
              <w:top w:val="single" w:sz="4" w:space="0" w:color="auto"/>
              <w:left w:val="nil"/>
              <w:bottom w:val="single" w:sz="4" w:space="0" w:color="auto"/>
              <w:right w:val="nil"/>
            </w:tcBorders>
            <w:shd w:val="clear" w:color="auto" w:fill="auto"/>
            <w:noWrap/>
            <w:vAlign w:val="center"/>
            <w:hideMark/>
          </w:tcPr>
          <w:p w:rsidR="006A4109" w:rsidRPr="00647306" w:rsidRDefault="006A4109" w:rsidP="00E930B2">
            <w:pPr>
              <w:rPr>
                <w:rFonts w:eastAsia="Times New Roman" w:cs="Arial"/>
                <w:color w:val="000000"/>
                <w:sz w:val="20"/>
                <w:szCs w:val="20"/>
                <w:lang w:eastAsia="ca-ES"/>
              </w:rPr>
            </w:pPr>
            <w:r w:rsidRPr="00647306">
              <w:rPr>
                <w:rFonts w:eastAsia="Times New Roman" w:cs="Arial"/>
                <w:color w:val="000000"/>
                <w:sz w:val="20"/>
                <w:szCs w:val="20"/>
                <w:lang w:eastAsia="ca-ES"/>
              </w:rPr>
              <w:t>1</w:t>
            </w:r>
          </w:p>
        </w:tc>
        <w:tc>
          <w:tcPr>
            <w:tcW w:w="1216" w:type="dxa"/>
            <w:tcBorders>
              <w:top w:val="single" w:sz="4" w:space="0" w:color="auto"/>
              <w:left w:val="nil"/>
              <w:bottom w:val="single" w:sz="4" w:space="0" w:color="auto"/>
              <w:right w:val="nil"/>
            </w:tcBorders>
            <w:shd w:val="clear" w:color="auto" w:fill="auto"/>
            <w:noWrap/>
            <w:vAlign w:val="center"/>
            <w:hideMark/>
          </w:tcPr>
          <w:p w:rsidR="006A4109" w:rsidRPr="00647306" w:rsidRDefault="006A4109" w:rsidP="00E930B2">
            <w:pPr>
              <w:rPr>
                <w:rFonts w:eastAsia="Times New Roman" w:cs="Arial"/>
                <w:color w:val="000000"/>
                <w:sz w:val="20"/>
                <w:szCs w:val="20"/>
                <w:lang w:eastAsia="ca-ES"/>
              </w:rPr>
            </w:pPr>
            <w:r w:rsidRPr="00647306">
              <w:rPr>
                <w:rFonts w:eastAsia="Times New Roman" w:cs="Arial"/>
                <w:color w:val="000000"/>
                <w:sz w:val="20"/>
                <w:szCs w:val="20"/>
                <w:lang w:eastAsia="ca-ES"/>
              </w:rPr>
              <w:t>4</w:t>
            </w:r>
          </w:p>
        </w:tc>
        <w:tc>
          <w:tcPr>
            <w:tcW w:w="1160" w:type="dxa"/>
            <w:tcBorders>
              <w:top w:val="single" w:sz="4" w:space="0" w:color="auto"/>
              <w:left w:val="nil"/>
              <w:bottom w:val="single" w:sz="4" w:space="0" w:color="auto"/>
              <w:right w:val="nil"/>
            </w:tcBorders>
            <w:shd w:val="clear" w:color="auto" w:fill="auto"/>
            <w:noWrap/>
            <w:vAlign w:val="center"/>
            <w:hideMark/>
          </w:tcPr>
          <w:p w:rsidR="006A4109" w:rsidRPr="00647306" w:rsidRDefault="006A4109" w:rsidP="00E930B2">
            <w:pPr>
              <w:rPr>
                <w:rFonts w:eastAsia="Times New Roman" w:cs="Arial"/>
                <w:color w:val="000000"/>
                <w:sz w:val="20"/>
                <w:szCs w:val="20"/>
                <w:lang w:eastAsia="ca-ES"/>
              </w:rPr>
            </w:pPr>
            <w:r w:rsidRPr="00647306">
              <w:rPr>
                <w:rFonts w:eastAsia="Times New Roman" w:cs="Arial"/>
                <w:color w:val="000000"/>
                <w:sz w:val="20"/>
                <w:szCs w:val="20"/>
                <w:lang w:eastAsia="ca-ES"/>
              </w:rPr>
              <w:t>16</w:t>
            </w:r>
          </w:p>
        </w:tc>
        <w:tc>
          <w:tcPr>
            <w:tcW w:w="1160" w:type="dxa"/>
            <w:tcBorders>
              <w:top w:val="single" w:sz="4" w:space="0" w:color="auto"/>
              <w:left w:val="nil"/>
              <w:bottom w:val="single" w:sz="4" w:space="0" w:color="auto"/>
              <w:right w:val="nil"/>
            </w:tcBorders>
            <w:shd w:val="clear" w:color="auto" w:fill="auto"/>
            <w:noWrap/>
            <w:vAlign w:val="center"/>
            <w:hideMark/>
          </w:tcPr>
          <w:p w:rsidR="006A4109" w:rsidRPr="00647306" w:rsidRDefault="006A4109" w:rsidP="00E930B2">
            <w:pPr>
              <w:rPr>
                <w:rFonts w:eastAsia="Times New Roman" w:cs="Arial"/>
                <w:color w:val="000000"/>
                <w:sz w:val="20"/>
                <w:szCs w:val="20"/>
                <w:lang w:eastAsia="ca-ES"/>
              </w:rPr>
            </w:pPr>
            <w:r w:rsidRPr="00647306">
              <w:rPr>
                <w:rFonts w:eastAsia="Times New Roman" w:cs="Arial"/>
                <w:color w:val="000000"/>
                <w:sz w:val="20"/>
                <w:szCs w:val="20"/>
                <w:lang w:eastAsia="ca-ES"/>
              </w:rPr>
              <w:t>21</w:t>
            </w:r>
          </w:p>
        </w:tc>
      </w:tr>
      <w:tr w:rsidR="006A4109" w:rsidRPr="00F02D52" w:rsidTr="00E930B2">
        <w:trPr>
          <w:trHeight w:val="20"/>
        </w:trPr>
        <w:tc>
          <w:tcPr>
            <w:tcW w:w="1902" w:type="dxa"/>
            <w:tcBorders>
              <w:top w:val="single" w:sz="4" w:space="0" w:color="auto"/>
              <w:left w:val="nil"/>
              <w:bottom w:val="single" w:sz="4" w:space="0" w:color="auto"/>
              <w:right w:val="nil"/>
            </w:tcBorders>
            <w:shd w:val="clear" w:color="auto" w:fill="auto"/>
            <w:noWrap/>
            <w:vAlign w:val="center"/>
            <w:hideMark/>
          </w:tcPr>
          <w:p w:rsidR="006A4109" w:rsidRPr="00647306" w:rsidRDefault="006A4109" w:rsidP="00E930B2">
            <w:pPr>
              <w:rPr>
                <w:rFonts w:eastAsia="Times New Roman" w:cs="Arial"/>
                <w:color w:val="000000"/>
                <w:sz w:val="20"/>
                <w:szCs w:val="20"/>
                <w:lang w:eastAsia="ca-ES"/>
              </w:rPr>
            </w:pPr>
            <w:r w:rsidRPr="00647306">
              <w:rPr>
                <w:rFonts w:eastAsia="Times New Roman" w:cs="Arial"/>
                <w:color w:val="000000"/>
                <w:sz w:val="20"/>
                <w:szCs w:val="20"/>
                <w:lang w:eastAsia="ca-ES"/>
              </w:rPr>
              <w:t>Ponent</w:t>
            </w:r>
          </w:p>
        </w:tc>
        <w:tc>
          <w:tcPr>
            <w:tcW w:w="2224" w:type="dxa"/>
            <w:tcBorders>
              <w:top w:val="single" w:sz="4" w:space="0" w:color="auto"/>
              <w:left w:val="nil"/>
              <w:bottom w:val="single" w:sz="4" w:space="0" w:color="auto"/>
              <w:right w:val="nil"/>
            </w:tcBorders>
            <w:shd w:val="clear" w:color="auto" w:fill="auto"/>
            <w:noWrap/>
            <w:vAlign w:val="center"/>
            <w:hideMark/>
          </w:tcPr>
          <w:p w:rsidR="006A4109" w:rsidRPr="00647306" w:rsidRDefault="006A4109" w:rsidP="00E930B2">
            <w:pPr>
              <w:rPr>
                <w:rFonts w:eastAsia="Times New Roman" w:cs="Arial"/>
                <w:color w:val="000000"/>
                <w:sz w:val="20"/>
                <w:szCs w:val="20"/>
                <w:lang w:eastAsia="ca-ES"/>
              </w:rPr>
            </w:pPr>
            <w:r w:rsidRPr="00647306">
              <w:rPr>
                <w:rFonts w:eastAsia="Times New Roman" w:cs="Arial"/>
                <w:color w:val="000000"/>
                <w:sz w:val="20"/>
                <w:szCs w:val="20"/>
                <w:lang w:eastAsia="ca-ES"/>
              </w:rPr>
              <w:t>Enric Granados</w:t>
            </w:r>
          </w:p>
        </w:tc>
        <w:tc>
          <w:tcPr>
            <w:tcW w:w="1276" w:type="dxa"/>
            <w:tcBorders>
              <w:top w:val="single" w:sz="4" w:space="0" w:color="auto"/>
              <w:left w:val="nil"/>
              <w:bottom w:val="single" w:sz="4" w:space="0" w:color="auto"/>
              <w:right w:val="nil"/>
            </w:tcBorders>
            <w:shd w:val="clear" w:color="auto" w:fill="auto"/>
            <w:noWrap/>
            <w:vAlign w:val="center"/>
            <w:hideMark/>
          </w:tcPr>
          <w:p w:rsidR="006A4109" w:rsidRPr="00647306" w:rsidRDefault="006A4109" w:rsidP="00E930B2">
            <w:pPr>
              <w:rPr>
                <w:rFonts w:eastAsia="Times New Roman" w:cs="Arial"/>
                <w:color w:val="000000"/>
                <w:sz w:val="20"/>
                <w:szCs w:val="20"/>
                <w:lang w:eastAsia="ca-ES"/>
              </w:rPr>
            </w:pPr>
            <w:r w:rsidRPr="00647306">
              <w:rPr>
                <w:rFonts w:eastAsia="Times New Roman" w:cs="Arial"/>
                <w:color w:val="000000"/>
                <w:sz w:val="20"/>
                <w:szCs w:val="20"/>
                <w:lang w:eastAsia="ca-ES"/>
              </w:rPr>
              <w:t>1</w:t>
            </w:r>
          </w:p>
        </w:tc>
        <w:tc>
          <w:tcPr>
            <w:tcW w:w="1216" w:type="dxa"/>
            <w:tcBorders>
              <w:top w:val="single" w:sz="4" w:space="0" w:color="auto"/>
              <w:left w:val="nil"/>
              <w:bottom w:val="single" w:sz="4" w:space="0" w:color="auto"/>
              <w:right w:val="nil"/>
            </w:tcBorders>
            <w:shd w:val="clear" w:color="auto" w:fill="auto"/>
            <w:noWrap/>
            <w:vAlign w:val="center"/>
            <w:hideMark/>
          </w:tcPr>
          <w:p w:rsidR="006A4109" w:rsidRPr="00647306" w:rsidRDefault="006A4109" w:rsidP="00E930B2">
            <w:pPr>
              <w:rPr>
                <w:rFonts w:eastAsia="Times New Roman" w:cs="Arial"/>
                <w:color w:val="000000"/>
                <w:sz w:val="20"/>
                <w:szCs w:val="20"/>
                <w:lang w:eastAsia="ca-ES"/>
              </w:rPr>
            </w:pPr>
            <w:r w:rsidRPr="00647306">
              <w:rPr>
                <w:rFonts w:eastAsia="Times New Roman" w:cs="Arial"/>
                <w:color w:val="000000"/>
                <w:sz w:val="20"/>
                <w:szCs w:val="20"/>
                <w:lang w:eastAsia="ca-ES"/>
              </w:rPr>
              <w:t>2</w:t>
            </w:r>
          </w:p>
        </w:tc>
        <w:tc>
          <w:tcPr>
            <w:tcW w:w="1160" w:type="dxa"/>
            <w:tcBorders>
              <w:top w:val="single" w:sz="4" w:space="0" w:color="auto"/>
              <w:left w:val="nil"/>
              <w:bottom w:val="single" w:sz="4" w:space="0" w:color="auto"/>
              <w:right w:val="nil"/>
            </w:tcBorders>
            <w:shd w:val="clear" w:color="auto" w:fill="auto"/>
            <w:noWrap/>
            <w:vAlign w:val="center"/>
            <w:hideMark/>
          </w:tcPr>
          <w:p w:rsidR="006A4109" w:rsidRPr="00647306" w:rsidRDefault="006A4109" w:rsidP="00E930B2">
            <w:pPr>
              <w:rPr>
                <w:rFonts w:eastAsia="Times New Roman" w:cs="Arial"/>
                <w:color w:val="000000"/>
                <w:sz w:val="20"/>
                <w:szCs w:val="20"/>
                <w:lang w:eastAsia="ca-ES"/>
              </w:rPr>
            </w:pPr>
            <w:r w:rsidRPr="00647306">
              <w:rPr>
                <w:rFonts w:eastAsia="Times New Roman" w:cs="Arial"/>
                <w:color w:val="000000"/>
                <w:sz w:val="20"/>
                <w:szCs w:val="20"/>
                <w:lang w:eastAsia="ca-ES"/>
              </w:rPr>
              <w:t>11</w:t>
            </w:r>
          </w:p>
        </w:tc>
        <w:tc>
          <w:tcPr>
            <w:tcW w:w="1160" w:type="dxa"/>
            <w:tcBorders>
              <w:top w:val="single" w:sz="4" w:space="0" w:color="auto"/>
              <w:left w:val="nil"/>
              <w:bottom w:val="single" w:sz="4" w:space="0" w:color="auto"/>
              <w:right w:val="nil"/>
            </w:tcBorders>
            <w:shd w:val="clear" w:color="auto" w:fill="auto"/>
            <w:noWrap/>
            <w:vAlign w:val="center"/>
            <w:hideMark/>
          </w:tcPr>
          <w:p w:rsidR="006A4109" w:rsidRPr="00647306" w:rsidRDefault="006A4109" w:rsidP="00E930B2">
            <w:pPr>
              <w:rPr>
                <w:rFonts w:eastAsia="Times New Roman" w:cs="Arial"/>
                <w:color w:val="000000"/>
                <w:sz w:val="20"/>
                <w:szCs w:val="20"/>
                <w:lang w:eastAsia="ca-ES"/>
              </w:rPr>
            </w:pPr>
            <w:r w:rsidRPr="00647306">
              <w:rPr>
                <w:rFonts w:eastAsia="Times New Roman" w:cs="Arial"/>
                <w:color w:val="000000"/>
                <w:sz w:val="20"/>
                <w:szCs w:val="20"/>
                <w:lang w:eastAsia="ca-ES"/>
              </w:rPr>
              <w:t>14</w:t>
            </w:r>
          </w:p>
        </w:tc>
      </w:tr>
      <w:tr w:rsidR="006A4109" w:rsidRPr="00F02D52" w:rsidTr="00E930B2">
        <w:trPr>
          <w:trHeight w:val="20"/>
        </w:trPr>
        <w:tc>
          <w:tcPr>
            <w:tcW w:w="1902" w:type="dxa"/>
            <w:tcBorders>
              <w:top w:val="single" w:sz="4" w:space="0" w:color="auto"/>
              <w:left w:val="nil"/>
              <w:bottom w:val="single" w:sz="4" w:space="0" w:color="auto"/>
              <w:right w:val="nil"/>
            </w:tcBorders>
            <w:shd w:val="clear" w:color="auto" w:fill="auto"/>
            <w:noWrap/>
            <w:vAlign w:val="center"/>
            <w:hideMark/>
          </w:tcPr>
          <w:p w:rsidR="006A4109" w:rsidRPr="00647306" w:rsidRDefault="006A4109" w:rsidP="00E930B2">
            <w:pPr>
              <w:rPr>
                <w:rFonts w:eastAsia="Times New Roman" w:cs="Arial"/>
                <w:color w:val="000000"/>
                <w:sz w:val="20"/>
                <w:szCs w:val="20"/>
                <w:lang w:eastAsia="ca-ES"/>
              </w:rPr>
            </w:pPr>
            <w:r w:rsidRPr="00647306">
              <w:rPr>
                <w:rFonts w:eastAsia="Times New Roman" w:cs="Arial"/>
                <w:color w:val="000000"/>
                <w:sz w:val="20"/>
                <w:szCs w:val="20"/>
                <w:lang w:eastAsia="ca-ES"/>
              </w:rPr>
              <w:lastRenderedPageBreak/>
              <w:t>Mas d'Enric</w:t>
            </w:r>
          </w:p>
        </w:tc>
        <w:tc>
          <w:tcPr>
            <w:tcW w:w="2224" w:type="dxa"/>
            <w:tcBorders>
              <w:top w:val="single" w:sz="4" w:space="0" w:color="auto"/>
              <w:left w:val="nil"/>
              <w:bottom w:val="single" w:sz="4" w:space="0" w:color="auto"/>
              <w:right w:val="nil"/>
            </w:tcBorders>
            <w:shd w:val="clear" w:color="auto" w:fill="auto"/>
            <w:noWrap/>
            <w:vAlign w:val="center"/>
            <w:hideMark/>
          </w:tcPr>
          <w:p w:rsidR="006A4109" w:rsidRPr="00647306" w:rsidRDefault="006A4109" w:rsidP="00E930B2">
            <w:pPr>
              <w:rPr>
                <w:rFonts w:eastAsia="Times New Roman" w:cs="Arial"/>
                <w:color w:val="000000"/>
                <w:sz w:val="20"/>
                <w:szCs w:val="20"/>
                <w:lang w:eastAsia="ca-ES"/>
              </w:rPr>
            </w:pPr>
            <w:r w:rsidRPr="00647306">
              <w:rPr>
                <w:rFonts w:eastAsia="Times New Roman" w:cs="Arial"/>
                <w:color w:val="000000"/>
                <w:sz w:val="20"/>
                <w:szCs w:val="20"/>
                <w:lang w:eastAsia="ca-ES"/>
              </w:rPr>
              <w:t>Pau Casals</w:t>
            </w:r>
          </w:p>
        </w:tc>
        <w:tc>
          <w:tcPr>
            <w:tcW w:w="1276" w:type="dxa"/>
            <w:tcBorders>
              <w:top w:val="single" w:sz="4" w:space="0" w:color="auto"/>
              <w:left w:val="nil"/>
              <w:bottom w:val="single" w:sz="4" w:space="0" w:color="auto"/>
              <w:right w:val="nil"/>
            </w:tcBorders>
            <w:shd w:val="clear" w:color="auto" w:fill="auto"/>
            <w:noWrap/>
            <w:vAlign w:val="center"/>
            <w:hideMark/>
          </w:tcPr>
          <w:p w:rsidR="006A4109" w:rsidRPr="00647306" w:rsidRDefault="006A4109" w:rsidP="00E930B2">
            <w:pPr>
              <w:rPr>
                <w:rFonts w:eastAsia="Times New Roman" w:cs="Arial"/>
                <w:color w:val="000000"/>
                <w:sz w:val="20"/>
                <w:szCs w:val="20"/>
                <w:lang w:eastAsia="ca-ES"/>
              </w:rPr>
            </w:pPr>
            <w:r w:rsidRPr="00647306">
              <w:rPr>
                <w:rFonts w:eastAsia="Times New Roman" w:cs="Arial"/>
                <w:color w:val="000000"/>
                <w:sz w:val="20"/>
                <w:szCs w:val="20"/>
                <w:lang w:eastAsia="ca-ES"/>
              </w:rPr>
              <w:t>1</w:t>
            </w:r>
          </w:p>
        </w:tc>
        <w:tc>
          <w:tcPr>
            <w:tcW w:w="1216" w:type="dxa"/>
            <w:tcBorders>
              <w:top w:val="single" w:sz="4" w:space="0" w:color="auto"/>
              <w:left w:val="nil"/>
              <w:bottom w:val="single" w:sz="4" w:space="0" w:color="auto"/>
              <w:right w:val="nil"/>
            </w:tcBorders>
            <w:shd w:val="clear" w:color="auto" w:fill="auto"/>
            <w:noWrap/>
            <w:vAlign w:val="center"/>
            <w:hideMark/>
          </w:tcPr>
          <w:p w:rsidR="006A4109" w:rsidRPr="00647306" w:rsidRDefault="006A4109" w:rsidP="00E930B2">
            <w:pPr>
              <w:rPr>
                <w:rFonts w:eastAsia="Times New Roman" w:cs="Arial"/>
                <w:color w:val="000000"/>
                <w:sz w:val="20"/>
                <w:szCs w:val="20"/>
                <w:lang w:eastAsia="ca-ES"/>
              </w:rPr>
            </w:pPr>
            <w:r w:rsidRPr="00647306">
              <w:rPr>
                <w:rFonts w:eastAsia="Times New Roman" w:cs="Arial"/>
                <w:color w:val="000000"/>
                <w:sz w:val="20"/>
                <w:szCs w:val="20"/>
                <w:lang w:eastAsia="ca-ES"/>
              </w:rPr>
              <w:t>3</w:t>
            </w:r>
          </w:p>
        </w:tc>
        <w:tc>
          <w:tcPr>
            <w:tcW w:w="1160" w:type="dxa"/>
            <w:tcBorders>
              <w:top w:val="single" w:sz="4" w:space="0" w:color="auto"/>
              <w:left w:val="nil"/>
              <w:bottom w:val="single" w:sz="4" w:space="0" w:color="auto"/>
              <w:right w:val="nil"/>
            </w:tcBorders>
            <w:shd w:val="clear" w:color="auto" w:fill="auto"/>
            <w:noWrap/>
            <w:vAlign w:val="center"/>
            <w:hideMark/>
          </w:tcPr>
          <w:p w:rsidR="006A4109" w:rsidRPr="00647306" w:rsidRDefault="006A4109" w:rsidP="00E930B2">
            <w:pPr>
              <w:rPr>
                <w:rFonts w:eastAsia="Times New Roman" w:cs="Arial"/>
                <w:color w:val="000000"/>
                <w:sz w:val="20"/>
                <w:szCs w:val="20"/>
                <w:lang w:eastAsia="ca-ES"/>
              </w:rPr>
            </w:pPr>
            <w:r w:rsidRPr="00647306">
              <w:rPr>
                <w:rFonts w:eastAsia="Times New Roman" w:cs="Arial"/>
                <w:color w:val="000000"/>
                <w:sz w:val="20"/>
                <w:szCs w:val="20"/>
                <w:lang w:eastAsia="ca-ES"/>
              </w:rPr>
              <w:t>4</w:t>
            </w:r>
          </w:p>
        </w:tc>
        <w:tc>
          <w:tcPr>
            <w:tcW w:w="1160" w:type="dxa"/>
            <w:tcBorders>
              <w:top w:val="single" w:sz="4" w:space="0" w:color="auto"/>
              <w:left w:val="nil"/>
              <w:bottom w:val="single" w:sz="4" w:space="0" w:color="auto"/>
              <w:right w:val="nil"/>
            </w:tcBorders>
            <w:shd w:val="clear" w:color="auto" w:fill="auto"/>
            <w:noWrap/>
            <w:vAlign w:val="center"/>
            <w:hideMark/>
          </w:tcPr>
          <w:p w:rsidR="006A4109" w:rsidRPr="00647306" w:rsidRDefault="006A4109" w:rsidP="00E930B2">
            <w:pPr>
              <w:rPr>
                <w:rFonts w:eastAsia="Times New Roman" w:cs="Arial"/>
                <w:color w:val="000000"/>
                <w:sz w:val="20"/>
                <w:szCs w:val="20"/>
                <w:lang w:eastAsia="ca-ES"/>
              </w:rPr>
            </w:pPr>
            <w:r w:rsidRPr="00647306">
              <w:rPr>
                <w:rFonts w:eastAsia="Times New Roman" w:cs="Arial"/>
                <w:color w:val="000000"/>
                <w:sz w:val="20"/>
                <w:szCs w:val="20"/>
                <w:lang w:eastAsia="ca-ES"/>
              </w:rPr>
              <w:t>8</w:t>
            </w:r>
          </w:p>
        </w:tc>
      </w:tr>
      <w:tr w:rsidR="006A4109" w:rsidRPr="00F02D52" w:rsidTr="00E930B2">
        <w:trPr>
          <w:trHeight w:val="20"/>
        </w:trPr>
        <w:tc>
          <w:tcPr>
            <w:tcW w:w="1902" w:type="dxa"/>
            <w:tcBorders>
              <w:top w:val="single" w:sz="4" w:space="0" w:color="auto"/>
              <w:left w:val="nil"/>
              <w:bottom w:val="single" w:sz="4" w:space="0" w:color="auto"/>
              <w:right w:val="nil"/>
            </w:tcBorders>
            <w:shd w:val="clear" w:color="auto" w:fill="auto"/>
            <w:noWrap/>
            <w:vAlign w:val="center"/>
            <w:hideMark/>
          </w:tcPr>
          <w:p w:rsidR="006A4109" w:rsidRPr="00647306" w:rsidRDefault="006A4109" w:rsidP="00E930B2">
            <w:pPr>
              <w:rPr>
                <w:rFonts w:eastAsia="Times New Roman" w:cs="Arial"/>
                <w:color w:val="000000"/>
                <w:sz w:val="20"/>
                <w:szCs w:val="20"/>
                <w:lang w:eastAsia="ca-ES"/>
              </w:rPr>
            </w:pPr>
            <w:r w:rsidRPr="00647306">
              <w:rPr>
                <w:rFonts w:eastAsia="Times New Roman" w:cs="Arial"/>
                <w:color w:val="000000"/>
                <w:sz w:val="20"/>
                <w:szCs w:val="20"/>
                <w:lang w:eastAsia="ca-ES"/>
              </w:rPr>
              <w:t>Lledoners</w:t>
            </w:r>
          </w:p>
        </w:tc>
        <w:tc>
          <w:tcPr>
            <w:tcW w:w="2224" w:type="dxa"/>
            <w:tcBorders>
              <w:top w:val="single" w:sz="4" w:space="0" w:color="auto"/>
              <w:left w:val="nil"/>
              <w:bottom w:val="single" w:sz="4" w:space="0" w:color="auto"/>
              <w:right w:val="nil"/>
            </w:tcBorders>
            <w:shd w:val="clear" w:color="auto" w:fill="auto"/>
            <w:noWrap/>
            <w:vAlign w:val="center"/>
            <w:hideMark/>
          </w:tcPr>
          <w:p w:rsidR="006A4109" w:rsidRPr="00647306" w:rsidRDefault="006A4109" w:rsidP="00E930B2">
            <w:pPr>
              <w:rPr>
                <w:rFonts w:eastAsia="Times New Roman" w:cs="Arial"/>
                <w:color w:val="000000"/>
                <w:sz w:val="20"/>
                <w:szCs w:val="20"/>
                <w:lang w:eastAsia="ca-ES"/>
              </w:rPr>
            </w:pPr>
            <w:r w:rsidRPr="00647306">
              <w:rPr>
                <w:rFonts w:eastAsia="Times New Roman" w:cs="Arial"/>
                <w:color w:val="000000"/>
                <w:sz w:val="20"/>
                <w:szCs w:val="20"/>
                <w:lang w:eastAsia="ca-ES"/>
              </w:rPr>
              <w:t>Carme Karr</w:t>
            </w:r>
          </w:p>
        </w:tc>
        <w:tc>
          <w:tcPr>
            <w:tcW w:w="1276" w:type="dxa"/>
            <w:tcBorders>
              <w:top w:val="single" w:sz="4" w:space="0" w:color="auto"/>
              <w:left w:val="nil"/>
              <w:bottom w:val="single" w:sz="4" w:space="0" w:color="auto"/>
              <w:right w:val="nil"/>
            </w:tcBorders>
            <w:shd w:val="clear" w:color="auto" w:fill="auto"/>
            <w:noWrap/>
            <w:vAlign w:val="center"/>
            <w:hideMark/>
          </w:tcPr>
          <w:p w:rsidR="006A4109" w:rsidRPr="00647306" w:rsidRDefault="006A4109" w:rsidP="00E930B2">
            <w:pPr>
              <w:rPr>
                <w:rFonts w:eastAsia="Times New Roman" w:cs="Arial"/>
                <w:color w:val="000000"/>
                <w:sz w:val="20"/>
                <w:szCs w:val="20"/>
                <w:lang w:eastAsia="ca-ES"/>
              </w:rPr>
            </w:pPr>
            <w:r w:rsidRPr="00647306">
              <w:rPr>
                <w:rFonts w:eastAsia="Times New Roman" w:cs="Arial"/>
                <w:color w:val="000000"/>
                <w:sz w:val="20"/>
                <w:szCs w:val="20"/>
                <w:lang w:eastAsia="ca-ES"/>
              </w:rPr>
              <w:t>1</w:t>
            </w:r>
          </w:p>
        </w:tc>
        <w:tc>
          <w:tcPr>
            <w:tcW w:w="1216" w:type="dxa"/>
            <w:tcBorders>
              <w:top w:val="single" w:sz="4" w:space="0" w:color="auto"/>
              <w:left w:val="nil"/>
              <w:bottom w:val="single" w:sz="4" w:space="0" w:color="auto"/>
              <w:right w:val="nil"/>
            </w:tcBorders>
            <w:shd w:val="clear" w:color="auto" w:fill="auto"/>
            <w:noWrap/>
            <w:vAlign w:val="center"/>
            <w:hideMark/>
          </w:tcPr>
          <w:p w:rsidR="006A4109" w:rsidRPr="00647306" w:rsidRDefault="006A4109" w:rsidP="00E930B2">
            <w:pPr>
              <w:rPr>
                <w:rFonts w:eastAsia="Times New Roman" w:cs="Arial"/>
                <w:color w:val="000000"/>
                <w:sz w:val="20"/>
                <w:szCs w:val="20"/>
                <w:lang w:eastAsia="ca-ES"/>
              </w:rPr>
            </w:pPr>
            <w:r w:rsidRPr="00647306">
              <w:rPr>
                <w:rFonts w:eastAsia="Times New Roman" w:cs="Arial"/>
                <w:color w:val="000000"/>
                <w:sz w:val="20"/>
                <w:szCs w:val="20"/>
                <w:lang w:eastAsia="ca-ES"/>
              </w:rPr>
              <w:t>5</w:t>
            </w:r>
          </w:p>
        </w:tc>
        <w:tc>
          <w:tcPr>
            <w:tcW w:w="1160" w:type="dxa"/>
            <w:tcBorders>
              <w:top w:val="single" w:sz="4" w:space="0" w:color="auto"/>
              <w:left w:val="nil"/>
              <w:bottom w:val="single" w:sz="4" w:space="0" w:color="auto"/>
              <w:right w:val="nil"/>
            </w:tcBorders>
            <w:shd w:val="clear" w:color="auto" w:fill="auto"/>
            <w:noWrap/>
            <w:vAlign w:val="center"/>
            <w:hideMark/>
          </w:tcPr>
          <w:p w:rsidR="006A4109" w:rsidRPr="00647306" w:rsidRDefault="006A4109" w:rsidP="00E930B2">
            <w:pPr>
              <w:rPr>
                <w:rFonts w:eastAsia="Times New Roman" w:cs="Arial"/>
                <w:color w:val="000000"/>
                <w:sz w:val="20"/>
                <w:szCs w:val="20"/>
                <w:lang w:eastAsia="ca-ES"/>
              </w:rPr>
            </w:pPr>
            <w:r w:rsidRPr="00647306">
              <w:rPr>
                <w:rFonts w:eastAsia="Times New Roman" w:cs="Arial"/>
                <w:color w:val="000000"/>
                <w:sz w:val="20"/>
                <w:szCs w:val="20"/>
                <w:lang w:eastAsia="ca-ES"/>
              </w:rPr>
              <w:t>8</w:t>
            </w:r>
          </w:p>
        </w:tc>
        <w:tc>
          <w:tcPr>
            <w:tcW w:w="1160" w:type="dxa"/>
            <w:tcBorders>
              <w:top w:val="single" w:sz="4" w:space="0" w:color="auto"/>
              <w:left w:val="nil"/>
              <w:bottom w:val="single" w:sz="4" w:space="0" w:color="auto"/>
              <w:right w:val="nil"/>
            </w:tcBorders>
            <w:shd w:val="clear" w:color="auto" w:fill="auto"/>
            <w:noWrap/>
            <w:vAlign w:val="center"/>
            <w:hideMark/>
          </w:tcPr>
          <w:p w:rsidR="006A4109" w:rsidRPr="00647306" w:rsidRDefault="006A4109" w:rsidP="00E930B2">
            <w:pPr>
              <w:rPr>
                <w:rFonts w:eastAsia="Times New Roman" w:cs="Arial"/>
                <w:color w:val="000000"/>
                <w:sz w:val="20"/>
                <w:szCs w:val="20"/>
                <w:lang w:eastAsia="ca-ES"/>
              </w:rPr>
            </w:pPr>
            <w:r w:rsidRPr="00647306">
              <w:rPr>
                <w:rFonts w:eastAsia="Times New Roman" w:cs="Arial"/>
                <w:color w:val="000000"/>
                <w:sz w:val="20"/>
                <w:szCs w:val="20"/>
                <w:lang w:eastAsia="ca-ES"/>
              </w:rPr>
              <w:t>14</w:t>
            </w:r>
          </w:p>
        </w:tc>
      </w:tr>
      <w:tr w:rsidR="006A4109" w:rsidRPr="00F02D52" w:rsidTr="00E930B2">
        <w:trPr>
          <w:trHeight w:val="20"/>
        </w:trPr>
        <w:tc>
          <w:tcPr>
            <w:tcW w:w="1902" w:type="dxa"/>
            <w:tcBorders>
              <w:top w:val="single" w:sz="4" w:space="0" w:color="auto"/>
              <w:left w:val="nil"/>
              <w:bottom w:val="single" w:sz="12" w:space="0" w:color="auto"/>
              <w:right w:val="nil"/>
            </w:tcBorders>
            <w:shd w:val="clear" w:color="auto" w:fill="auto"/>
            <w:noWrap/>
            <w:vAlign w:val="center"/>
            <w:hideMark/>
          </w:tcPr>
          <w:p w:rsidR="006A4109" w:rsidRPr="00647306" w:rsidRDefault="006A4109" w:rsidP="00E930B2">
            <w:pPr>
              <w:rPr>
                <w:rFonts w:eastAsia="Times New Roman" w:cs="Arial"/>
                <w:color w:val="000000"/>
                <w:sz w:val="20"/>
                <w:szCs w:val="20"/>
                <w:lang w:eastAsia="ca-ES"/>
              </w:rPr>
            </w:pPr>
            <w:r w:rsidRPr="00647306">
              <w:rPr>
                <w:rFonts w:eastAsia="Times New Roman" w:cs="Arial"/>
                <w:color w:val="000000"/>
                <w:sz w:val="20"/>
                <w:szCs w:val="20"/>
                <w:lang w:eastAsia="ca-ES"/>
              </w:rPr>
              <w:t>Puig de les Basses</w:t>
            </w:r>
          </w:p>
        </w:tc>
        <w:tc>
          <w:tcPr>
            <w:tcW w:w="2224" w:type="dxa"/>
            <w:tcBorders>
              <w:top w:val="single" w:sz="4" w:space="0" w:color="auto"/>
              <w:left w:val="nil"/>
              <w:bottom w:val="single" w:sz="12" w:space="0" w:color="auto"/>
              <w:right w:val="nil"/>
            </w:tcBorders>
            <w:shd w:val="clear" w:color="auto" w:fill="auto"/>
            <w:noWrap/>
            <w:vAlign w:val="center"/>
            <w:hideMark/>
          </w:tcPr>
          <w:p w:rsidR="006A4109" w:rsidRPr="00647306" w:rsidRDefault="006A4109" w:rsidP="00E930B2">
            <w:pPr>
              <w:rPr>
                <w:rFonts w:eastAsia="Times New Roman" w:cs="Arial"/>
                <w:color w:val="000000"/>
                <w:sz w:val="20"/>
                <w:szCs w:val="20"/>
                <w:lang w:eastAsia="ca-ES"/>
              </w:rPr>
            </w:pPr>
            <w:r w:rsidRPr="00647306">
              <w:rPr>
                <w:rFonts w:eastAsia="Times New Roman" w:cs="Arial"/>
                <w:color w:val="000000"/>
                <w:sz w:val="20"/>
                <w:szCs w:val="20"/>
                <w:lang w:eastAsia="ca-ES"/>
              </w:rPr>
              <w:t>Tramuntana</w:t>
            </w:r>
          </w:p>
        </w:tc>
        <w:tc>
          <w:tcPr>
            <w:tcW w:w="1276" w:type="dxa"/>
            <w:tcBorders>
              <w:top w:val="single" w:sz="4" w:space="0" w:color="auto"/>
              <w:left w:val="nil"/>
              <w:bottom w:val="single" w:sz="12" w:space="0" w:color="auto"/>
              <w:right w:val="nil"/>
            </w:tcBorders>
            <w:shd w:val="clear" w:color="auto" w:fill="auto"/>
            <w:noWrap/>
            <w:vAlign w:val="center"/>
            <w:hideMark/>
          </w:tcPr>
          <w:p w:rsidR="006A4109" w:rsidRPr="00647306" w:rsidRDefault="006A4109" w:rsidP="00E930B2">
            <w:pPr>
              <w:rPr>
                <w:rFonts w:eastAsia="Times New Roman" w:cs="Arial"/>
                <w:color w:val="000000"/>
                <w:sz w:val="20"/>
                <w:szCs w:val="20"/>
                <w:lang w:eastAsia="ca-ES"/>
              </w:rPr>
            </w:pPr>
            <w:r w:rsidRPr="00647306">
              <w:rPr>
                <w:rFonts w:eastAsia="Times New Roman" w:cs="Arial"/>
                <w:color w:val="000000"/>
                <w:sz w:val="20"/>
                <w:szCs w:val="20"/>
                <w:lang w:eastAsia="ca-ES"/>
              </w:rPr>
              <w:t>1</w:t>
            </w:r>
          </w:p>
        </w:tc>
        <w:tc>
          <w:tcPr>
            <w:tcW w:w="1216" w:type="dxa"/>
            <w:tcBorders>
              <w:top w:val="single" w:sz="4" w:space="0" w:color="auto"/>
              <w:left w:val="nil"/>
              <w:bottom w:val="single" w:sz="12" w:space="0" w:color="auto"/>
              <w:right w:val="nil"/>
            </w:tcBorders>
            <w:shd w:val="clear" w:color="auto" w:fill="auto"/>
            <w:noWrap/>
            <w:vAlign w:val="center"/>
            <w:hideMark/>
          </w:tcPr>
          <w:p w:rsidR="006A4109" w:rsidRPr="00647306" w:rsidRDefault="006A4109" w:rsidP="00E930B2">
            <w:pPr>
              <w:rPr>
                <w:rFonts w:eastAsia="Times New Roman" w:cs="Arial"/>
                <w:color w:val="000000"/>
                <w:sz w:val="20"/>
                <w:szCs w:val="20"/>
                <w:lang w:eastAsia="ca-ES"/>
              </w:rPr>
            </w:pPr>
            <w:r w:rsidRPr="00647306">
              <w:rPr>
                <w:rFonts w:eastAsia="Times New Roman" w:cs="Arial"/>
                <w:color w:val="000000"/>
                <w:sz w:val="20"/>
                <w:szCs w:val="20"/>
                <w:lang w:eastAsia="ca-ES"/>
              </w:rPr>
              <w:t>6</w:t>
            </w:r>
          </w:p>
        </w:tc>
        <w:tc>
          <w:tcPr>
            <w:tcW w:w="1160" w:type="dxa"/>
            <w:tcBorders>
              <w:top w:val="single" w:sz="4" w:space="0" w:color="auto"/>
              <w:left w:val="nil"/>
              <w:bottom w:val="single" w:sz="12" w:space="0" w:color="auto"/>
              <w:right w:val="nil"/>
            </w:tcBorders>
            <w:shd w:val="clear" w:color="auto" w:fill="auto"/>
            <w:noWrap/>
            <w:vAlign w:val="center"/>
            <w:hideMark/>
          </w:tcPr>
          <w:p w:rsidR="006A4109" w:rsidRPr="00647306" w:rsidRDefault="006A4109" w:rsidP="00E930B2">
            <w:pPr>
              <w:rPr>
                <w:rFonts w:eastAsia="Times New Roman" w:cs="Arial"/>
                <w:color w:val="000000"/>
                <w:sz w:val="20"/>
                <w:szCs w:val="20"/>
                <w:lang w:eastAsia="ca-ES"/>
              </w:rPr>
            </w:pPr>
            <w:r w:rsidRPr="00647306">
              <w:rPr>
                <w:rFonts w:eastAsia="Times New Roman" w:cs="Arial"/>
                <w:color w:val="000000"/>
                <w:sz w:val="20"/>
                <w:szCs w:val="20"/>
                <w:lang w:eastAsia="ca-ES"/>
              </w:rPr>
              <w:t>8</w:t>
            </w:r>
          </w:p>
        </w:tc>
        <w:tc>
          <w:tcPr>
            <w:tcW w:w="1160" w:type="dxa"/>
            <w:tcBorders>
              <w:top w:val="single" w:sz="4" w:space="0" w:color="auto"/>
              <w:left w:val="nil"/>
              <w:bottom w:val="single" w:sz="12" w:space="0" w:color="auto"/>
              <w:right w:val="nil"/>
            </w:tcBorders>
            <w:shd w:val="clear" w:color="auto" w:fill="auto"/>
            <w:noWrap/>
            <w:vAlign w:val="center"/>
            <w:hideMark/>
          </w:tcPr>
          <w:p w:rsidR="006A4109" w:rsidRPr="00647306" w:rsidRDefault="006A4109" w:rsidP="00E930B2">
            <w:pPr>
              <w:rPr>
                <w:rFonts w:eastAsia="Times New Roman" w:cs="Arial"/>
                <w:color w:val="000000"/>
                <w:sz w:val="20"/>
                <w:szCs w:val="20"/>
                <w:lang w:eastAsia="ca-ES"/>
              </w:rPr>
            </w:pPr>
            <w:r w:rsidRPr="00647306">
              <w:rPr>
                <w:rFonts w:eastAsia="Times New Roman" w:cs="Arial"/>
                <w:color w:val="000000"/>
                <w:sz w:val="20"/>
                <w:szCs w:val="20"/>
                <w:lang w:eastAsia="ca-ES"/>
              </w:rPr>
              <w:t>15</w:t>
            </w:r>
          </w:p>
        </w:tc>
      </w:tr>
      <w:tr w:rsidR="006A4109" w:rsidRPr="00F02D52" w:rsidTr="00E930B2">
        <w:trPr>
          <w:trHeight w:val="20"/>
        </w:trPr>
        <w:tc>
          <w:tcPr>
            <w:tcW w:w="1902" w:type="dxa"/>
            <w:tcBorders>
              <w:top w:val="single" w:sz="12" w:space="0" w:color="auto"/>
              <w:left w:val="nil"/>
              <w:bottom w:val="nil"/>
              <w:right w:val="nil"/>
            </w:tcBorders>
            <w:shd w:val="clear" w:color="auto" w:fill="auto"/>
            <w:noWrap/>
            <w:vAlign w:val="center"/>
            <w:hideMark/>
          </w:tcPr>
          <w:p w:rsidR="006A4109" w:rsidRPr="00647306" w:rsidRDefault="006A4109" w:rsidP="00E930B2">
            <w:pPr>
              <w:rPr>
                <w:rFonts w:eastAsia="Times New Roman" w:cs="Arial"/>
                <w:color w:val="000000"/>
                <w:sz w:val="20"/>
                <w:szCs w:val="20"/>
                <w:lang w:eastAsia="ca-ES"/>
              </w:rPr>
            </w:pPr>
            <w:r w:rsidRPr="00647306">
              <w:rPr>
                <w:rFonts w:eastAsia="Times New Roman" w:cs="Arial"/>
                <w:color w:val="000000"/>
                <w:sz w:val="20"/>
                <w:szCs w:val="20"/>
                <w:lang w:eastAsia="ca-ES"/>
              </w:rPr>
              <w:t>Total</w:t>
            </w:r>
          </w:p>
        </w:tc>
        <w:tc>
          <w:tcPr>
            <w:tcW w:w="2224" w:type="dxa"/>
            <w:tcBorders>
              <w:top w:val="single" w:sz="12" w:space="0" w:color="auto"/>
              <w:left w:val="nil"/>
              <w:bottom w:val="nil"/>
              <w:right w:val="nil"/>
            </w:tcBorders>
            <w:shd w:val="clear" w:color="auto" w:fill="auto"/>
            <w:noWrap/>
            <w:vAlign w:val="center"/>
            <w:hideMark/>
          </w:tcPr>
          <w:p w:rsidR="006A4109" w:rsidRPr="00647306" w:rsidRDefault="006A4109" w:rsidP="00E930B2">
            <w:pPr>
              <w:rPr>
                <w:rFonts w:eastAsia="Times New Roman" w:cs="Arial"/>
                <w:color w:val="000000"/>
                <w:sz w:val="20"/>
                <w:szCs w:val="20"/>
                <w:lang w:eastAsia="ca-ES"/>
              </w:rPr>
            </w:pPr>
          </w:p>
        </w:tc>
        <w:tc>
          <w:tcPr>
            <w:tcW w:w="1276" w:type="dxa"/>
            <w:tcBorders>
              <w:top w:val="single" w:sz="12" w:space="0" w:color="auto"/>
              <w:left w:val="nil"/>
              <w:bottom w:val="nil"/>
              <w:right w:val="nil"/>
            </w:tcBorders>
            <w:shd w:val="clear" w:color="auto" w:fill="auto"/>
            <w:noWrap/>
            <w:vAlign w:val="center"/>
            <w:hideMark/>
          </w:tcPr>
          <w:p w:rsidR="006A4109" w:rsidRPr="00647306" w:rsidRDefault="006A4109" w:rsidP="00E930B2">
            <w:pPr>
              <w:rPr>
                <w:rFonts w:eastAsia="Times New Roman" w:cs="Arial"/>
                <w:color w:val="000000"/>
                <w:sz w:val="20"/>
                <w:szCs w:val="20"/>
                <w:lang w:eastAsia="ca-ES"/>
              </w:rPr>
            </w:pPr>
            <w:r w:rsidRPr="00647306">
              <w:rPr>
                <w:rFonts w:eastAsia="Times New Roman" w:cs="Arial"/>
                <w:color w:val="000000"/>
                <w:sz w:val="20"/>
                <w:szCs w:val="20"/>
                <w:lang w:eastAsia="ca-ES"/>
              </w:rPr>
              <w:t>10</w:t>
            </w:r>
          </w:p>
        </w:tc>
        <w:tc>
          <w:tcPr>
            <w:tcW w:w="1216" w:type="dxa"/>
            <w:tcBorders>
              <w:top w:val="single" w:sz="12" w:space="0" w:color="auto"/>
              <w:left w:val="nil"/>
              <w:bottom w:val="nil"/>
              <w:right w:val="nil"/>
            </w:tcBorders>
            <w:shd w:val="clear" w:color="auto" w:fill="auto"/>
            <w:noWrap/>
            <w:vAlign w:val="center"/>
            <w:hideMark/>
          </w:tcPr>
          <w:p w:rsidR="006A4109" w:rsidRPr="00647306" w:rsidRDefault="006A4109" w:rsidP="00E930B2">
            <w:pPr>
              <w:rPr>
                <w:rFonts w:eastAsia="Times New Roman" w:cs="Arial"/>
                <w:color w:val="000000"/>
                <w:sz w:val="20"/>
                <w:szCs w:val="20"/>
                <w:lang w:eastAsia="ca-ES"/>
              </w:rPr>
            </w:pPr>
            <w:r w:rsidRPr="00647306">
              <w:rPr>
                <w:rFonts w:eastAsia="Times New Roman" w:cs="Arial"/>
                <w:color w:val="000000"/>
                <w:sz w:val="20"/>
                <w:szCs w:val="20"/>
                <w:lang w:eastAsia="ca-ES"/>
              </w:rPr>
              <w:t>34,5</w:t>
            </w:r>
          </w:p>
        </w:tc>
        <w:tc>
          <w:tcPr>
            <w:tcW w:w="1160" w:type="dxa"/>
            <w:tcBorders>
              <w:top w:val="single" w:sz="12" w:space="0" w:color="auto"/>
              <w:left w:val="nil"/>
              <w:bottom w:val="nil"/>
              <w:right w:val="nil"/>
            </w:tcBorders>
            <w:shd w:val="clear" w:color="auto" w:fill="auto"/>
            <w:noWrap/>
            <w:vAlign w:val="center"/>
            <w:hideMark/>
          </w:tcPr>
          <w:p w:rsidR="006A4109" w:rsidRPr="00647306" w:rsidRDefault="006A4109" w:rsidP="00E930B2">
            <w:pPr>
              <w:rPr>
                <w:rFonts w:eastAsia="Times New Roman" w:cs="Arial"/>
                <w:color w:val="000000"/>
                <w:sz w:val="20"/>
                <w:szCs w:val="20"/>
                <w:lang w:eastAsia="ca-ES"/>
              </w:rPr>
            </w:pPr>
            <w:r w:rsidRPr="00647306">
              <w:rPr>
                <w:rFonts w:eastAsia="Times New Roman" w:cs="Arial"/>
                <w:color w:val="000000"/>
                <w:sz w:val="20"/>
                <w:szCs w:val="20"/>
                <w:lang w:eastAsia="ca-ES"/>
              </w:rPr>
              <w:t>105</w:t>
            </w:r>
          </w:p>
        </w:tc>
        <w:tc>
          <w:tcPr>
            <w:tcW w:w="1160" w:type="dxa"/>
            <w:tcBorders>
              <w:top w:val="single" w:sz="12" w:space="0" w:color="auto"/>
              <w:left w:val="nil"/>
              <w:bottom w:val="nil"/>
              <w:right w:val="nil"/>
            </w:tcBorders>
            <w:shd w:val="clear" w:color="auto" w:fill="auto"/>
            <w:noWrap/>
            <w:vAlign w:val="bottom"/>
            <w:hideMark/>
          </w:tcPr>
          <w:p w:rsidR="006A4109" w:rsidRPr="00647306" w:rsidRDefault="006A4109" w:rsidP="00E930B2">
            <w:pPr>
              <w:rPr>
                <w:rFonts w:ascii="Calibri" w:eastAsia="Times New Roman" w:hAnsi="Calibri" w:cs="Calibri"/>
                <w:color w:val="000000"/>
                <w:sz w:val="20"/>
                <w:szCs w:val="20"/>
                <w:lang w:eastAsia="ca-ES"/>
              </w:rPr>
            </w:pPr>
            <w:r w:rsidRPr="00647306">
              <w:rPr>
                <w:rFonts w:eastAsia="Times New Roman" w:cs="Arial"/>
                <w:color w:val="000000"/>
                <w:sz w:val="20"/>
                <w:szCs w:val="20"/>
                <w:lang w:eastAsia="ca-ES"/>
              </w:rPr>
              <w:t>149,5</w:t>
            </w:r>
          </w:p>
        </w:tc>
      </w:tr>
    </w:tbl>
    <w:p w:rsidR="006A4109" w:rsidRPr="00F02D52" w:rsidRDefault="006A4109" w:rsidP="00E930B2">
      <w:pPr>
        <w:rPr>
          <w:rFonts w:cs="Arial"/>
          <w:i/>
        </w:rPr>
      </w:pPr>
    </w:p>
    <w:p w:rsidR="006A4109" w:rsidRPr="00F02D52" w:rsidRDefault="006A4109" w:rsidP="0070401F">
      <w:pPr>
        <w:pStyle w:val="Ttol4"/>
      </w:pPr>
      <w:bookmarkStart w:id="332" w:name="_Toc463867790"/>
      <w:r w:rsidRPr="00F02D52">
        <w:t xml:space="preserve">Evolució del model organitzatiu </w:t>
      </w:r>
      <w:r w:rsidRPr="00EB1B4D">
        <w:t>educatiu</w:t>
      </w:r>
      <w:bookmarkEnd w:id="332"/>
    </w:p>
    <w:p w:rsidR="006A4109" w:rsidRPr="00647306" w:rsidRDefault="006A4109" w:rsidP="00E930B2">
      <w:pPr>
        <w:rPr>
          <w:rFonts w:cs="Arial"/>
        </w:rPr>
      </w:pPr>
      <w:r w:rsidRPr="00647306">
        <w:rPr>
          <w:rFonts w:cs="Arial"/>
        </w:rPr>
        <w:t xml:space="preserve">L’any 1991 el Parlament aprova la Llei 3/1991 de </w:t>
      </w:r>
      <w:r>
        <w:rPr>
          <w:rFonts w:cs="Arial"/>
        </w:rPr>
        <w:t>f</w:t>
      </w:r>
      <w:r w:rsidRPr="00647306">
        <w:rPr>
          <w:rFonts w:cs="Arial"/>
        </w:rPr>
        <w:t xml:space="preserve">ormació de </w:t>
      </w:r>
      <w:r>
        <w:rPr>
          <w:rFonts w:cs="Arial"/>
        </w:rPr>
        <w:t>p</w:t>
      </w:r>
      <w:r w:rsidRPr="00647306">
        <w:rPr>
          <w:rFonts w:cs="Arial"/>
        </w:rPr>
        <w:t xml:space="preserve">ersones </w:t>
      </w:r>
      <w:r>
        <w:rPr>
          <w:rFonts w:cs="Arial"/>
        </w:rPr>
        <w:t>a</w:t>
      </w:r>
      <w:r w:rsidRPr="00647306">
        <w:rPr>
          <w:rFonts w:cs="Arial"/>
        </w:rPr>
        <w:t>dultes. Aquesta Llei té com a objectiu la formació permanent al llarg de tota la vida de les persones adultes que no han assolit les competències bàsiques per al seu desenvolupament en el</w:t>
      </w:r>
      <w:r>
        <w:rPr>
          <w:rFonts w:cs="Arial"/>
        </w:rPr>
        <w:t>s</w:t>
      </w:r>
      <w:r w:rsidRPr="00647306">
        <w:rPr>
          <w:rFonts w:cs="Arial"/>
        </w:rPr>
        <w:t xml:space="preserve"> àmbits personal, social, cultural i laboral.</w:t>
      </w:r>
    </w:p>
    <w:p w:rsidR="006A4109" w:rsidRPr="00647306" w:rsidRDefault="006A4109" w:rsidP="00E930B2">
      <w:pPr>
        <w:rPr>
          <w:rFonts w:cs="Arial"/>
        </w:rPr>
      </w:pPr>
      <w:r w:rsidRPr="00647306">
        <w:rPr>
          <w:rFonts w:cs="Arial"/>
        </w:rPr>
        <w:t>Els programes formatius, adreçats a la població interna, s’ofereixen tenint present els diferents nivells de formació de l’</w:t>
      </w:r>
      <w:r>
        <w:rPr>
          <w:rFonts w:cs="Arial"/>
        </w:rPr>
        <w:t xml:space="preserve">alumnat i els seus interessos. I es fa una </w:t>
      </w:r>
      <w:r w:rsidRPr="00647306">
        <w:rPr>
          <w:rFonts w:cs="Arial"/>
        </w:rPr>
        <w:t xml:space="preserve">incidència especial en </w:t>
      </w:r>
      <w:r>
        <w:rPr>
          <w:rFonts w:cs="Arial"/>
        </w:rPr>
        <w:t>el cas d</w:t>
      </w:r>
      <w:r w:rsidRPr="00647306">
        <w:rPr>
          <w:rFonts w:cs="Arial"/>
        </w:rPr>
        <w:t xml:space="preserve">els ensenyaments inicials, en l’aprenentatge de la llengua catalana per a persones nouvingudes i </w:t>
      </w:r>
      <w:r>
        <w:rPr>
          <w:rFonts w:cs="Arial"/>
        </w:rPr>
        <w:t>en</w:t>
      </w:r>
      <w:r w:rsidRPr="00647306">
        <w:rPr>
          <w:rFonts w:cs="Arial"/>
        </w:rPr>
        <w:t xml:space="preserve"> la formació bàsica.</w:t>
      </w:r>
    </w:p>
    <w:p w:rsidR="006A4109" w:rsidRPr="00647306" w:rsidRDefault="006A4109" w:rsidP="00E930B2">
      <w:pPr>
        <w:rPr>
          <w:rFonts w:cs="Arial"/>
        </w:rPr>
      </w:pPr>
      <w:r w:rsidRPr="00647306">
        <w:rPr>
          <w:rFonts w:cs="Arial"/>
        </w:rPr>
        <w:t>La formació educati</w:t>
      </w:r>
      <w:r>
        <w:rPr>
          <w:rFonts w:cs="Arial"/>
        </w:rPr>
        <w:t>va</w:t>
      </w:r>
      <w:r w:rsidRPr="00647306">
        <w:rPr>
          <w:rFonts w:cs="Arial"/>
        </w:rPr>
        <w:t xml:space="preserve"> i cultural t</w:t>
      </w:r>
      <w:r>
        <w:rPr>
          <w:rFonts w:cs="Arial"/>
        </w:rPr>
        <w:t>é</w:t>
      </w:r>
      <w:r w:rsidRPr="00647306">
        <w:rPr>
          <w:rFonts w:cs="Arial"/>
        </w:rPr>
        <w:t xml:space="preserve"> un caràcter indubtable i principal en el desenvolupament integral de les persones i</w:t>
      </w:r>
      <w:r>
        <w:rPr>
          <w:rFonts w:cs="Arial"/>
        </w:rPr>
        <w:t>,</w:t>
      </w:r>
      <w:r w:rsidRPr="00647306">
        <w:rPr>
          <w:rFonts w:cs="Arial"/>
        </w:rPr>
        <w:t xml:space="preserve"> en conseqüència</w:t>
      </w:r>
      <w:r>
        <w:rPr>
          <w:rFonts w:cs="Arial"/>
        </w:rPr>
        <w:t>,</w:t>
      </w:r>
      <w:r w:rsidRPr="00647306">
        <w:rPr>
          <w:rFonts w:cs="Arial"/>
        </w:rPr>
        <w:t xml:space="preserve"> com a factor afavoridor dels processos de reinserció social. </w:t>
      </w:r>
    </w:p>
    <w:p w:rsidR="006A4109" w:rsidRPr="00647306" w:rsidRDefault="006A4109" w:rsidP="00E930B2">
      <w:pPr>
        <w:rPr>
          <w:rFonts w:cs="Arial"/>
        </w:rPr>
      </w:pPr>
      <w:r w:rsidRPr="00647306">
        <w:rPr>
          <w:rFonts w:cs="Arial"/>
        </w:rPr>
        <w:t xml:space="preserve">El 1996 es publica el Reial </w:t>
      </w:r>
      <w:r>
        <w:rPr>
          <w:rFonts w:cs="Arial"/>
        </w:rPr>
        <w:t>d</w:t>
      </w:r>
      <w:r w:rsidRPr="00647306">
        <w:rPr>
          <w:rFonts w:cs="Arial"/>
        </w:rPr>
        <w:t xml:space="preserve">ecret 190/1996 pel </w:t>
      </w:r>
      <w:r>
        <w:rPr>
          <w:rFonts w:cs="Arial"/>
        </w:rPr>
        <w:t>qual s’aprova un nou Reglament penitenciari que, en el t</w:t>
      </w:r>
      <w:r w:rsidRPr="00647306">
        <w:rPr>
          <w:rFonts w:cs="Arial"/>
        </w:rPr>
        <w:t>ítol V</w:t>
      </w:r>
      <w:r>
        <w:rPr>
          <w:rFonts w:cs="Arial"/>
        </w:rPr>
        <w:t>,</w:t>
      </w:r>
      <w:r w:rsidRPr="00647306">
        <w:rPr>
          <w:rFonts w:cs="Arial"/>
        </w:rPr>
        <w:t xml:space="preserve"> capítol III</w:t>
      </w:r>
      <w:r>
        <w:rPr>
          <w:rFonts w:cs="Arial"/>
        </w:rPr>
        <w:t>,</w:t>
      </w:r>
      <w:r w:rsidRPr="00647306">
        <w:rPr>
          <w:rFonts w:cs="Arial"/>
        </w:rPr>
        <w:t xml:space="preserve"> es dedica a la formació, cultura i esport. En el seu articulat amplia i desenvolupa els criteris generals de l’activitat docent relatius a la programació, tutories, trasllats acadèmics, incentius, mitjans personals i materials, unitats educatives,</w:t>
      </w:r>
      <w:r>
        <w:rPr>
          <w:rFonts w:cs="Arial"/>
        </w:rPr>
        <w:t xml:space="preserve"> biblioteques, entre d’altres</w:t>
      </w:r>
      <w:r w:rsidRPr="00647306">
        <w:rPr>
          <w:rFonts w:cs="Arial"/>
        </w:rPr>
        <w:t>. També estableix que els programes educatius han d’atendre les necessitats formatives a nivell instrumental i bàsica, estudis superiors i estudis complementaris.</w:t>
      </w:r>
    </w:p>
    <w:p w:rsidR="006A4109" w:rsidRPr="00647306" w:rsidRDefault="006A4109" w:rsidP="00E930B2">
      <w:pPr>
        <w:rPr>
          <w:rFonts w:cs="Arial"/>
        </w:rPr>
      </w:pPr>
      <w:r w:rsidRPr="00647306">
        <w:rPr>
          <w:rFonts w:cs="Arial"/>
        </w:rPr>
        <w:t xml:space="preserve">El procés d’integració al cos de mestres d’Ensenyament, en el cas de Catalunya,  es va produir un cop va </w:t>
      </w:r>
      <w:r>
        <w:rPr>
          <w:rFonts w:cs="Arial"/>
        </w:rPr>
        <w:t>acabar</w:t>
      </w:r>
      <w:r w:rsidRPr="00647306">
        <w:rPr>
          <w:rFonts w:cs="Arial"/>
        </w:rPr>
        <w:t xml:space="preserve"> el procés de regularització de la gran majoria de mestres interins. Aquesta integració no va ser completa </w:t>
      </w:r>
      <w:r>
        <w:rPr>
          <w:rFonts w:cs="Arial"/>
        </w:rPr>
        <w:t>perquè</w:t>
      </w:r>
      <w:r w:rsidRPr="00647306">
        <w:rPr>
          <w:rFonts w:cs="Arial"/>
        </w:rPr>
        <w:t xml:space="preserve"> el Departament de Justícia va continuar </w:t>
      </w:r>
      <w:r>
        <w:rPr>
          <w:rFonts w:cs="Arial"/>
        </w:rPr>
        <w:t>com a</w:t>
      </w:r>
      <w:r w:rsidRPr="00647306">
        <w:rPr>
          <w:rFonts w:cs="Arial"/>
        </w:rPr>
        <w:t xml:space="preserve"> responsable de l’activitat docent i dels mestres penitenciaris. Les condicions de treball es </w:t>
      </w:r>
      <w:r>
        <w:rPr>
          <w:rFonts w:cs="Arial"/>
        </w:rPr>
        <w:t>van regular</w:t>
      </w:r>
      <w:r w:rsidRPr="00647306">
        <w:rPr>
          <w:rFonts w:cs="Arial"/>
        </w:rPr>
        <w:t xml:space="preserve"> segons un acord signat entre els sindicats i l’Administració el desembre de 1999.</w:t>
      </w:r>
    </w:p>
    <w:p w:rsidR="006A4109" w:rsidRPr="00647306" w:rsidRDefault="006A4109" w:rsidP="00E930B2">
      <w:pPr>
        <w:rPr>
          <w:rFonts w:cs="Arial"/>
        </w:rPr>
      </w:pPr>
      <w:r w:rsidRPr="00647306">
        <w:rPr>
          <w:rFonts w:cs="Arial"/>
        </w:rPr>
        <w:t>Continuava, per tant, la demanda per part d’un sector de mestres i organitzacions sindicals de l’adscripció i homologació plena dels mestres de presons al Departament d’Ensenyament.</w:t>
      </w:r>
    </w:p>
    <w:p w:rsidR="006A4109" w:rsidRPr="00647306" w:rsidRDefault="006A4109" w:rsidP="00E930B2">
      <w:pPr>
        <w:rPr>
          <w:rFonts w:cs="Arial"/>
        </w:rPr>
      </w:pPr>
      <w:r w:rsidRPr="00647306">
        <w:rPr>
          <w:rFonts w:cs="Arial"/>
        </w:rPr>
        <w:t>Alguns esdeveniments afavoririen aquesta reclamació tals com el dictamen del Consell Escolar de Catalunya que determina l’any 2002 que “els centres de formació d’adults establerts en institucions penitenc</w:t>
      </w:r>
      <w:r>
        <w:rPr>
          <w:rFonts w:cs="Arial"/>
        </w:rPr>
        <w:t>ià</w:t>
      </w:r>
      <w:r w:rsidRPr="00647306">
        <w:rPr>
          <w:rFonts w:cs="Arial"/>
        </w:rPr>
        <w:t xml:space="preserve">ries no quedin exclosos de l’àmbit d’aplicació del decret”, </w:t>
      </w:r>
      <w:r>
        <w:rPr>
          <w:rFonts w:cs="Arial"/>
        </w:rPr>
        <w:t xml:space="preserve">en què es </w:t>
      </w:r>
      <w:r w:rsidRPr="00647306">
        <w:rPr>
          <w:rFonts w:cs="Arial"/>
        </w:rPr>
        <w:t>refer</w:t>
      </w:r>
      <w:r>
        <w:rPr>
          <w:rFonts w:cs="Arial"/>
        </w:rPr>
        <w:t>eix al decret de creació de c</w:t>
      </w:r>
      <w:r w:rsidRPr="00647306">
        <w:rPr>
          <w:rFonts w:cs="Arial"/>
        </w:rPr>
        <w:t>entres de formació d’</w:t>
      </w:r>
      <w:r>
        <w:rPr>
          <w:rFonts w:cs="Arial"/>
        </w:rPr>
        <w:t>a</w:t>
      </w:r>
      <w:r w:rsidRPr="00647306">
        <w:rPr>
          <w:rFonts w:cs="Arial"/>
        </w:rPr>
        <w:t>dults del Departament de Benestar i Família. Com també</w:t>
      </w:r>
      <w:r>
        <w:rPr>
          <w:rFonts w:cs="Arial"/>
        </w:rPr>
        <w:t xml:space="preserve"> va incentivar</w:t>
      </w:r>
      <w:r w:rsidRPr="00647306">
        <w:rPr>
          <w:rFonts w:cs="Arial"/>
        </w:rPr>
        <w:t xml:space="preserve"> la reclamació d’integració el fet de produir-se el traspàs d’aquest àmbit formatiu d’adults al Departament d’Ensenyament l’any 2004.</w:t>
      </w:r>
    </w:p>
    <w:p w:rsidR="006A4109" w:rsidRPr="00647306" w:rsidRDefault="006A4109" w:rsidP="00E930B2">
      <w:pPr>
        <w:rPr>
          <w:rFonts w:cs="Arial"/>
        </w:rPr>
      </w:pPr>
      <w:r w:rsidRPr="00647306">
        <w:rPr>
          <w:rFonts w:cs="Arial"/>
        </w:rPr>
        <w:t xml:space="preserve">Posteriorment, després de l’acord entre el Departament de Justícia i el d’Ensenyament, amb una llarga negociació amb les organitzacions sindicals, es publica al DOGC el Decret 325/2006, de 22 d’agost, de creació de centres de formació de persones adultes ubicats en centres penitenciaris. Rebatejant les nou escoles/aules </w:t>
      </w:r>
      <w:r>
        <w:rPr>
          <w:rFonts w:cs="Arial"/>
        </w:rPr>
        <w:t>que hi havia</w:t>
      </w:r>
      <w:r w:rsidRPr="00647306">
        <w:rPr>
          <w:rFonts w:cs="Arial"/>
        </w:rPr>
        <w:t xml:space="preserve"> en centres (CFPA) en comptes d</w:t>
      </w:r>
      <w:r>
        <w:rPr>
          <w:rFonts w:cs="Arial"/>
        </w:rPr>
        <w:t>’</w:t>
      </w:r>
      <w:r w:rsidRPr="00647306">
        <w:rPr>
          <w:rFonts w:cs="Arial"/>
        </w:rPr>
        <w:t>aules (AFPA).</w:t>
      </w:r>
    </w:p>
    <w:p w:rsidR="006A4109" w:rsidRPr="00647306" w:rsidRDefault="006A4109" w:rsidP="00E930B2">
      <w:pPr>
        <w:rPr>
          <w:rFonts w:cs="Arial"/>
        </w:rPr>
      </w:pPr>
      <w:r w:rsidRPr="00647306">
        <w:rPr>
          <w:rFonts w:cs="Arial"/>
        </w:rPr>
        <w:lastRenderedPageBreak/>
        <w:t>Aquest Decret estableix que els centres de formació s</w:t>
      </w:r>
      <w:r>
        <w:rPr>
          <w:rFonts w:cs="Arial"/>
        </w:rPr>
        <w:t>ó</w:t>
      </w:r>
      <w:r w:rsidRPr="00647306">
        <w:rPr>
          <w:rFonts w:cs="Arial"/>
        </w:rPr>
        <w:t>n de titularitat del Departament de Justícia</w:t>
      </w:r>
      <w:r>
        <w:rPr>
          <w:rFonts w:cs="Arial"/>
        </w:rPr>
        <w:t>,</w:t>
      </w:r>
      <w:r w:rsidRPr="00647306">
        <w:rPr>
          <w:rFonts w:cs="Arial"/>
        </w:rPr>
        <w:t xml:space="preserve"> però que els ensenyaments, l</w:t>
      </w:r>
      <w:r>
        <w:rPr>
          <w:rFonts w:cs="Arial"/>
        </w:rPr>
        <w:t>’</w:t>
      </w:r>
      <w:r w:rsidRPr="00647306">
        <w:rPr>
          <w:rFonts w:cs="Arial"/>
        </w:rPr>
        <w:t>organització, funcionament i inspecció seguiran les directrius del Departament d’Ensenyament.</w:t>
      </w:r>
    </w:p>
    <w:p w:rsidR="006A4109" w:rsidRPr="00647306" w:rsidRDefault="006A4109" w:rsidP="00E930B2">
      <w:pPr>
        <w:rPr>
          <w:rFonts w:cs="Arial"/>
        </w:rPr>
      </w:pPr>
      <w:r w:rsidRPr="00647306">
        <w:rPr>
          <w:rFonts w:cs="Arial"/>
        </w:rPr>
        <w:t xml:space="preserve">Quasi simultàniament, al setembre, es </w:t>
      </w:r>
      <w:r>
        <w:rPr>
          <w:rFonts w:cs="Arial"/>
        </w:rPr>
        <w:t xml:space="preserve">va </w:t>
      </w:r>
      <w:r w:rsidRPr="00647306">
        <w:rPr>
          <w:rFonts w:cs="Arial"/>
        </w:rPr>
        <w:t>publica</w:t>
      </w:r>
      <w:r>
        <w:rPr>
          <w:rFonts w:cs="Arial"/>
        </w:rPr>
        <w:t>r</w:t>
      </w:r>
      <w:r w:rsidRPr="00647306">
        <w:rPr>
          <w:rFonts w:cs="Arial"/>
        </w:rPr>
        <w:t xml:space="preserve"> el Decret 329/2006,</w:t>
      </w:r>
      <w:r>
        <w:rPr>
          <w:rFonts w:cs="Arial"/>
        </w:rPr>
        <w:t xml:space="preserve"> </w:t>
      </w:r>
      <w:r w:rsidRPr="00647306">
        <w:rPr>
          <w:rFonts w:cs="Arial"/>
        </w:rPr>
        <w:t xml:space="preserve">respecte al ROFSEPC. </w:t>
      </w:r>
      <w:r>
        <w:rPr>
          <w:rFonts w:cs="Arial"/>
        </w:rPr>
        <w:t>R</w:t>
      </w:r>
      <w:r w:rsidRPr="00647306">
        <w:rPr>
          <w:rFonts w:cs="Arial"/>
        </w:rPr>
        <w:t>egula la participació del personal docent dels centres penitencia</w:t>
      </w:r>
      <w:r>
        <w:rPr>
          <w:rFonts w:cs="Arial"/>
        </w:rPr>
        <w:t>ris en els e</w:t>
      </w:r>
      <w:r w:rsidRPr="00647306">
        <w:rPr>
          <w:rFonts w:cs="Arial"/>
        </w:rPr>
        <w:t xml:space="preserve">quips </w:t>
      </w:r>
      <w:r>
        <w:rPr>
          <w:rFonts w:cs="Arial"/>
        </w:rPr>
        <w:t>m</w:t>
      </w:r>
      <w:r w:rsidRPr="00647306">
        <w:rPr>
          <w:rFonts w:cs="Arial"/>
        </w:rPr>
        <w:t>u</w:t>
      </w:r>
      <w:r>
        <w:rPr>
          <w:rFonts w:cs="Arial"/>
        </w:rPr>
        <w:t>ltidisciplinaris i del director</w:t>
      </w:r>
      <w:r w:rsidRPr="00647306">
        <w:rPr>
          <w:rFonts w:cs="Arial"/>
        </w:rPr>
        <w:t xml:space="preserve"> docent en el Consell de Direcció, quan es tractin assumptes del seu interès, i en la Junta de Tractament de ple dret.</w:t>
      </w:r>
    </w:p>
    <w:p w:rsidR="006A4109" w:rsidRPr="00647306" w:rsidRDefault="006A4109" w:rsidP="00E930B2">
      <w:pPr>
        <w:rPr>
          <w:rFonts w:cs="Arial"/>
        </w:rPr>
      </w:pPr>
      <w:r w:rsidRPr="00647306">
        <w:rPr>
          <w:rFonts w:cs="Arial"/>
        </w:rPr>
        <w:t>Posteriorment</w:t>
      </w:r>
      <w:r>
        <w:rPr>
          <w:rFonts w:cs="Arial"/>
        </w:rPr>
        <w:t>,</w:t>
      </w:r>
      <w:r w:rsidRPr="00647306">
        <w:rPr>
          <w:rFonts w:cs="Arial"/>
        </w:rPr>
        <w:t xml:space="preserve"> el Decret 130/2009 modifica el Decret anterior 325/2006, </w:t>
      </w:r>
      <w:r>
        <w:rPr>
          <w:rFonts w:cs="Arial"/>
        </w:rPr>
        <w:t xml:space="preserve">i </w:t>
      </w:r>
      <w:r w:rsidRPr="00647306">
        <w:rPr>
          <w:rFonts w:cs="Arial"/>
        </w:rPr>
        <w:t>establ</w:t>
      </w:r>
      <w:r>
        <w:rPr>
          <w:rFonts w:cs="Arial"/>
        </w:rPr>
        <w:t xml:space="preserve">eix </w:t>
      </w:r>
      <w:r w:rsidRPr="00647306">
        <w:rPr>
          <w:rFonts w:cs="Arial"/>
        </w:rPr>
        <w:t>que la titularitat dels CFPA passen a la Generalitat de Catalunya, adscrites al Departament d’Ensenyament, però que l’equipament i el seu manteniment corresponen al Departament de Justícia. Amb motiu d’aquest Decret es crea una comissió mixta de seguiment.</w:t>
      </w:r>
    </w:p>
    <w:p w:rsidR="006A4109" w:rsidRPr="00647306" w:rsidRDefault="006A4109" w:rsidP="00E930B2">
      <w:pPr>
        <w:rPr>
          <w:rFonts w:cs="Arial"/>
        </w:rPr>
      </w:pPr>
      <w:r w:rsidRPr="00647306">
        <w:rPr>
          <w:rFonts w:cs="Arial"/>
        </w:rPr>
        <w:t>Estableix t</w:t>
      </w:r>
      <w:r>
        <w:rPr>
          <w:rFonts w:cs="Arial"/>
        </w:rPr>
        <w:t xml:space="preserve">ambé que el personal docent depèn </w:t>
      </w:r>
      <w:r w:rsidRPr="00647306">
        <w:rPr>
          <w:rFonts w:cs="Arial"/>
        </w:rPr>
        <w:t>orgànicamen</w:t>
      </w:r>
      <w:r>
        <w:rPr>
          <w:rFonts w:cs="Arial"/>
        </w:rPr>
        <w:t>t del Departament d’Ensenyament, encara que</w:t>
      </w:r>
      <w:r w:rsidRPr="00647306">
        <w:rPr>
          <w:rFonts w:cs="Arial"/>
        </w:rPr>
        <w:t xml:space="preserve"> funcionalment d’aquest i de la Direcció del Centre. </w:t>
      </w:r>
    </w:p>
    <w:p w:rsidR="006A4109" w:rsidRPr="00647306" w:rsidRDefault="006A4109" w:rsidP="00E930B2">
      <w:pPr>
        <w:rPr>
          <w:rFonts w:cs="Arial"/>
        </w:rPr>
      </w:pPr>
      <w:r w:rsidRPr="00647306">
        <w:rPr>
          <w:rFonts w:cs="Arial"/>
        </w:rPr>
        <w:t xml:space="preserve">Aquesta mesura permet el transvasament de docents de l’àmbit educatiu ordinari al penitenciari i viceversa, </w:t>
      </w:r>
      <w:r>
        <w:rPr>
          <w:rFonts w:cs="Arial"/>
        </w:rPr>
        <w:t xml:space="preserve">tot </w:t>
      </w:r>
      <w:r w:rsidRPr="00647306">
        <w:rPr>
          <w:rFonts w:cs="Arial"/>
        </w:rPr>
        <w:t xml:space="preserve">afavorint la renovació i actualització del personal docent, donant sortida a docents que desitgen un canvi per diverses raons i </w:t>
      </w:r>
      <w:r>
        <w:rPr>
          <w:rFonts w:cs="Arial"/>
        </w:rPr>
        <w:t>així facilitar</w:t>
      </w:r>
      <w:r w:rsidRPr="00647306">
        <w:rPr>
          <w:rFonts w:cs="Arial"/>
        </w:rPr>
        <w:t xml:space="preserve"> la integració de docents que arriben d’altres experiències i contextos educatius.</w:t>
      </w:r>
    </w:p>
    <w:p w:rsidR="006A4109" w:rsidRPr="00647306" w:rsidRDefault="006A4109" w:rsidP="00E930B2">
      <w:pPr>
        <w:rPr>
          <w:rFonts w:cs="Arial"/>
        </w:rPr>
      </w:pPr>
      <w:r w:rsidRPr="00647306">
        <w:rPr>
          <w:rFonts w:cs="Arial"/>
        </w:rPr>
        <w:t>Aquesta millora d’intercanvi i renovació presenta com a contrapartida la necessitat d’aprofundir en la formació especifica, adaptació i acollida d’aquest</w:t>
      </w:r>
      <w:r>
        <w:rPr>
          <w:rFonts w:cs="Arial"/>
        </w:rPr>
        <w:t>s</w:t>
      </w:r>
      <w:r w:rsidRPr="00647306">
        <w:rPr>
          <w:rFonts w:cs="Arial"/>
        </w:rPr>
        <w:t xml:space="preserve"> nous docents en l’àmbit penitenciari.</w:t>
      </w:r>
    </w:p>
    <w:p w:rsidR="006A4109" w:rsidRPr="00647306" w:rsidRDefault="006A4109" w:rsidP="00E930B2">
      <w:pPr>
        <w:rPr>
          <w:rFonts w:cs="Arial"/>
        </w:rPr>
      </w:pPr>
      <w:r w:rsidRPr="00647306">
        <w:rPr>
          <w:rFonts w:cs="Arial"/>
        </w:rPr>
        <w:t>Ens trobem doncs que, de l’any 1999 fins</w:t>
      </w:r>
      <w:r>
        <w:rPr>
          <w:rFonts w:cs="Arial"/>
        </w:rPr>
        <w:t xml:space="preserve"> a</w:t>
      </w:r>
      <w:r w:rsidRPr="00647306">
        <w:rPr>
          <w:rFonts w:cs="Arial"/>
        </w:rPr>
        <w:t xml:space="preserve"> l’any 2009, es va produint progressivament un trasllat de dependència orgànica i </w:t>
      </w:r>
      <w:r>
        <w:rPr>
          <w:rFonts w:cs="Arial"/>
        </w:rPr>
        <w:t xml:space="preserve">funcional, en aquest últim cas </w:t>
      </w:r>
      <w:r w:rsidRPr="00F530E1">
        <w:rPr>
          <w:rFonts w:cs="Arial"/>
          <w:i/>
        </w:rPr>
        <w:t>compartida</w:t>
      </w:r>
      <w:r w:rsidRPr="00647306">
        <w:rPr>
          <w:rFonts w:cs="Arial"/>
        </w:rPr>
        <w:t>. Aquest llarg procés de canvi, presenta dificultats en la seva gestió, comprensió i adaptació. En aquest sentit poden haver-se produït desajustaments en l’engranatge respecte als mecanismes d’interpretació de les normes, de coordinació, integració i participació entre el centre educatiu i el centre penitenciari. Es perd el vincle jeràrquic i s’estableix un vincle transversal en dos serveis de cultures organitzatives diferents. Per tant</w:t>
      </w:r>
      <w:r>
        <w:rPr>
          <w:rFonts w:cs="Arial"/>
        </w:rPr>
        <w:t>,</w:t>
      </w:r>
      <w:r w:rsidRPr="00647306">
        <w:rPr>
          <w:rFonts w:cs="Arial"/>
        </w:rPr>
        <w:t xml:space="preserve"> la integració i adaptació d’aquest procés no ha estat uniforme. </w:t>
      </w:r>
    </w:p>
    <w:p w:rsidR="006A4109" w:rsidRPr="00647306" w:rsidRDefault="006A4109" w:rsidP="00E930B2">
      <w:pPr>
        <w:rPr>
          <w:rFonts w:cs="Arial"/>
        </w:rPr>
      </w:pPr>
      <w:r w:rsidRPr="00647306">
        <w:rPr>
          <w:rFonts w:cs="Arial"/>
        </w:rPr>
        <w:t xml:space="preserve">Entre el 2011 i el 2014 l’àrea de formació d’adults ha participat activament tant en la creació del </w:t>
      </w:r>
      <w:r>
        <w:rPr>
          <w:rFonts w:cs="Arial"/>
        </w:rPr>
        <w:t>model de r</w:t>
      </w:r>
      <w:r w:rsidRPr="00647306">
        <w:rPr>
          <w:rFonts w:cs="Arial"/>
        </w:rPr>
        <w:t xml:space="preserve">ehabilitació a les presons catalanes com en el disseny del Programa </w:t>
      </w:r>
      <w:r>
        <w:rPr>
          <w:rFonts w:cs="Arial"/>
        </w:rPr>
        <w:t>m</w:t>
      </w:r>
      <w:r w:rsidRPr="00647306">
        <w:rPr>
          <w:rFonts w:cs="Arial"/>
        </w:rPr>
        <w:t>arc d’</w:t>
      </w:r>
      <w:r>
        <w:rPr>
          <w:rFonts w:cs="Arial"/>
        </w:rPr>
        <w:t>o</w:t>
      </w:r>
      <w:r w:rsidRPr="00647306">
        <w:rPr>
          <w:rFonts w:cs="Arial"/>
        </w:rPr>
        <w:t>rga</w:t>
      </w:r>
      <w:r>
        <w:rPr>
          <w:rFonts w:cs="Arial"/>
        </w:rPr>
        <w:t>nització c</w:t>
      </w:r>
      <w:r w:rsidRPr="00647306">
        <w:rPr>
          <w:rFonts w:cs="Arial"/>
        </w:rPr>
        <w:t>urricular (PMOC),</w:t>
      </w:r>
      <w:r>
        <w:rPr>
          <w:rFonts w:cs="Arial"/>
        </w:rPr>
        <w:t xml:space="preserve"> que s’ha</w:t>
      </w:r>
      <w:r w:rsidRPr="00647306">
        <w:rPr>
          <w:rFonts w:cs="Arial"/>
        </w:rPr>
        <w:t xml:space="preserve"> integra</w:t>
      </w:r>
      <w:r>
        <w:rPr>
          <w:rFonts w:cs="Arial"/>
        </w:rPr>
        <w:t>t</w:t>
      </w:r>
      <w:r w:rsidRPr="00647306">
        <w:rPr>
          <w:rFonts w:cs="Arial"/>
        </w:rPr>
        <w:t xml:space="preserve"> dins d’aquest marc curricular.</w:t>
      </w:r>
    </w:p>
    <w:p w:rsidR="006A4109" w:rsidRPr="00647306" w:rsidRDefault="006A4109" w:rsidP="00E930B2">
      <w:pPr>
        <w:rPr>
          <w:rFonts w:cs="Arial"/>
        </w:rPr>
      </w:pPr>
      <w:r w:rsidRPr="00647306">
        <w:rPr>
          <w:rFonts w:cs="Arial"/>
        </w:rPr>
        <w:t xml:space="preserve">Els criteris generals respecte a la planificació, l’organització i funcionament dels centres de formació estan condicionats per la regulació del </w:t>
      </w:r>
      <w:r>
        <w:rPr>
          <w:rFonts w:cs="Arial"/>
        </w:rPr>
        <w:t>mateix</w:t>
      </w:r>
      <w:r w:rsidRPr="00647306">
        <w:rPr>
          <w:rFonts w:cs="Arial"/>
        </w:rPr>
        <w:t xml:space="preserve"> Departament d’Ensenyament, però especialment, per desenvolupar-se dins d’un entorn penitenciari, amb un sistema d’organització interna pel conjunt d’activitats i serveis, mesures de seguretat i necessitats horàries de funcionament general.</w:t>
      </w:r>
    </w:p>
    <w:p w:rsidR="006A4109" w:rsidRPr="00647306" w:rsidRDefault="006A4109" w:rsidP="00E930B2">
      <w:pPr>
        <w:rPr>
          <w:rFonts w:cs="Arial"/>
        </w:rPr>
      </w:pPr>
      <w:r w:rsidRPr="00647306">
        <w:rPr>
          <w:rFonts w:cs="Arial"/>
        </w:rPr>
        <w:t>U</w:t>
      </w:r>
      <w:r>
        <w:rPr>
          <w:rFonts w:cs="Arial"/>
        </w:rPr>
        <w:t>n altre condicionant important és</w:t>
      </w:r>
      <w:r w:rsidRPr="00647306">
        <w:rPr>
          <w:rFonts w:cs="Arial"/>
        </w:rPr>
        <w:t xml:space="preserve"> la disposició infraestructural, de serveis, instal</w:t>
      </w:r>
      <w:r>
        <w:rPr>
          <w:rFonts w:cs="Arial"/>
        </w:rPr>
        <w:t>·</w:t>
      </w:r>
      <w:r w:rsidRPr="00647306">
        <w:rPr>
          <w:rFonts w:cs="Arial"/>
        </w:rPr>
        <w:t>lacions, et</w:t>
      </w:r>
      <w:r>
        <w:rPr>
          <w:rFonts w:cs="Arial"/>
        </w:rPr>
        <w:t>c</w:t>
      </w:r>
      <w:r w:rsidRPr="00647306">
        <w:rPr>
          <w:rFonts w:cs="Arial"/>
        </w:rPr>
        <w:t>. de cada centre, la qual afecta al model d’escola externa comunitària versus model d’escola en aules modulars, als procediments d’accessibilitat dels interns, als espais compartits amb d’altres profession</w:t>
      </w:r>
      <w:r>
        <w:rPr>
          <w:rFonts w:cs="Arial"/>
        </w:rPr>
        <w:t>als, etc.</w:t>
      </w:r>
    </w:p>
    <w:p w:rsidR="006A4109" w:rsidRPr="00647306" w:rsidRDefault="006A4109" w:rsidP="00E930B2">
      <w:pPr>
        <w:rPr>
          <w:rFonts w:cs="Arial"/>
        </w:rPr>
      </w:pPr>
      <w:r w:rsidRPr="00647306">
        <w:rPr>
          <w:rFonts w:cs="Arial"/>
        </w:rPr>
        <w:t>L’accés a internet, les xarxes i l’entorn TIC són fonamentals en qualsevol àmbit de formació. Les limitacions del sistema penitenciari condicionen els processos i metodologia dels aprenentatges actuals, tant en l’àmbit de la formació en grup, com per la formació i l’estudi en solitari, i l’educació a distància.</w:t>
      </w:r>
    </w:p>
    <w:p w:rsidR="006A4109" w:rsidRPr="00F02D52" w:rsidRDefault="006A4109" w:rsidP="00E930B2">
      <w:pPr>
        <w:rPr>
          <w:rFonts w:cs="Arial"/>
          <w:i/>
          <w:color w:val="4F81BD" w:themeColor="accent1"/>
        </w:rPr>
      </w:pPr>
    </w:p>
    <w:p w:rsidR="006A4109" w:rsidRPr="00F02D52" w:rsidRDefault="006A4109" w:rsidP="0070401F">
      <w:pPr>
        <w:pStyle w:val="Ttol4"/>
      </w:pPr>
      <w:bookmarkStart w:id="333" w:name="_Toc463867791"/>
      <w:r w:rsidRPr="00EB1B4D">
        <w:lastRenderedPageBreak/>
        <w:t>Especificita</w:t>
      </w:r>
      <w:r w:rsidRPr="00EB1B4D">
        <w:rPr>
          <w:rStyle w:val="Ttol3Car"/>
          <w:b/>
          <w:bCs w:val="0"/>
        </w:rPr>
        <w:t>t</w:t>
      </w:r>
      <w:r w:rsidRPr="00EB1B4D">
        <w:t>s</w:t>
      </w:r>
      <w:r w:rsidRPr="00F02D52">
        <w:t xml:space="preserve"> de l’alumnat</w:t>
      </w:r>
      <w:bookmarkEnd w:id="333"/>
    </w:p>
    <w:p w:rsidR="006A4109" w:rsidRPr="00647306" w:rsidRDefault="006A4109" w:rsidP="00E930B2">
      <w:pPr>
        <w:rPr>
          <w:rFonts w:cs="Arial"/>
        </w:rPr>
      </w:pPr>
      <w:r w:rsidRPr="00647306">
        <w:rPr>
          <w:rFonts w:cs="Arial"/>
        </w:rPr>
        <w:t xml:space="preserve">Finalment cal tenir present el perfil, les necessitats i els interessos de la població interna. Aquesta informació essencial s’obté mitjançant la tutoria escolar i l’avaluació inicial.  </w:t>
      </w:r>
    </w:p>
    <w:p w:rsidR="006A4109" w:rsidRPr="00647306" w:rsidRDefault="006A4109" w:rsidP="00E930B2">
      <w:pPr>
        <w:rPr>
          <w:rFonts w:cs="Arial"/>
        </w:rPr>
      </w:pPr>
      <w:r w:rsidRPr="00647306">
        <w:rPr>
          <w:noProof/>
          <w:lang w:eastAsia="ca-ES"/>
        </w:rPr>
        <w:drawing>
          <wp:inline distT="0" distB="0" distL="0" distR="0" wp14:anchorId="17C0F621" wp14:editId="60AF1D8A">
            <wp:extent cx="3867150" cy="2305050"/>
            <wp:effectExtent l="0" t="0" r="0" b="0"/>
            <wp:docPr id="7" name="Gràfic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6A4109" w:rsidRPr="00647306" w:rsidRDefault="006A4109" w:rsidP="00E930B2">
      <w:pPr>
        <w:rPr>
          <w:rFonts w:cs="Arial"/>
        </w:rPr>
      </w:pPr>
      <w:r w:rsidRPr="00647306">
        <w:rPr>
          <w:rFonts w:cs="Arial"/>
        </w:rPr>
        <w:t>Les característiques generals de l’alumnat (estrangeria, situació penitenci</w:t>
      </w:r>
      <w:r>
        <w:rPr>
          <w:rFonts w:cs="Arial"/>
        </w:rPr>
        <w:t>à</w:t>
      </w:r>
      <w:r w:rsidRPr="00647306">
        <w:rPr>
          <w:rFonts w:cs="Arial"/>
        </w:rPr>
        <w:t>ria, marginalitat, addiccions, manca d’hàbits,...); factors de personalitat que afecten a l’ensenyament (impulsivitat, baixa resistència a la frustració, dèficits cognitius, pensament concret i rígid,...); factors que afecten al rendiment escolar (inestabilitat emocional, baixa motivació, ansietat, dificultats de concentració,...); marquen un conjunt de població especialment complex i deteriorat en relació a</w:t>
      </w:r>
      <w:r>
        <w:rPr>
          <w:rFonts w:cs="Arial"/>
        </w:rPr>
        <w:t>mb e</w:t>
      </w:r>
      <w:r w:rsidRPr="00647306">
        <w:rPr>
          <w:rFonts w:cs="Arial"/>
        </w:rPr>
        <w:t xml:space="preserve">l conjunt de </w:t>
      </w:r>
      <w:r>
        <w:rPr>
          <w:rFonts w:cs="Arial"/>
        </w:rPr>
        <w:t xml:space="preserve">la </w:t>
      </w:r>
      <w:r w:rsidRPr="00647306">
        <w:rPr>
          <w:rFonts w:cs="Arial"/>
        </w:rPr>
        <w:t>població adulta amb requeriments formatius.</w:t>
      </w:r>
    </w:p>
    <w:p w:rsidR="006A4109" w:rsidRPr="00647306" w:rsidRDefault="006A4109" w:rsidP="00E930B2">
      <w:pPr>
        <w:rPr>
          <w:rFonts w:cs="Arial"/>
        </w:rPr>
      </w:pPr>
      <w:r w:rsidRPr="00647306">
        <w:rPr>
          <w:rFonts w:cs="Arial"/>
        </w:rPr>
        <w:t>Un debat que suscita la legislació vigent en aquesta matèria consisteix en el plantejament del caràcter prioritari i/o obligatori de participació dels interns en l’àmbit escolar sempre que no hagin accedit als coneixement b</w:t>
      </w:r>
      <w:r>
        <w:rPr>
          <w:rFonts w:cs="Arial"/>
        </w:rPr>
        <w:t>à</w:t>
      </w:r>
      <w:r w:rsidRPr="00647306">
        <w:rPr>
          <w:rFonts w:cs="Arial"/>
        </w:rPr>
        <w:t>sics de l’ensenyament obligatori.</w:t>
      </w:r>
    </w:p>
    <w:p w:rsidR="006A4109" w:rsidRPr="00647306" w:rsidRDefault="006A4109" w:rsidP="00E930B2">
      <w:pPr>
        <w:rPr>
          <w:rFonts w:cs="Arial"/>
        </w:rPr>
      </w:pPr>
      <w:r w:rsidRPr="00647306">
        <w:rPr>
          <w:rFonts w:cs="Arial"/>
        </w:rPr>
        <w:t xml:space="preserve">Aquest debat s’ha incrementat especialment a mesura que s’ha desplegat i incrementat el conjunt de l’oferta d’activitats i serveis (PMOC) </w:t>
      </w:r>
      <w:r>
        <w:rPr>
          <w:rFonts w:cs="Arial"/>
        </w:rPr>
        <w:t xml:space="preserve">en </w:t>
      </w:r>
      <w:r w:rsidRPr="00647306">
        <w:rPr>
          <w:rFonts w:cs="Arial"/>
        </w:rPr>
        <w:t>entrar progressivament en competència amb l’oferta l’escolar.</w:t>
      </w:r>
    </w:p>
    <w:p w:rsidR="006A4109" w:rsidRPr="00647306" w:rsidRDefault="006A4109" w:rsidP="00E930B2">
      <w:pPr>
        <w:rPr>
          <w:rFonts w:cs="Arial"/>
        </w:rPr>
      </w:pPr>
      <w:r>
        <w:rPr>
          <w:rFonts w:cs="Arial"/>
        </w:rPr>
        <w:t>Un altre</w:t>
      </w:r>
      <w:r w:rsidRPr="00647306">
        <w:rPr>
          <w:rFonts w:cs="Arial"/>
        </w:rPr>
        <w:t xml:space="preserve"> aspecte crític consisteix en l’abordatge i tractament contingent i rigorós de l’absentisme escolar traduït en l’avaluació del PIT. Al mateix temps cal considerar la gestió de les llistes d’espera </w:t>
      </w:r>
      <w:r>
        <w:rPr>
          <w:rFonts w:cs="Arial"/>
        </w:rPr>
        <w:t>en</w:t>
      </w:r>
      <w:r w:rsidRPr="00647306">
        <w:rPr>
          <w:rFonts w:cs="Arial"/>
        </w:rPr>
        <w:t xml:space="preserve"> trobar-nos amb interns matriculats que ocupen plaça amb un baix nivell d’assistència i desaprofitament mentre</w:t>
      </w:r>
      <w:r>
        <w:rPr>
          <w:rFonts w:cs="Arial"/>
        </w:rPr>
        <w:t xml:space="preserve"> que</w:t>
      </w:r>
      <w:r w:rsidRPr="00647306">
        <w:rPr>
          <w:rFonts w:cs="Arial"/>
        </w:rPr>
        <w:t xml:space="preserve"> d’altres no </w:t>
      </w:r>
      <w:r>
        <w:rPr>
          <w:rFonts w:cs="Arial"/>
        </w:rPr>
        <w:t xml:space="preserve">en </w:t>
      </w:r>
      <w:r w:rsidRPr="00647306">
        <w:rPr>
          <w:rFonts w:cs="Arial"/>
        </w:rPr>
        <w:t xml:space="preserve">disposen de </w:t>
      </w:r>
      <w:r>
        <w:rPr>
          <w:rFonts w:cs="Arial"/>
        </w:rPr>
        <w:t>cap</w:t>
      </w:r>
      <w:r w:rsidRPr="00647306">
        <w:rPr>
          <w:rFonts w:cs="Arial"/>
        </w:rPr>
        <w:t>. En conseqüència</w:t>
      </w:r>
      <w:r>
        <w:rPr>
          <w:rFonts w:cs="Arial"/>
        </w:rPr>
        <w:t>,</w:t>
      </w:r>
      <w:r w:rsidRPr="00647306">
        <w:rPr>
          <w:rFonts w:cs="Arial"/>
        </w:rPr>
        <w:t xml:space="preserve"> les matriculacions presenten un èxit quantitatiu però caldria millorar el nivell d’eficiència.</w:t>
      </w:r>
    </w:p>
    <w:p w:rsidR="006A4109" w:rsidRPr="00647306" w:rsidRDefault="006A4109" w:rsidP="00E930B2">
      <w:pPr>
        <w:rPr>
          <w:rFonts w:cs="Arial"/>
        </w:rPr>
      </w:pPr>
      <w:r w:rsidRPr="00647306">
        <w:rPr>
          <w:rFonts w:cs="Arial"/>
        </w:rPr>
        <w:t xml:space="preserve">En aquestes circumstancies específiques </w:t>
      </w:r>
      <w:r>
        <w:rPr>
          <w:rFonts w:cs="Arial"/>
        </w:rPr>
        <w:t>(</w:t>
      </w:r>
      <w:r w:rsidRPr="00647306">
        <w:rPr>
          <w:rFonts w:cs="Arial"/>
        </w:rPr>
        <w:t>no assimilables al ciutadà lliure que s’integra voluntàriament en un pla de formació d’adults</w:t>
      </w:r>
      <w:r>
        <w:rPr>
          <w:rFonts w:cs="Arial"/>
        </w:rPr>
        <w:t>)</w:t>
      </w:r>
      <w:r w:rsidRPr="00647306">
        <w:rPr>
          <w:rFonts w:cs="Arial"/>
        </w:rPr>
        <w:t xml:space="preserve"> caldria una adaptació curricular, sobre el model i metodologia educativa, per part d’experts i dels equips docents.</w:t>
      </w:r>
    </w:p>
    <w:p w:rsidR="006A4109" w:rsidRPr="00F02D52" w:rsidRDefault="006A4109" w:rsidP="00E930B2">
      <w:pPr>
        <w:rPr>
          <w:rFonts w:cs="Arial"/>
          <w:i/>
          <w:color w:val="4F81BD" w:themeColor="accent1"/>
        </w:rPr>
      </w:pPr>
    </w:p>
    <w:p w:rsidR="006A4109" w:rsidRPr="00F02D52" w:rsidRDefault="006A4109" w:rsidP="0070401F">
      <w:pPr>
        <w:pStyle w:val="Ttol4"/>
      </w:pPr>
      <w:bookmarkStart w:id="334" w:name="_Toc463867792"/>
      <w:r w:rsidRPr="00F02D52">
        <w:t>Síntesi dels aspectes actuals més rellevants</w:t>
      </w:r>
      <w:bookmarkEnd w:id="334"/>
    </w:p>
    <w:p w:rsidR="006A4109" w:rsidRPr="00647306" w:rsidRDefault="006A4109" w:rsidP="00E930B2">
      <w:pPr>
        <w:rPr>
          <w:rFonts w:cs="Arial"/>
        </w:rPr>
      </w:pPr>
      <w:r w:rsidRPr="00647306">
        <w:rPr>
          <w:rFonts w:cs="Arial"/>
        </w:rPr>
        <w:t>Del relat d’aquest capítol</w:t>
      </w:r>
      <w:r>
        <w:rPr>
          <w:rFonts w:cs="Arial"/>
        </w:rPr>
        <w:t>, es poden</w:t>
      </w:r>
      <w:r w:rsidRPr="00647306">
        <w:rPr>
          <w:rFonts w:cs="Arial"/>
        </w:rPr>
        <w:t xml:space="preserve"> extreure alguns dels aspectes principals que requereixen un debat i reflexió com </w:t>
      </w:r>
      <w:r>
        <w:rPr>
          <w:rFonts w:cs="Arial"/>
        </w:rPr>
        <w:t xml:space="preserve">a </w:t>
      </w:r>
      <w:r w:rsidRPr="00647306">
        <w:rPr>
          <w:rFonts w:cs="Arial"/>
        </w:rPr>
        <w:t>aspectes crítics o polèmics del</w:t>
      </w:r>
      <w:r>
        <w:rPr>
          <w:rFonts w:cs="Arial"/>
        </w:rPr>
        <w:t>s</w:t>
      </w:r>
      <w:r w:rsidRPr="00647306">
        <w:rPr>
          <w:rFonts w:cs="Arial"/>
        </w:rPr>
        <w:t xml:space="preserve"> serveis educatius a presons:</w:t>
      </w:r>
    </w:p>
    <w:p w:rsidR="006A4109" w:rsidRPr="00647306" w:rsidRDefault="006A4109" w:rsidP="00AE0A20">
      <w:pPr>
        <w:pStyle w:val="Pargrafdellista"/>
        <w:numPr>
          <w:ilvl w:val="0"/>
          <w:numId w:val="14"/>
        </w:numPr>
        <w:rPr>
          <w:rFonts w:cs="Arial"/>
        </w:rPr>
      </w:pPr>
      <w:r w:rsidRPr="00647306">
        <w:rPr>
          <w:rFonts w:cs="Arial"/>
        </w:rPr>
        <w:t>Millorar la formació específica i acollida dels docents nouvinguts en rotació anual.</w:t>
      </w:r>
    </w:p>
    <w:p w:rsidR="006A4109" w:rsidRPr="00647306" w:rsidRDefault="006A4109" w:rsidP="00AE0A20">
      <w:pPr>
        <w:pStyle w:val="Pargrafdellista"/>
        <w:numPr>
          <w:ilvl w:val="0"/>
          <w:numId w:val="14"/>
        </w:numPr>
        <w:rPr>
          <w:rFonts w:cs="Arial"/>
        </w:rPr>
      </w:pPr>
      <w:r w:rsidRPr="00647306">
        <w:rPr>
          <w:rFonts w:cs="Arial"/>
        </w:rPr>
        <w:t>Formar els docents sobre les característiques de personalitat i perfils de la població interna.</w:t>
      </w:r>
    </w:p>
    <w:p w:rsidR="006A4109" w:rsidRPr="00647306" w:rsidRDefault="006A4109" w:rsidP="00AE0A20">
      <w:pPr>
        <w:pStyle w:val="Pargrafdellista"/>
        <w:numPr>
          <w:ilvl w:val="0"/>
          <w:numId w:val="14"/>
        </w:numPr>
        <w:rPr>
          <w:rFonts w:cs="Arial"/>
        </w:rPr>
      </w:pPr>
      <w:r w:rsidRPr="00647306">
        <w:rPr>
          <w:rFonts w:cs="Arial"/>
        </w:rPr>
        <w:t xml:space="preserve">Reflexionar sobre la necessitat d’un procés d’adaptació curricular específic per </w:t>
      </w:r>
      <w:r>
        <w:rPr>
          <w:rFonts w:cs="Arial"/>
        </w:rPr>
        <w:t xml:space="preserve">a </w:t>
      </w:r>
      <w:r w:rsidRPr="00647306">
        <w:rPr>
          <w:rFonts w:cs="Arial"/>
        </w:rPr>
        <w:t>adults del sistema penitenciari.</w:t>
      </w:r>
    </w:p>
    <w:p w:rsidR="006A4109" w:rsidRPr="00647306" w:rsidRDefault="006A4109" w:rsidP="00AE0A20">
      <w:pPr>
        <w:pStyle w:val="Pargrafdellista"/>
        <w:numPr>
          <w:ilvl w:val="0"/>
          <w:numId w:val="14"/>
        </w:numPr>
        <w:rPr>
          <w:rFonts w:cs="Arial"/>
        </w:rPr>
      </w:pPr>
      <w:r w:rsidRPr="00647306">
        <w:rPr>
          <w:rFonts w:cs="Arial"/>
        </w:rPr>
        <w:lastRenderedPageBreak/>
        <w:t>Aprofundir en l’actual model de relació entre la presó i l’escola, millora</w:t>
      </w:r>
      <w:r>
        <w:rPr>
          <w:rFonts w:cs="Arial"/>
        </w:rPr>
        <w:t>r</w:t>
      </w:r>
      <w:r w:rsidRPr="00647306">
        <w:rPr>
          <w:rFonts w:cs="Arial"/>
        </w:rPr>
        <w:t xml:space="preserve"> i homologa</w:t>
      </w:r>
      <w:r>
        <w:rPr>
          <w:rFonts w:cs="Arial"/>
        </w:rPr>
        <w:t>r</w:t>
      </w:r>
      <w:r w:rsidRPr="00647306">
        <w:rPr>
          <w:rFonts w:cs="Arial"/>
        </w:rPr>
        <w:t xml:space="preserve"> els sistemes de coordinació i participació entre les organitzacions.</w:t>
      </w:r>
    </w:p>
    <w:p w:rsidR="006A4109" w:rsidRPr="00647306" w:rsidRDefault="006A4109" w:rsidP="00AE0A20">
      <w:pPr>
        <w:pStyle w:val="Pargrafdellista"/>
        <w:numPr>
          <w:ilvl w:val="0"/>
          <w:numId w:val="14"/>
        </w:numPr>
        <w:rPr>
          <w:rFonts w:cs="Arial"/>
        </w:rPr>
      </w:pPr>
      <w:r w:rsidRPr="00647306">
        <w:rPr>
          <w:rFonts w:cs="Arial"/>
        </w:rPr>
        <w:t>Debatre sobre el concepte d’obligatorietat o priorització de l’àmbit formatiu en el conjunt d’ofertes i serveis del</w:t>
      </w:r>
      <w:r>
        <w:rPr>
          <w:rFonts w:cs="Arial"/>
        </w:rPr>
        <w:t xml:space="preserve"> ce</w:t>
      </w:r>
      <w:r w:rsidRPr="00647306">
        <w:rPr>
          <w:rFonts w:cs="Arial"/>
        </w:rPr>
        <w:t>ntre progressivament en competència.</w:t>
      </w:r>
    </w:p>
    <w:p w:rsidR="006A4109" w:rsidRPr="00647306" w:rsidRDefault="006A4109" w:rsidP="00AE0A20">
      <w:pPr>
        <w:pStyle w:val="Pargrafdellista"/>
        <w:numPr>
          <w:ilvl w:val="0"/>
          <w:numId w:val="14"/>
        </w:numPr>
        <w:rPr>
          <w:rFonts w:cs="Arial"/>
        </w:rPr>
      </w:pPr>
      <w:r w:rsidRPr="00647306">
        <w:rPr>
          <w:rFonts w:cs="Arial"/>
        </w:rPr>
        <w:t>Racionalitzar l’oferta docent en relació a</w:t>
      </w:r>
      <w:r>
        <w:rPr>
          <w:rFonts w:cs="Arial"/>
        </w:rPr>
        <w:t>mb</w:t>
      </w:r>
      <w:r w:rsidRPr="00647306">
        <w:rPr>
          <w:rFonts w:cs="Arial"/>
        </w:rPr>
        <w:t xml:space="preserve"> les matriculacions i la gestió de l’absentisme. Eliminació de llistes d’espera. </w:t>
      </w:r>
    </w:p>
    <w:p w:rsidR="006A4109" w:rsidRPr="00647306" w:rsidRDefault="006A4109" w:rsidP="00AE0A20">
      <w:pPr>
        <w:pStyle w:val="Pargrafdellista"/>
        <w:numPr>
          <w:ilvl w:val="0"/>
          <w:numId w:val="14"/>
        </w:numPr>
        <w:rPr>
          <w:rFonts w:cs="Arial"/>
        </w:rPr>
      </w:pPr>
      <w:r w:rsidRPr="00647306">
        <w:rPr>
          <w:rFonts w:cs="Arial"/>
        </w:rPr>
        <w:t xml:space="preserve">Analitzar sistemes d’implementació i generalització de les noves tecnologies i metodologies </w:t>
      </w:r>
      <w:r>
        <w:rPr>
          <w:rFonts w:cs="Arial"/>
        </w:rPr>
        <w:t>de formació mitjançant les TIC</w:t>
      </w:r>
      <w:r w:rsidRPr="00647306">
        <w:rPr>
          <w:rFonts w:cs="Arial"/>
        </w:rPr>
        <w:t>.</w:t>
      </w:r>
    </w:p>
    <w:p w:rsidR="006A4109" w:rsidRDefault="006A4109" w:rsidP="00AE0A20">
      <w:pPr>
        <w:pStyle w:val="Pargrafdellista"/>
        <w:numPr>
          <w:ilvl w:val="0"/>
          <w:numId w:val="14"/>
        </w:numPr>
        <w:rPr>
          <w:rFonts w:cs="Arial"/>
        </w:rPr>
      </w:pPr>
      <w:r w:rsidRPr="00647306">
        <w:rPr>
          <w:rFonts w:cs="Arial"/>
        </w:rPr>
        <w:t xml:space="preserve">Disponibilitat financera per </w:t>
      </w:r>
      <w:r>
        <w:rPr>
          <w:rFonts w:cs="Arial"/>
        </w:rPr>
        <w:t xml:space="preserve">a </w:t>
      </w:r>
      <w:r w:rsidRPr="00647306">
        <w:rPr>
          <w:rFonts w:cs="Arial"/>
        </w:rPr>
        <w:t>despeses corrents i material fungible.</w:t>
      </w:r>
    </w:p>
    <w:p w:rsidR="006A4109" w:rsidRPr="007507A8" w:rsidRDefault="006A4109" w:rsidP="00E930B2">
      <w:pPr>
        <w:rPr>
          <w:rFonts w:cs="Arial"/>
        </w:rPr>
      </w:pPr>
    </w:p>
    <w:p w:rsidR="006A4109" w:rsidRDefault="006A4109" w:rsidP="0070401F">
      <w:pPr>
        <w:pStyle w:val="Ttol3"/>
      </w:pPr>
      <w:bookmarkStart w:id="335" w:name="_Toc464685676"/>
      <w:bookmarkStart w:id="336" w:name="_Toc465293414"/>
      <w:r w:rsidRPr="00647306">
        <w:t>Serveis sanitaris</w:t>
      </w:r>
      <w:bookmarkEnd w:id="335"/>
      <w:bookmarkEnd w:id="336"/>
    </w:p>
    <w:p w:rsidR="006A4109" w:rsidRDefault="006A4109" w:rsidP="00E930B2">
      <w:pPr>
        <w:pStyle w:val="Pargrafdellista"/>
        <w:ind w:left="720"/>
        <w:rPr>
          <w:rFonts w:cs="Arial"/>
          <w:i/>
          <w:color w:val="4F81BD" w:themeColor="accent1"/>
        </w:rPr>
      </w:pPr>
    </w:p>
    <w:p w:rsidR="006A4109" w:rsidRPr="007507A8" w:rsidRDefault="006A4109" w:rsidP="00064125">
      <w:r w:rsidRPr="007507A8">
        <w:t>En rebre les competències en matèria penitenciària la Generalitat de Catalunya, l’any 1984, l’</w:t>
      </w:r>
      <w:r>
        <w:t>A</w:t>
      </w:r>
      <w:r w:rsidRPr="007507A8">
        <w:t xml:space="preserve">dministració penitenciària catalana es va trobar amb el repte de donar una assistència sanitària el més racional possible i que garantís el dret constitucional a la salut de tots els ciutadans privats de llibertat, amb els equipaments sanitaris </w:t>
      </w:r>
      <w:r>
        <w:t>que hi ha i un col·</w:t>
      </w:r>
      <w:r w:rsidRPr="007507A8">
        <w:t>lectiu de professionals sanitaris que no arribaven a 30 persones.</w:t>
      </w:r>
    </w:p>
    <w:p w:rsidR="006A4109" w:rsidRPr="007507A8" w:rsidRDefault="006A4109" w:rsidP="00064125">
      <w:pPr>
        <w:rPr>
          <w:b/>
        </w:rPr>
      </w:pPr>
      <w:bookmarkStart w:id="337" w:name="_Toc463867320"/>
      <w:bookmarkStart w:id="338" w:name="_Toc463867793"/>
      <w:r w:rsidRPr="007507A8">
        <w:t xml:space="preserve">La dècada dels 80 es va caracteritzar per l’arribada massiva de la població drogoaddicta als establiments penitenciaris. L’acumulació humana, la manca de recursos penitenciaris (no </w:t>
      </w:r>
      <w:r>
        <w:t>únicament</w:t>
      </w:r>
      <w:r w:rsidRPr="007507A8">
        <w:t xml:space="preserve"> sanitaris), la falta de sensibilitat i col</w:t>
      </w:r>
      <w:r>
        <w:t>·</w:t>
      </w:r>
      <w:r w:rsidRPr="007507A8">
        <w:t>laboració per part de l’Administració no penitenciària i les greus carències pel que fa a la salut de la població ingressada, configur</w:t>
      </w:r>
      <w:r>
        <w:t>av</w:t>
      </w:r>
      <w:r w:rsidRPr="007507A8">
        <w:t>en un quadre de difícil resolució que</w:t>
      </w:r>
      <w:r>
        <w:t xml:space="preserve"> ens permetia qualificar el col·lectiu penitenciari com a col·</w:t>
      </w:r>
      <w:r w:rsidRPr="007507A8">
        <w:t>lectiu d’alt risc sociosanitari.</w:t>
      </w:r>
      <w:bookmarkEnd w:id="337"/>
      <w:bookmarkEnd w:id="338"/>
      <w:r w:rsidRPr="007507A8">
        <w:t xml:space="preserve"> </w:t>
      </w:r>
    </w:p>
    <w:p w:rsidR="006A4109" w:rsidRPr="007507A8" w:rsidRDefault="006A4109" w:rsidP="00064125">
      <w:pPr>
        <w:rPr>
          <w:b/>
        </w:rPr>
      </w:pPr>
      <w:bookmarkStart w:id="339" w:name="_Toc463867321"/>
      <w:bookmarkStart w:id="340" w:name="_Toc463867794"/>
      <w:r w:rsidRPr="007507A8">
        <w:t xml:space="preserve">A més de l’elevada prevalença de certes malalties (en especial tuberculosi, hepatitis, malalties de transmissió sexual i infecció pel VIH), cal afegir la importància de la presó com a element generador de patologia, </w:t>
      </w:r>
      <w:r>
        <w:t xml:space="preserve">ja </w:t>
      </w:r>
      <w:r w:rsidRPr="007507A8">
        <w:t>si</w:t>
      </w:r>
      <w:r>
        <w:t>gui</w:t>
      </w:r>
      <w:r w:rsidRPr="007507A8">
        <w:t xml:space="preserve"> per la funció que té (privació de llibertat), </w:t>
      </w:r>
      <w:r>
        <w:t>o bé</w:t>
      </w:r>
      <w:r w:rsidRPr="007507A8">
        <w:t xml:space="preserve"> per les característiques no desitjables que s’hi associaven (amuntegament humà, manca d’higiene, violència i males condicions de vida en general).</w:t>
      </w:r>
      <w:bookmarkEnd w:id="339"/>
      <w:bookmarkEnd w:id="340"/>
    </w:p>
    <w:p w:rsidR="006A4109" w:rsidRPr="00425C02" w:rsidRDefault="006A4109" w:rsidP="00064125">
      <w:pPr>
        <w:rPr>
          <w:b/>
        </w:rPr>
      </w:pPr>
      <w:bookmarkStart w:id="341" w:name="_Toc463867322"/>
      <w:bookmarkStart w:id="342" w:name="_Toc463867795"/>
      <w:r w:rsidRPr="007507A8">
        <w:t xml:space="preserve">La transformació de l’assistència poc estructurada traspassada l’any 1984 a l’actual ha estat un procés progressiu i  continu. En síntesi es van establir quatre blocs temàtics: 1) Atenció primària,  2) Atenció especialitzada i hospitalària, 3) Salut </w:t>
      </w:r>
      <w:r>
        <w:t>m</w:t>
      </w:r>
      <w:r w:rsidRPr="007507A8">
        <w:t>e</w:t>
      </w:r>
      <w:r>
        <w:t>ntal i addiccions i 4) Atenció s</w:t>
      </w:r>
      <w:r w:rsidRPr="007507A8">
        <w:t>ociosanitària.</w:t>
      </w:r>
      <w:bookmarkEnd w:id="341"/>
      <w:bookmarkEnd w:id="342"/>
    </w:p>
    <w:p w:rsidR="006A4109" w:rsidRDefault="006A4109" w:rsidP="00BA6C47">
      <w:bookmarkStart w:id="343" w:name="_Toc463867796"/>
    </w:p>
    <w:p w:rsidR="006A4109" w:rsidRPr="00F02D52" w:rsidRDefault="006A4109" w:rsidP="0070401F">
      <w:pPr>
        <w:pStyle w:val="Ttol4"/>
      </w:pPr>
      <w:r w:rsidRPr="00F02D52">
        <w:t xml:space="preserve">Atenció </w:t>
      </w:r>
      <w:r w:rsidRPr="00EB1B4D">
        <w:t>primària</w:t>
      </w:r>
      <w:r w:rsidRPr="00F02D52">
        <w:t xml:space="preserve"> i promoció de la salut</w:t>
      </w:r>
      <w:bookmarkEnd w:id="343"/>
    </w:p>
    <w:p w:rsidR="006A4109" w:rsidRPr="00F02D52" w:rsidRDefault="006A4109" w:rsidP="00E930B2">
      <w:pPr>
        <w:rPr>
          <w:rFonts w:cs="Arial"/>
          <w:i/>
        </w:rPr>
      </w:pPr>
    </w:p>
    <w:p w:rsidR="006A4109" w:rsidRPr="007507A8" w:rsidRDefault="006A4109" w:rsidP="00E930B2">
      <w:pPr>
        <w:rPr>
          <w:rFonts w:cs="Arial"/>
        </w:rPr>
      </w:pPr>
      <w:r w:rsidRPr="007507A8">
        <w:rPr>
          <w:rFonts w:cs="Arial"/>
        </w:rPr>
        <w:t>El model d’atenció sanitària pretenia ser similar al sistema d’atenció primària de salut</w:t>
      </w:r>
      <w:r>
        <w:rPr>
          <w:rFonts w:cs="Arial"/>
        </w:rPr>
        <w:t>,</w:t>
      </w:r>
      <w:r w:rsidRPr="007507A8">
        <w:rPr>
          <w:rFonts w:cs="Arial"/>
        </w:rPr>
        <w:t xml:space="preserve"> tot respectant les característiques pròpies de l’àmbit penitenciari. En aquest sentit, es va</w:t>
      </w:r>
      <w:r>
        <w:rPr>
          <w:rFonts w:cs="Arial"/>
        </w:rPr>
        <w:t>n fer les actuacions següents.</w:t>
      </w:r>
    </w:p>
    <w:p w:rsidR="006A4109" w:rsidRPr="007507A8" w:rsidRDefault="006A4109" w:rsidP="00E930B2">
      <w:pPr>
        <w:rPr>
          <w:rFonts w:cs="Arial"/>
        </w:rPr>
      </w:pPr>
      <w:r w:rsidRPr="007507A8">
        <w:rPr>
          <w:rFonts w:cs="Arial"/>
        </w:rPr>
        <w:t>Potenciar els equips d’atenció primària (met</w:t>
      </w:r>
      <w:r>
        <w:rPr>
          <w:rFonts w:cs="Arial"/>
        </w:rPr>
        <w:t>ge, i</w:t>
      </w:r>
      <w:r w:rsidRPr="007507A8">
        <w:rPr>
          <w:rFonts w:cs="Arial"/>
        </w:rPr>
        <w:t>nfermer</w:t>
      </w:r>
      <w:r>
        <w:rPr>
          <w:rFonts w:cs="Arial"/>
        </w:rPr>
        <w:t>ia, a</w:t>
      </w:r>
      <w:r w:rsidRPr="007507A8">
        <w:rPr>
          <w:rFonts w:cs="Arial"/>
        </w:rPr>
        <w:t>uxiliar de clínica) en el sentit d’augmentar</w:t>
      </w:r>
      <w:r>
        <w:rPr>
          <w:rFonts w:cs="Arial"/>
        </w:rPr>
        <w:t>-ne</w:t>
      </w:r>
      <w:r w:rsidRPr="007507A8">
        <w:rPr>
          <w:rFonts w:cs="Arial"/>
        </w:rPr>
        <w:t xml:space="preserve"> el nombre i equiparar-los a la resta de professionals sanitaris públics. </w:t>
      </w:r>
    </w:p>
    <w:p w:rsidR="006A4109" w:rsidRPr="007507A8" w:rsidRDefault="006A4109" w:rsidP="00E930B2">
      <w:pPr>
        <w:rPr>
          <w:rFonts w:cs="Arial"/>
        </w:rPr>
      </w:pPr>
      <w:r w:rsidRPr="007507A8">
        <w:rPr>
          <w:rFonts w:cs="Arial"/>
        </w:rPr>
        <w:t>Crear la figura de</w:t>
      </w:r>
      <w:r>
        <w:rPr>
          <w:rFonts w:cs="Arial"/>
        </w:rPr>
        <w:t>l s</w:t>
      </w:r>
      <w:r w:rsidRPr="007507A8">
        <w:rPr>
          <w:rFonts w:cs="Arial"/>
        </w:rPr>
        <w:t xml:space="preserve">ubdirector </w:t>
      </w:r>
      <w:r>
        <w:rPr>
          <w:rFonts w:cs="Arial"/>
        </w:rPr>
        <w:t>m</w:t>
      </w:r>
      <w:r w:rsidRPr="007507A8">
        <w:rPr>
          <w:rFonts w:cs="Arial"/>
        </w:rPr>
        <w:t>èdic (22/10/1990), que va ser substituïda per la de coordinador de l’àrea sanitària l’any 2005. En aquest itinerari hem trobat aquest comandament en diferents nivells d’implicació i com</w:t>
      </w:r>
      <w:r>
        <w:rPr>
          <w:rFonts w:cs="Arial"/>
        </w:rPr>
        <w:t>petència directiva respecte al centre p</w:t>
      </w:r>
      <w:r w:rsidRPr="007507A8">
        <w:rPr>
          <w:rFonts w:cs="Arial"/>
        </w:rPr>
        <w:t>enitenciari.</w:t>
      </w:r>
    </w:p>
    <w:p w:rsidR="006A4109" w:rsidRPr="007507A8" w:rsidRDefault="006A4109" w:rsidP="00E930B2">
      <w:pPr>
        <w:rPr>
          <w:rFonts w:cs="Arial"/>
        </w:rPr>
      </w:pPr>
      <w:r w:rsidRPr="007507A8">
        <w:rPr>
          <w:rFonts w:cs="Arial"/>
        </w:rPr>
        <w:t xml:space="preserve">Ampliar el temps de presència física les 24 hores del dia, els 365 dies de l’any, dels professionals en els centres de gran capacitat. </w:t>
      </w:r>
    </w:p>
    <w:p w:rsidR="006A4109" w:rsidRPr="007507A8" w:rsidRDefault="006A4109" w:rsidP="00E930B2">
      <w:pPr>
        <w:rPr>
          <w:rFonts w:cs="Arial"/>
        </w:rPr>
      </w:pPr>
      <w:r w:rsidRPr="007507A8">
        <w:rPr>
          <w:rFonts w:cs="Arial"/>
        </w:rPr>
        <w:lastRenderedPageBreak/>
        <w:t>Augmentar els mitjans diagnòstics i terapèutics: equips de radiodiagnòstic, unitats de química seca.</w:t>
      </w:r>
    </w:p>
    <w:p w:rsidR="006A4109" w:rsidRPr="007507A8" w:rsidRDefault="006A4109" w:rsidP="00E930B2">
      <w:pPr>
        <w:rPr>
          <w:rFonts w:cs="Arial"/>
        </w:rPr>
      </w:pPr>
      <w:r w:rsidRPr="007507A8">
        <w:rPr>
          <w:rFonts w:cs="Arial"/>
        </w:rPr>
        <w:t>Reformar i mo</w:t>
      </w:r>
      <w:r>
        <w:rPr>
          <w:rFonts w:cs="Arial"/>
        </w:rPr>
        <w:t>dernitzar les infermeries dels c</w:t>
      </w:r>
      <w:r w:rsidRPr="007507A8">
        <w:rPr>
          <w:rFonts w:cs="Arial"/>
        </w:rPr>
        <w:t>entres penitenciaris</w:t>
      </w:r>
    </w:p>
    <w:p w:rsidR="006A4109" w:rsidRPr="007507A8" w:rsidRDefault="006A4109" w:rsidP="00E930B2">
      <w:pPr>
        <w:rPr>
          <w:rFonts w:cs="Arial"/>
        </w:rPr>
      </w:pPr>
      <w:r w:rsidRPr="007507A8">
        <w:rPr>
          <w:rFonts w:cs="Arial"/>
        </w:rPr>
        <w:t xml:space="preserve">Consolidar i potenciar tots els mecanismes de prevenció i promoció de la salut:  prevenció i vigilància epidemiològica, conjuntament amb les autoritats sanitàries. </w:t>
      </w:r>
    </w:p>
    <w:p w:rsidR="006A4109" w:rsidRPr="007507A8" w:rsidRDefault="006A4109" w:rsidP="00E930B2">
      <w:pPr>
        <w:rPr>
          <w:rFonts w:cs="Arial"/>
        </w:rPr>
      </w:pPr>
      <w:r w:rsidRPr="007507A8">
        <w:rPr>
          <w:rFonts w:cs="Arial"/>
        </w:rPr>
        <w:t>S’inici</w:t>
      </w:r>
      <w:r>
        <w:rPr>
          <w:rFonts w:cs="Arial"/>
        </w:rPr>
        <w:t>en</w:t>
      </w:r>
      <w:r w:rsidRPr="007507A8">
        <w:rPr>
          <w:rFonts w:cs="Arial"/>
        </w:rPr>
        <w:t xml:space="preserve"> els programes de prevenció i control de les malalties infectocontagioses més rellevants: Sida, hepatitis, tuberculosi i malalties de transmissió sexual. </w:t>
      </w:r>
    </w:p>
    <w:p w:rsidR="006A4109" w:rsidRPr="007507A8" w:rsidRDefault="006A4109" w:rsidP="00E930B2">
      <w:pPr>
        <w:rPr>
          <w:rFonts w:cs="Arial"/>
        </w:rPr>
      </w:pPr>
      <w:r w:rsidRPr="007507A8">
        <w:rPr>
          <w:rFonts w:cs="Arial"/>
        </w:rPr>
        <w:t>Pel que fa al programa de prevenció i control del VIH/</w:t>
      </w:r>
      <w:r>
        <w:rPr>
          <w:rFonts w:cs="Arial"/>
        </w:rPr>
        <w:t>s</w:t>
      </w:r>
      <w:r w:rsidRPr="007507A8">
        <w:rPr>
          <w:rFonts w:cs="Arial"/>
        </w:rPr>
        <w:t>ida,</w:t>
      </w:r>
      <w:r>
        <w:rPr>
          <w:rFonts w:cs="Arial"/>
        </w:rPr>
        <w:t xml:space="preserve"> es va signar un conveni de col·</w:t>
      </w:r>
      <w:r w:rsidRPr="007507A8">
        <w:rPr>
          <w:rFonts w:cs="Arial"/>
        </w:rPr>
        <w:t xml:space="preserve">laboració entre el Ministeri de </w:t>
      </w:r>
      <w:r>
        <w:rPr>
          <w:rFonts w:cs="Arial"/>
        </w:rPr>
        <w:t>Sanitat i Consum i els departaments de Salut i</w:t>
      </w:r>
      <w:r w:rsidRPr="007507A8">
        <w:rPr>
          <w:rFonts w:cs="Arial"/>
        </w:rPr>
        <w:t xml:space="preserve"> Justícia de la Generalitat de Catalunya, per prevenir la infecció pel VIH en els centres penitenciaris.</w:t>
      </w:r>
    </w:p>
    <w:p w:rsidR="006A4109" w:rsidRPr="007507A8" w:rsidRDefault="006A4109" w:rsidP="00E930B2">
      <w:pPr>
        <w:rPr>
          <w:rFonts w:cs="Arial"/>
        </w:rPr>
      </w:pPr>
      <w:r>
        <w:rPr>
          <w:rFonts w:cs="Arial"/>
        </w:rPr>
        <w:t>Es va fer un p</w:t>
      </w:r>
      <w:r w:rsidRPr="007507A8">
        <w:rPr>
          <w:rFonts w:cs="Arial"/>
        </w:rPr>
        <w:t>la de resposta davant una</w:t>
      </w:r>
      <w:r>
        <w:rPr>
          <w:rFonts w:cs="Arial"/>
        </w:rPr>
        <w:t xml:space="preserve"> possible pandèmia de grip aviària</w:t>
      </w:r>
      <w:r w:rsidRPr="007507A8">
        <w:rPr>
          <w:rFonts w:cs="Arial"/>
        </w:rPr>
        <w:t xml:space="preserve"> als centres penitenciaris (any 2005)</w:t>
      </w:r>
      <w:r>
        <w:rPr>
          <w:rFonts w:cs="Arial"/>
        </w:rPr>
        <w:t>.</w:t>
      </w:r>
    </w:p>
    <w:p w:rsidR="006A4109" w:rsidRPr="007507A8" w:rsidRDefault="006A4109" w:rsidP="00E930B2">
      <w:pPr>
        <w:rPr>
          <w:rFonts w:cs="Arial"/>
        </w:rPr>
      </w:pPr>
      <w:r w:rsidRPr="007507A8">
        <w:rPr>
          <w:rFonts w:cs="Arial"/>
        </w:rPr>
        <w:t xml:space="preserve">Revisió </w:t>
      </w:r>
      <w:r>
        <w:rPr>
          <w:rFonts w:cs="Arial"/>
        </w:rPr>
        <w:t>dels programes de s</w:t>
      </w:r>
      <w:r w:rsidRPr="007507A8">
        <w:rPr>
          <w:rFonts w:cs="Arial"/>
        </w:rPr>
        <w:t>uïcidis: cada dos</w:t>
      </w:r>
      <w:r>
        <w:rPr>
          <w:rFonts w:cs="Arial"/>
        </w:rPr>
        <w:t xml:space="preserve"> o</w:t>
      </w:r>
      <w:r w:rsidRPr="007507A8">
        <w:rPr>
          <w:rFonts w:cs="Arial"/>
        </w:rPr>
        <w:t xml:space="preserve"> tres anys es</w:t>
      </w:r>
      <w:r>
        <w:rPr>
          <w:rFonts w:cs="Arial"/>
        </w:rPr>
        <w:t xml:space="preserve"> fa conjuntament amb l’àrea de r</w:t>
      </w:r>
      <w:r w:rsidRPr="007507A8">
        <w:rPr>
          <w:rFonts w:cs="Arial"/>
        </w:rPr>
        <w:t xml:space="preserve">ehabilitació un recordatori i revisió del </w:t>
      </w:r>
      <w:r>
        <w:rPr>
          <w:rFonts w:cs="Arial"/>
        </w:rPr>
        <w:t>Programa de prevenció de s</w:t>
      </w:r>
      <w:r w:rsidRPr="007507A8">
        <w:rPr>
          <w:rFonts w:cs="Arial"/>
        </w:rPr>
        <w:t xml:space="preserve">uïcidis als </w:t>
      </w:r>
      <w:r>
        <w:rPr>
          <w:rFonts w:cs="Arial"/>
        </w:rPr>
        <w:t>c</w:t>
      </w:r>
      <w:r w:rsidRPr="007507A8">
        <w:rPr>
          <w:rFonts w:cs="Arial"/>
        </w:rPr>
        <w:t>entres penitenciaris de Catalunya.</w:t>
      </w:r>
    </w:p>
    <w:p w:rsidR="006A4109" w:rsidRPr="007507A8" w:rsidRDefault="006A4109" w:rsidP="00E930B2">
      <w:pPr>
        <w:rPr>
          <w:rFonts w:cs="Arial"/>
        </w:rPr>
      </w:pPr>
      <w:r w:rsidRPr="007507A8">
        <w:rPr>
          <w:rFonts w:cs="Arial"/>
        </w:rPr>
        <w:t>Ampliar nous programes relatius a la prevenció, control i tractament</w:t>
      </w:r>
      <w:r>
        <w:rPr>
          <w:rFonts w:cs="Arial"/>
        </w:rPr>
        <w:t xml:space="preserve"> de la infecció pel virus de l’</w:t>
      </w:r>
      <w:r w:rsidRPr="007507A8">
        <w:rPr>
          <w:rFonts w:cs="Arial"/>
        </w:rPr>
        <w:t xml:space="preserve">hepatitis C, a l’atenció odontològica, al programa d’ingressos, </w:t>
      </w:r>
      <w:r>
        <w:rPr>
          <w:rFonts w:cs="Arial"/>
        </w:rPr>
        <w:t>P</w:t>
      </w:r>
      <w:r w:rsidRPr="007507A8">
        <w:rPr>
          <w:rFonts w:cs="Arial"/>
        </w:rPr>
        <w:t xml:space="preserve">rograma específic d’atenció a la dona, </w:t>
      </w:r>
      <w:r>
        <w:rPr>
          <w:rFonts w:cs="Arial"/>
        </w:rPr>
        <w:t>P</w:t>
      </w:r>
      <w:r w:rsidRPr="007507A8">
        <w:rPr>
          <w:rFonts w:cs="Arial"/>
        </w:rPr>
        <w:t>rograma específic de p</w:t>
      </w:r>
      <w:r>
        <w:rPr>
          <w:rFonts w:cs="Arial"/>
        </w:rPr>
        <w:t>ediatria a la unitat de mares, P</w:t>
      </w:r>
      <w:r w:rsidRPr="007507A8">
        <w:rPr>
          <w:rFonts w:cs="Arial"/>
        </w:rPr>
        <w:t>rotocol d’actuació en cas d’exposició accidental pel VIH. Recomanacions en l’</w:t>
      </w:r>
      <w:r>
        <w:rPr>
          <w:rFonts w:cs="Arial"/>
        </w:rPr>
        <w:t>àmbit penitenciari, Programa d’h</w:t>
      </w:r>
      <w:r w:rsidRPr="007507A8">
        <w:rPr>
          <w:rFonts w:cs="Arial"/>
        </w:rPr>
        <w:t xml:space="preserve">igiene alimentària i sanejament ambiental, </w:t>
      </w:r>
      <w:r>
        <w:rPr>
          <w:rFonts w:cs="Arial"/>
        </w:rPr>
        <w:t>P</w:t>
      </w:r>
      <w:r w:rsidRPr="007507A8">
        <w:rPr>
          <w:rFonts w:cs="Arial"/>
        </w:rPr>
        <w:t>rograma de preven</w:t>
      </w:r>
      <w:r>
        <w:rPr>
          <w:rFonts w:cs="Arial"/>
        </w:rPr>
        <w:t>ció de suïcidis, entre d’altres.</w:t>
      </w:r>
    </w:p>
    <w:p w:rsidR="006A4109" w:rsidRPr="007507A8" w:rsidRDefault="006A4109" w:rsidP="00E930B2">
      <w:pPr>
        <w:rPr>
          <w:rFonts w:cs="Arial"/>
        </w:rPr>
      </w:pPr>
      <w:r w:rsidRPr="007507A8">
        <w:rPr>
          <w:rFonts w:cs="Arial"/>
        </w:rPr>
        <w:t>Es va organitzar la formació continuada i la recerca amb la signatura del Conveni de col</w:t>
      </w:r>
      <w:r>
        <w:rPr>
          <w:rFonts w:cs="Arial"/>
        </w:rPr>
        <w:t>·</w:t>
      </w:r>
      <w:r w:rsidRPr="007507A8">
        <w:rPr>
          <w:rFonts w:cs="Arial"/>
        </w:rPr>
        <w:t xml:space="preserve">laboració entre el Departament de Justícia i la Fundació Jordi Gol i Gurina el 1997 i la creació de la Comissió de Formació continuada i recerca l’any 2002. </w:t>
      </w:r>
    </w:p>
    <w:p w:rsidR="006A4109" w:rsidRPr="007507A8" w:rsidRDefault="006A4109" w:rsidP="00E930B2">
      <w:pPr>
        <w:rPr>
          <w:rFonts w:cs="Arial"/>
        </w:rPr>
      </w:pPr>
      <w:r w:rsidRPr="007507A8">
        <w:rPr>
          <w:rFonts w:cs="Arial"/>
        </w:rPr>
        <w:t>Es va</w:t>
      </w:r>
      <w:r>
        <w:rPr>
          <w:rFonts w:cs="Arial"/>
        </w:rPr>
        <w:t>n</w:t>
      </w:r>
      <w:r w:rsidRPr="007507A8">
        <w:rPr>
          <w:rFonts w:cs="Arial"/>
        </w:rPr>
        <w:t xml:space="preserve"> normalitzar els llibres reglamentaris, les històries clíniques i fi</w:t>
      </w:r>
      <w:r>
        <w:rPr>
          <w:rFonts w:cs="Arial"/>
        </w:rPr>
        <w:t>txes de reconeixement mèdic de l</w:t>
      </w:r>
      <w:r w:rsidRPr="007507A8">
        <w:rPr>
          <w:rFonts w:cs="Arial"/>
        </w:rPr>
        <w:t xml:space="preserve">’ingrés, fins </w:t>
      </w:r>
      <w:r>
        <w:rPr>
          <w:rFonts w:cs="Arial"/>
        </w:rPr>
        <w:t xml:space="preserve">que es va </w:t>
      </w:r>
      <w:r w:rsidRPr="007507A8">
        <w:rPr>
          <w:rFonts w:cs="Arial"/>
        </w:rPr>
        <w:t>arribar a l’aplicació</w:t>
      </w:r>
      <w:r>
        <w:rPr>
          <w:rFonts w:cs="Arial"/>
        </w:rPr>
        <w:t xml:space="preserve"> informatitzada de gestió dels s</w:t>
      </w:r>
      <w:r w:rsidRPr="007507A8">
        <w:rPr>
          <w:rFonts w:cs="Arial"/>
        </w:rPr>
        <w:t xml:space="preserve">erveis mèdics. Es van estandarditzar les estadístiques sanitàries mensuals. </w:t>
      </w:r>
    </w:p>
    <w:p w:rsidR="006A4109" w:rsidRPr="007507A8" w:rsidRDefault="006A4109" w:rsidP="00E930B2">
      <w:pPr>
        <w:rPr>
          <w:rFonts w:cs="Arial"/>
        </w:rPr>
      </w:pPr>
      <w:r w:rsidRPr="007507A8">
        <w:rPr>
          <w:rFonts w:cs="Arial"/>
        </w:rPr>
        <w:t>Ordenació farmacèutica. Desplegament de la guia farmacològica per als centres penitenciaris.</w:t>
      </w:r>
    </w:p>
    <w:p w:rsidR="006A4109" w:rsidRDefault="006A4109" w:rsidP="00E930B2">
      <w:pPr>
        <w:rPr>
          <w:rFonts w:cs="Arial"/>
        </w:rPr>
      </w:pPr>
      <w:r w:rsidRPr="007507A8">
        <w:rPr>
          <w:rFonts w:cs="Arial"/>
        </w:rPr>
        <w:t>Protocol d’actuacions entre CatSalut i el Departament de Justícia, amb la finalitat de reconèixer l’accés a la sanitat pública a càrrec d</w:t>
      </w:r>
      <w:r>
        <w:rPr>
          <w:rFonts w:cs="Arial"/>
        </w:rPr>
        <w:t>e CatSalut a determinats col·l</w:t>
      </w:r>
      <w:r w:rsidRPr="007507A8">
        <w:rPr>
          <w:rFonts w:cs="Arial"/>
        </w:rPr>
        <w:t>ectius (28 d’abril</w:t>
      </w:r>
      <w:r>
        <w:rPr>
          <w:rFonts w:cs="Arial"/>
        </w:rPr>
        <w:t xml:space="preserve"> de 2004).</w:t>
      </w:r>
    </w:p>
    <w:p w:rsidR="006A4109" w:rsidRDefault="006A4109" w:rsidP="00E930B2">
      <w:pPr>
        <w:rPr>
          <w:rFonts w:cs="Arial"/>
        </w:rPr>
      </w:pPr>
    </w:p>
    <w:p w:rsidR="00BA6C47" w:rsidRDefault="006A4109" w:rsidP="00BA6C47">
      <w:pPr>
        <w:keepNext/>
        <w:jc w:val="center"/>
      </w:pPr>
      <w:r w:rsidRPr="00F02D52">
        <w:rPr>
          <w:i/>
          <w:noProof/>
          <w:lang w:eastAsia="ca-ES"/>
        </w:rPr>
        <w:lastRenderedPageBreak/>
        <w:drawing>
          <wp:inline distT="0" distB="0" distL="0" distR="0" wp14:anchorId="390D10E6" wp14:editId="454E1242">
            <wp:extent cx="4914900" cy="2238375"/>
            <wp:effectExtent l="0" t="0" r="0" b="9525"/>
            <wp:docPr id="10" name="Imat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1">
                      <a:extLst>
                        <a:ext uri="{28A0092B-C50C-407E-A947-70E740481C1C}">
                          <a14:useLocalDpi xmlns:a14="http://schemas.microsoft.com/office/drawing/2010/main" val="0"/>
                        </a:ext>
                      </a:extLst>
                    </a:blip>
                    <a:srcRect t="37941" r="31393" b="20355"/>
                    <a:stretch>
                      <a:fillRect/>
                    </a:stretch>
                  </pic:blipFill>
                  <pic:spPr bwMode="auto">
                    <a:xfrm>
                      <a:off x="0" y="0"/>
                      <a:ext cx="4920317" cy="2240842"/>
                    </a:xfrm>
                    <a:prstGeom prst="rect">
                      <a:avLst/>
                    </a:prstGeom>
                    <a:noFill/>
                    <a:ln>
                      <a:noFill/>
                    </a:ln>
                  </pic:spPr>
                </pic:pic>
              </a:graphicData>
            </a:graphic>
          </wp:inline>
        </w:drawing>
      </w:r>
    </w:p>
    <w:p w:rsidR="006A4109" w:rsidRPr="00F02D52" w:rsidRDefault="009A1F67" w:rsidP="00BA6C47">
      <w:pPr>
        <w:pStyle w:val="Llegenda"/>
        <w:jc w:val="center"/>
        <w:rPr>
          <w:rFonts w:cs="Arial"/>
          <w:i/>
        </w:rPr>
      </w:pPr>
      <w:bookmarkStart w:id="344" w:name="_Toc465293826"/>
      <w:r>
        <w:t>Gràfic</w:t>
      </w:r>
      <w:r w:rsidR="00BA6C47">
        <w:t xml:space="preserve"> </w:t>
      </w:r>
      <w:r w:rsidR="00DB496B">
        <w:fldChar w:fldCharType="begin"/>
      </w:r>
      <w:r w:rsidR="00DB496B">
        <w:instrText xml:space="preserve"> SEQ Il·lustració \* ARABIC </w:instrText>
      </w:r>
      <w:r w:rsidR="00DB496B">
        <w:fldChar w:fldCharType="separate"/>
      </w:r>
      <w:r w:rsidR="00C952DF">
        <w:rPr>
          <w:noProof/>
        </w:rPr>
        <w:t>20</w:t>
      </w:r>
      <w:r w:rsidR="00DB496B">
        <w:rPr>
          <w:noProof/>
        </w:rPr>
        <w:fldChar w:fldCharType="end"/>
      </w:r>
      <w:r w:rsidR="00BA6C47">
        <w:t xml:space="preserve">. </w:t>
      </w:r>
      <w:r w:rsidR="00BA6C47" w:rsidRPr="008D5B74">
        <w:t>Evolució de la freqüència de visites als CP del 2016 i també per edats del mes d’agost</w:t>
      </w:r>
      <w:bookmarkEnd w:id="344"/>
    </w:p>
    <w:p w:rsidR="006A4109" w:rsidRPr="00F02D52" w:rsidRDefault="006A4109" w:rsidP="00E930B2">
      <w:pPr>
        <w:rPr>
          <w:rFonts w:cs="Arial"/>
          <w:i/>
        </w:rPr>
      </w:pPr>
    </w:p>
    <w:p w:rsidR="006A4109" w:rsidRPr="00F02D52" w:rsidRDefault="006A4109" w:rsidP="0070401F">
      <w:pPr>
        <w:pStyle w:val="Ttol4"/>
      </w:pPr>
      <w:bookmarkStart w:id="345" w:name="_Toc463867797"/>
      <w:r w:rsidRPr="00F02D52">
        <w:t>Atenció especialitzada i hospitalària</w:t>
      </w:r>
      <w:bookmarkEnd w:id="345"/>
    </w:p>
    <w:p w:rsidR="006A4109" w:rsidRPr="007507A8" w:rsidRDefault="006A4109" w:rsidP="00E930B2">
      <w:pPr>
        <w:rPr>
          <w:rFonts w:cs="Arial"/>
        </w:rPr>
      </w:pPr>
      <w:r w:rsidRPr="007507A8">
        <w:rPr>
          <w:rFonts w:cs="Arial"/>
        </w:rPr>
        <w:t>En rebre les competències es va voler afavorir l’ús de la xarxa d’hospitals d’utilització pública (XHUP) de Catalunya mitjançant conven</w:t>
      </w:r>
      <w:r>
        <w:rPr>
          <w:rFonts w:cs="Arial"/>
        </w:rPr>
        <w:t>is i concerts. Cal d</w:t>
      </w:r>
      <w:r w:rsidRPr="007507A8">
        <w:rPr>
          <w:rFonts w:cs="Arial"/>
        </w:rPr>
        <w:t>estacar el Conveni de prestació d’atenció sanitària que assegura l’accés als dispositius sanitaris públics (1991), pe</w:t>
      </w:r>
      <w:r>
        <w:rPr>
          <w:rFonts w:cs="Arial"/>
        </w:rPr>
        <w:t xml:space="preserve">l qual el Departament de Salut </w:t>
      </w:r>
      <w:r w:rsidRPr="007507A8">
        <w:rPr>
          <w:rFonts w:cs="Arial"/>
        </w:rPr>
        <w:t>assumeix els costos de l’atenció hospitalària penitenci</w:t>
      </w:r>
      <w:r>
        <w:rPr>
          <w:rFonts w:cs="Arial"/>
        </w:rPr>
        <w:t>à</w:t>
      </w:r>
      <w:r w:rsidRPr="007507A8">
        <w:rPr>
          <w:rFonts w:cs="Arial"/>
        </w:rPr>
        <w:t xml:space="preserve">ria i de les unitats de confinats als hospitals de referència. </w:t>
      </w:r>
    </w:p>
    <w:p w:rsidR="006A4109" w:rsidRPr="007507A8" w:rsidRDefault="006A4109" w:rsidP="00E930B2">
      <w:pPr>
        <w:rPr>
          <w:rFonts w:cs="Arial"/>
        </w:rPr>
      </w:pPr>
      <w:r>
        <w:rPr>
          <w:rFonts w:cs="Arial"/>
        </w:rPr>
        <w:t>Paral·</w:t>
      </w:r>
      <w:r w:rsidRPr="007507A8">
        <w:rPr>
          <w:rFonts w:cs="Arial"/>
        </w:rPr>
        <w:t>lelament, l’any 1987, es va a</w:t>
      </w:r>
      <w:r>
        <w:rPr>
          <w:rFonts w:cs="Arial"/>
        </w:rPr>
        <w:t>vançar en l’elaboració del Pla f</w:t>
      </w:r>
      <w:r w:rsidRPr="007507A8">
        <w:rPr>
          <w:rFonts w:cs="Arial"/>
        </w:rPr>
        <w:t>uncional de l’Hospital General Penitenciari pels</w:t>
      </w:r>
      <w:r>
        <w:rPr>
          <w:rFonts w:cs="Arial"/>
        </w:rPr>
        <w:t xml:space="preserve"> d</w:t>
      </w:r>
      <w:r w:rsidRPr="007507A8">
        <w:rPr>
          <w:rFonts w:cs="Arial"/>
        </w:rPr>
        <w:t>epartaments de Justícia i de Sanitat i Seguretat Social, amb una capa</w:t>
      </w:r>
      <w:r>
        <w:rPr>
          <w:rFonts w:cs="Arial"/>
        </w:rPr>
        <w:t xml:space="preserve">citat de 40 llits, que culmina l’any 1992, amb la posada en </w:t>
      </w:r>
      <w:r w:rsidRPr="007507A8">
        <w:rPr>
          <w:rFonts w:cs="Arial"/>
        </w:rPr>
        <w:t>marxa del PHPT, com a mòdul penitenciari integrat a l’Hospital del Con</w:t>
      </w:r>
      <w:r>
        <w:rPr>
          <w:rFonts w:cs="Arial"/>
        </w:rPr>
        <w:t xml:space="preserve">sorci Hospitalari de Terrassa. </w:t>
      </w:r>
    </w:p>
    <w:p w:rsidR="006A4109" w:rsidRPr="007507A8" w:rsidRDefault="006A4109" w:rsidP="00E930B2">
      <w:pPr>
        <w:rPr>
          <w:rFonts w:cs="Arial"/>
        </w:rPr>
      </w:pPr>
      <w:r w:rsidRPr="007507A8">
        <w:rPr>
          <w:rFonts w:cs="Arial"/>
        </w:rPr>
        <w:t xml:space="preserve">Progressivament, atenent a criteris de seguretat i eficiència, </w:t>
      </w:r>
      <w:r>
        <w:rPr>
          <w:rFonts w:cs="Arial"/>
        </w:rPr>
        <w:t>se signen</w:t>
      </w:r>
      <w:r w:rsidRPr="007507A8">
        <w:rPr>
          <w:rFonts w:cs="Arial"/>
        </w:rPr>
        <w:t xml:space="preserve"> els </w:t>
      </w:r>
      <w:r>
        <w:rPr>
          <w:rFonts w:cs="Arial"/>
        </w:rPr>
        <w:t>c</w:t>
      </w:r>
      <w:r w:rsidRPr="007507A8">
        <w:rPr>
          <w:rFonts w:cs="Arial"/>
        </w:rPr>
        <w:t>onvenis de co</w:t>
      </w:r>
      <w:r>
        <w:rPr>
          <w:rFonts w:cs="Arial"/>
        </w:rPr>
        <w:t>l·laboració interadministrativa</w:t>
      </w:r>
      <w:r w:rsidRPr="007507A8">
        <w:rPr>
          <w:rFonts w:cs="Arial"/>
        </w:rPr>
        <w:t xml:space="preserve"> entre el Consorci Sanitari de Terrassa</w:t>
      </w:r>
      <w:r>
        <w:rPr>
          <w:rFonts w:cs="Arial"/>
        </w:rPr>
        <w:t xml:space="preserve"> i el Departament de Justícia i</w:t>
      </w:r>
      <w:r w:rsidRPr="007507A8">
        <w:rPr>
          <w:rFonts w:cs="Arial"/>
        </w:rPr>
        <w:t xml:space="preserve"> entre l’Hospital Santa Maria de Lleida i el Departament de Justícia per </w:t>
      </w:r>
      <w:r>
        <w:rPr>
          <w:rFonts w:cs="Arial"/>
        </w:rPr>
        <w:t xml:space="preserve">a </w:t>
      </w:r>
      <w:r w:rsidRPr="007507A8">
        <w:rPr>
          <w:rFonts w:cs="Arial"/>
        </w:rPr>
        <w:t xml:space="preserve">la prestació de l’atenció especialitzada en presència als centres penitenciaris. </w:t>
      </w:r>
    </w:p>
    <w:p w:rsidR="006A4109" w:rsidRPr="007507A8" w:rsidRDefault="006A4109" w:rsidP="00E930B2">
      <w:pPr>
        <w:rPr>
          <w:rFonts w:cs="Arial"/>
        </w:rPr>
      </w:pPr>
      <w:r>
        <w:rPr>
          <w:rFonts w:cs="Arial"/>
        </w:rPr>
        <w:t>Aquest model es</w:t>
      </w:r>
      <w:r w:rsidRPr="007507A8">
        <w:rPr>
          <w:rFonts w:cs="Arial"/>
        </w:rPr>
        <w:t xml:space="preserve"> gener</w:t>
      </w:r>
      <w:r>
        <w:rPr>
          <w:rFonts w:cs="Arial"/>
        </w:rPr>
        <w:t xml:space="preserve">alitza d’acord amb el tipus de centres i </w:t>
      </w:r>
      <w:r w:rsidRPr="007507A8">
        <w:rPr>
          <w:rFonts w:cs="Arial"/>
        </w:rPr>
        <w:t>volum de demandes s</w:t>
      </w:r>
      <w:r>
        <w:rPr>
          <w:rFonts w:cs="Arial"/>
        </w:rPr>
        <w:t>ota criteris d’eficiència. A</w:t>
      </w:r>
      <w:r w:rsidRPr="007507A8">
        <w:rPr>
          <w:rFonts w:cs="Arial"/>
        </w:rPr>
        <w:t xml:space="preserve"> </w:t>
      </w:r>
      <w:r>
        <w:rPr>
          <w:rFonts w:cs="Arial"/>
        </w:rPr>
        <w:t>mesura</w:t>
      </w:r>
      <w:r w:rsidRPr="007507A8">
        <w:rPr>
          <w:rFonts w:cs="Arial"/>
        </w:rPr>
        <w:t xml:space="preserve"> que es posaven en funcionament els nous centres penitenciaris </w:t>
      </w:r>
      <w:r>
        <w:rPr>
          <w:rFonts w:cs="Arial"/>
        </w:rPr>
        <w:t xml:space="preserve"> (Lledoners, Puig de les Basses, etc</w:t>
      </w:r>
      <w:r w:rsidRPr="007507A8">
        <w:rPr>
          <w:rFonts w:cs="Arial"/>
        </w:rPr>
        <w:t xml:space="preserve">.) atès que amb el decret d’integració CatSalut se subroga en els drets i les obligacions derivats dels concerts, dels convenis i dels contractes en vigor, es fa càrrec de signar convenis o clàusules addicionals amb </w:t>
      </w:r>
      <w:r>
        <w:rPr>
          <w:rFonts w:cs="Arial"/>
        </w:rPr>
        <w:t>tots els proveïdors de salut.</w:t>
      </w:r>
    </w:p>
    <w:p w:rsidR="006A4109" w:rsidRPr="007507A8" w:rsidRDefault="006A4109" w:rsidP="00E930B2">
      <w:pPr>
        <w:rPr>
          <w:rFonts w:cs="Arial"/>
        </w:rPr>
      </w:pPr>
      <w:r w:rsidRPr="007507A8">
        <w:rPr>
          <w:rFonts w:cs="Arial"/>
        </w:rPr>
        <w:t xml:space="preserve">Les especialitats </w:t>
      </w:r>
      <w:r>
        <w:rPr>
          <w:rFonts w:cs="Arial"/>
        </w:rPr>
        <w:t>presencials</w:t>
      </w:r>
      <w:r w:rsidRPr="007507A8">
        <w:rPr>
          <w:rFonts w:cs="Arial"/>
        </w:rPr>
        <w:t xml:space="preserve"> en els centres penite</w:t>
      </w:r>
      <w:r>
        <w:rPr>
          <w:rFonts w:cs="Arial"/>
        </w:rPr>
        <w:t>nciaris són: Medicina interna, radiologia, ginecologia, dermatologia, c</w:t>
      </w:r>
      <w:r w:rsidRPr="007507A8">
        <w:rPr>
          <w:rFonts w:cs="Arial"/>
        </w:rPr>
        <w:t xml:space="preserve">irurgia, </w:t>
      </w:r>
      <w:r>
        <w:rPr>
          <w:rFonts w:cs="Arial"/>
        </w:rPr>
        <w:t>t</w:t>
      </w:r>
      <w:r w:rsidRPr="007507A8">
        <w:rPr>
          <w:rFonts w:cs="Arial"/>
        </w:rPr>
        <w:t xml:space="preserve">raumatologia, optometria, fisioteràpia, odontologia i  psiquiatria, </w:t>
      </w:r>
      <w:r>
        <w:rPr>
          <w:rFonts w:cs="Arial"/>
        </w:rPr>
        <w:t xml:space="preserve">que es </w:t>
      </w:r>
      <w:r w:rsidRPr="007507A8">
        <w:rPr>
          <w:rFonts w:cs="Arial"/>
        </w:rPr>
        <w:t xml:space="preserve"> distribu</w:t>
      </w:r>
      <w:r>
        <w:rPr>
          <w:rFonts w:cs="Arial"/>
        </w:rPr>
        <w:t>eixen</w:t>
      </w:r>
      <w:r w:rsidRPr="007507A8">
        <w:rPr>
          <w:rFonts w:cs="Arial"/>
        </w:rPr>
        <w:t xml:space="preserve"> segons </w:t>
      </w:r>
      <w:r>
        <w:rPr>
          <w:rFonts w:cs="Arial"/>
        </w:rPr>
        <w:t xml:space="preserve">les </w:t>
      </w:r>
      <w:r w:rsidRPr="007507A8">
        <w:rPr>
          <w:rFonts w:cs="Arial"/>
        </w:rPr>
        <w:t>característ</w:t>
      </w:r>
      <w:r>
        <w:rPr>
          <w:rFonts w:cs="Arial"/>
        </w:rPr>
        <w:t xml:space="preserve">iques del centre penitenciari. </w:t>
      </w:r>
    </w:p>
    <w:p w:rsidR="006A4109" w:rsidRPr="007507A8" w:rsidRDefault="006A4109" w:rsidP="00E930B2">
      <w:pPr>
        <w:rPr>
          <w:rFonts w:cs="Arial"/>
        </w:rPr>
      </w:pPr>
      <w:r w:rsidRPr="007507A8">
        <w:rPr>
          <w:rFonts w:cs="Arial"/>
        </w:rPr>
        <w:t>Finalment, amb aquest criteri de seguretat i eficiència, l’any 2003</w:t>
      </w:r>
      <w:r>
        <w:rPr>
          <w:rFonts w:cs="Arial"/>
        </w:rPr>
        <w:t>,</w:t>
      </w:r>
      <w:r w:rsidRPr="007507A8">
        <w:rPr>
          <w:rFonts w:cs="Arial"/>
        </w:rPr>
        <w:t xml:space="preserve"> es </w:t>
      </w:r>
      <w:r>
        <w:rPr>
          <w:rFonts w:cs="Arial"/>
        </w:rPr>
        <w:t>va posar en marxa el Servei de T</w:t>
      </w:r>
      <w:r w:rsidRPr="007507A8">
        <w:rPr>
          <w:rFonts w:cs="Arial"/>
        </w:rPr>
        <w:t>elemedicina (teleconsult</w:t>
      </w:r>
      <w:r>
        <w:rPr>
          <w:rFonts w:cs="Arial"/>
        </w:rPr>
        <w:t>a</w:t>
      </w:r>
      <w:r w:rsidRPr="007507A8">
        <w:rPr>
          <w:rFonts w:cs="Arial"/>
        </w:rPr>
        <w:t xml:space="preserve">) entre el CP de Lleida i el </w:t>
      </w:r>
      <w:r>
        <w:rPr>
          <w:rFonts w:cs="Arial"/>
        </w:rPr>
        <w:t>S</w:t>
      </w:r>
      <w:r w:rsidRPr="007507A8">
        <w:rPr>
          <w:rFonts w:cs="Arial"/>
        </w:rPr>
        <w:t>ervei de Medicina Interna de l’Hospital Arnau de Vilanova de Lleida.</w:t>
      </w:r>
    </w:p>
    <w:p w:rsidR="006A4109" w:rsidRDefault="006A4109" w:rsidP="00BA6C47"/>
    <w:p w:rsidR="00BA6C47" w:rsidRDefault="006A4109" w:rsidP="00BA6C47">
      <w:pPr>
        <w:keepNext/>
      </w:pPr>
      <w:r w:rsidRPr="00F02D52">
        <w:rPr>
          <w:i/>
          <w:noProof/>
          <w:lang w:eastAsia="ca-ES"/>
        </w:rPr>
        <w:lastRenderedPageBreak/>
        <w:drawing>
          <wp:inline distT="0" distB="0" distL="0" distR="0" wp14:anchorId="5F1F4B7C" wp14:editId="4E9FC843">
            <wp:extent cx="5760085" cy="3084740"/>
            <wp:effectExtent l="0" t="0" r="0" b="1905"/>
            <wp:docPr id="11" name="Imat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32">
                      <a:extLst>
                        <a:ext uri="{28A0092B-C50C-407E-A947-70E740481C1C}">
                          <a14:useLocalDpi xmlns:a14="http://schemas.microsoft.com/office/drawing/2010/main" val="0"/>
                        </a:ext>
                      </a:extLst>
                    </a:blip>
                    <a:srcRect t="25398" b="4675"/>
                    <a:stretch>
                      <a:fillRect/>
                    </a:stretch>
                  </pic:blipFill>
                  <pic:spPr bwMode="auto">
                    <a:xfrm>
                      <a:off x="0" y="0"/>
                      <a:ext cx="5760085" cy="3084740"/>
                    </a:xfrm>
                    <a:prstGeom prst="rect">
                      <a:avLst/>
                    </a:prstGeom>
                    <a:noFill/>
                    <a:ln>
                      <a:noFill/>
                    </a:ln>
                  </pic:spPr>
                </pic:pic>
              </a:graphicData>
            </a:graphic>
          </wp:inline>
        </w:drawing>
      </w:r>
    </w:p>
    <w:p w:rsidR="006A4109" w:rsidRPr="00F02D52" w:rsidRDefault="009A1F67" w:rsidP="00BA6C47">
      <w:pPr>
        <w:pStyle w:val="Llegenda"/>
        <w:rPr>
          <w:rFonts w:cs="Arial"/>
          <w:i/>
        </w:rPr>
      </w:pPr>
      <w:bookmarkStart w:id="346" w:name="_Toc465293827"/>
      <w:r>
        <w:t>Gràfic</w:t>
      </w:r>
      <w:r w:rsidR="00BA6C47">
        <w:t xml:space="preserve"> </w:t>
      </w:r>
      <w:r w:rsidR="00DB496B">
        <w:fldChar w:fldCharType="begin"/>
      </w:r>
      <w:r w:rsidR="00DB496B">
        <w:instrText xml:space="preserve"> SEQ Il·lustració \* ARABIC </w:instrText>
      </w:r>
      <w:r w:rsidR="00DB496B">
        <w:fldChar w:fldCharType="separate"/>
      </w:r>
      <w:r w:rsidR="00C952DF">
        <w:rPr>
          <w:noProof/>
        </w:rPr>
        <w:t>21</w:t>
      </w:r>
      <w:r w:rsidR="00DB496B">
        <w:rPr>
          <w:noProof/>
        </w:rPr>
        <w:fldChar w:fldCharType="end"/>
      </w:r>
      <w:r w:rsidR="00BA6C47">
        <w:t xml:space="preserve">. </w:t>
      </w:r>
      <w:r w:rsidR="00BA6C47" w:rsidRPr="003F263B">
        <w:t>La prevalença de malalties cròniques actuals</w:t>
      </w:r>
      <w:bookmarkEnd w:id="346"/>
    </w:p>
    <w:p w:rsidR="006A4109" w:rsidRDefault="006A4109" w:rsidP="0070401F">
      <w:bookmarkStart w:id="347" w:name="_Toc463867798"/>
    </w:p>
    <w:p w:rsidR="006A4109" w:rsidRPr="00F02D52" w:rsidRDefault="006A4109" w:rsidP="0070401F">
      <w:pPr>
        <w:pStyle w:val="Ttol4"/>
      </w:pPr>
      <w:r>
        <w:t>Salut m</w:t>
      </w:r>
      <w:r w:rsidRPr="00F02D52">
        <w:t xml:space="preserve">ental i </w:t>
      </w:r>
      <w:r>
        <w:t>d</w:t>
      </w:r>
      <w:r w:rsidRPr="00F02D52">
        <w:t>rogodependències</w:t>
      </w:r>
      <w:bookmarkEnd w:id="347"/>
    </w:p>
    <w:p w:rsidR="006A4109" w:rsidRPr="007507A8" w:rsidRDefault="006A4109" w:rsidP="00E930B2">
      <w:pPr>
        <w:rPr>
          <w:rFonts w:cs="Arial"/>
        </w:rPr>
      </w:pPr>
      <w:r w:rsidRPr="007507A8">
        <w:rPr>
          <w:rFonts w:cs="Arial"/>
        </w:rPr>
        <w:t xml:space="preserve">Amb el traspàs l’any 1984 ens trobem sense cap centre psiquiàtric penitenciari, l’atenció a  la població penitenciària amb malalties mentals va </w:t>
      </w:r>
      <w:r>
        <w:rPr>
          <w:rFonts w:cs="Arial"/>
        </w:rPr>
        <w:t>ser</w:t>
      </w:r>
      <w:r w:rsidRPr="007507A8">
        <w:rPr>
          <w:rFonts w:cs="Arial"/>
        </w:rPr>
        <w:t xml:space="preserve"> una assignatura pendent atesa l’alta prevalença dels t</w:t>
      </w:r>
      <w:r>
        <w:rPr>
          <w:rFonts w:cs="Arial"/>
        </w:rPr>
        <w:t>rastorns mentals, molt superior</w:t>
      </w:r>
      <w:r w:rsidRPr="007507A8">
        <w:rPr>
          <w:rFonts w:cs="Arial"/>
        </w:rPr>
        <w:t xml:space="preserve"> al de la població general, i agreujada, a més a més, per l’altíssi</w:t>
      </w:r>
      <w:r>
        <w:rPr>
          <w:rFonts w:cs="Arial"/>
        </w:rPr>
        <w:t>ma comorbiditat de trastorns de</w:t>
      </w:r>
      <w:r w:rsidRPr="007507A8">
        <w:rPr>
          <w:rFonts w:cs="Arial"/>
        </w:rPr>
        <w:t xml:space="preserve"> personalitat i abús i dependència a substàncies. </w:t>
      </w:r>
    </w:p>
    <w:p w:rsidR="006A4109" w:rsidRPr="007507A8" w:rsidRDefault="006A4109" w:rsidP="00E930B2">
      <w:pPr>
        <w:rPr>
          <w:rFonts w:cs="Arial"/>
        </w:rPr>
      </w:pPr>
      <w:r>
        <w:rPr>
          <w:rFonts w:cs="Arial"/>
        </w:rPr>
        <w:t>S’exposen, tot seguit, les a</w:t>
      </w:r>
      <w:r w:rsidRPr="007507A8">
        <w:rPr>
          <w:rFonts w:cs="Arial"/>
        </w:rPr>
        <w:t xml:space="preserve">ctuacions </w:t>
      </w:r>
      <w:r>
        <w:rPr>
          <w:rFonts w:cs="Arial"/>
        </w:rPr>
        <w:t>més rellevants en aquest àmbit.</w:t>
      </w:r>
    </w:p>
    <w:p w:rsidR="006A4109" w:rsidRPr="007507A8" w:rsidRDefault="006A4109" w:rsidP="00E930B2">
      <w:pPr>
        <w:rPr>
          <w:rFonts w:cs="Arial"/>
        </w:rPr>
      </w:pPr>
      <w:r w:rsidRPr="007507A8">
        <w:rPr>
          <w:rFonts w:cs="Arial"/>
        </w:rPr>
        <w:t xml:space="preserve">En un </w:t>
      </w:r>
      <w:r>
        <w:rPr>
          <w:rFonts w:cs="Arial"/>
        </w:rPr>
        <w:t>primer moment la DGSP</w:t>
      </w:r>
      <w:r w:rsidRPr="007507A8">
        <w:rPr>
          <w:rFonts w:cs="Arial"/>
        </w:rPr>
        <w:t>R amb el Servei Català de la Salut (SCS), va dotar tots els centres p</w:t>
      </w:r>
      <w:r>
        <w:rPr>
          <w:rFonts w:cs="Arial"/>
        </w:rPr>
        <w:t xml:space="preserve">enitenciaris d’un especialista en </w:t>
      </w:r>
      <w:r w:rsidRPr="007507A8">
        <w:rPr>
          <w:rFonts w:cs="Arial"/>
        </w:rPr>
        <w:t>psiquiatria com a consultor i va crear infraestructures dins de les infermeries dels centres de manera que pal</w:t>
      </w:r>
      <w:r>
        <w:rPr>
          <w:rFonts w:cs="Arial"/>
        </w:rPr>
        <w:t>·</w:t>
      </w:r>
      <w:r w:rsidRPr="007507A8">
        <w:rPr>
          <w:rFonts w:cs="Arial"/>
        </w:rPr>
        <w:t>liessin la manca de la unitat hospitalària penitenciària.</w:t>
      </w:r>
    </w:p>
    <w:p w:rsidR="006A4109" w:rsidRPr="007507A8" w:rsidRDefault="006A4109" w:rsidP="00E930B2">
      <w:pPr>
        <w:rPr>
          <w:rFonts w:cs="Arial"/>
        </w:rPr>
      </w:pPr>
      <w:r w:rsidRPr="007507A8">
        <w:rPr>
          <w:rFonts w:cs="Arial"/>
        </w:rPr>
        <w:t>L’any 1992 es va constituir la Comissió d’</w:t>
      </w:r>
      <w:r>
        <w:rPr>
          <w:rFonts w:cs="Arial"/>
        </w:rPr>
        <w:t>E</w:t>
      </w:r>
      <w:r w:rsidRPr="007507A8">
        <w:rPr>
          <w:rFonts w:cs="Arial"/>
        </w:rPr>
        <w:t xml:space="preserve">xperts en </w:t>
      </w:r>
      <w:r>
        <w:rPr>
          <w:rFonts w:cs="Arial"/>
        </w:rPr>
        <w:t>Salut M</w:t>
      </w:r>
      <w:r w:rsidRPr="007507A8">
        <w:rPr>
          <w:rFonts w:cs="Arial"/>
        </w:rPr>
        <w:t xml:space="preserve">ental, a proposta dels departaments de Justícia i </w:t>
      </w:r>
      <w:r>
        <w:rPr>
          <w:rFonts w:cs="Arial"/>
        </w:rPr>
        <w:t>S</w:t>
      </w:r>
      <w:r w:rsidRPr="007507A8">
        <w:rPr>
          <w:rFonts w:cs="Arial"/>
        </w:rPr>
        <w:t>anitat i Seguretat Social, per tal de redactar un pla de necessitats en l’àmbit de la psiquiatria penitenc</w:t>
      </w:r>
      <w:r>
        <w:rPr>
          <w:rFonts w:cs="Arial"/>
        </w:rPr>
        <w:t>ià</w:t>
      </w:r>
      <w:r w:rsidRPr="007507A8">
        <w:rPr>
          <w:rFonts w:cs="Arial"/>
        </w:rPr>
        <w:t xml:space="preserve">ria que, en línies generals, havia de configurar les actuacions coordinades dintre del Programa de salut mental creat el maig de 1990, mitjançant </w:t>
      </w:r>
      <w:r>
        <w:rPr>
          <w:rFonts w:cs="Arial"/>
        </w:rPr>
        <w:t>el</w:t>
      </w:r>
      <w:r w:rsidRPr="007507A8">
        <w:rPr>
          <w:rFonts w:cs="Arial"/>
        </w:rPr>
        <w:t xml:space="preserve"> Decret 149/1990. L’objectiu bàsic d’aquesta Comissió era la definició, l’organització i la dotació del que </w:t>
      </w:r>
      <w:r>
        <w:rPr>
          <w:rFonts w:cs="Arial"/>
        </w:rPr>
        <w:t>ha de ser</w:t>
      </w:r>
      <w:r w:rsidRPr="007507A8">
        <w:rPr>
          <w:rFonts w:cs="Arial"/>
        </w:rPr>
        <w:t xml:space="preserve"> el mòdul o la </w:t>
      </w:r>
      <w:r>
        <w:rPr>
          <w:rFonts w:cs="Arial"/>
        </w:rPr>
        <w:t>u</w:t>
      </w:r>
      <w:r w:rsidRPr="007507A8">
        <w:rPr>
          <w:rFonts w:cs="Arial"/>
        </w:rPr>
        <w:t>nitat psiquiàtrica penitenciària de Catalunya.</w:t>
      </w:r>
    </w:p>
    <w:p w:rsidR="006A4109" w:rsidRPr="007507A8" w:rsidRDefault="006A4109" w:rsidP="00E930B2">
      <w:pPr>
        <w:rPr>
          <w:rFonts w:cs="Arial"/>
        </w:rPr>
      </w:pPr>
      <w:r w:rsidRPr="007507A8">
        <w:rPr>
          <w:rFonts w:cs="Arial"/>
        </w:rPr>
        <w:t xml:space="preserve">A partir del treball generat per la comissió es reordena l’assistència en salut mental als centres penitenciaris de tal manera que el conjunt de dispositius que conformen l'assistència psiquiàtrica als centres penitenciaris de Catalunya abasten els tres nivells assistencials: serveis d'atenció primària, serveis d’internament i serveis de rehabilitació. </w:t>
      </w:r>
    </w:p>
    <w:p w:rsidR="006A4109" w:rsidRPr="007507A8" w:rsidRDefault="006A4109" w:rsidP="00E930B2">
      <w:pPr>
        <w:rPr>
          <w:rFonts w:cs="Arial"/>
        </w:rPr>
      </w:pPr>
      <w:r>
        <w:rPr>
          <w:rFonts w:cs="Arial"/>
        </w:rPr>
        <w:t>Serveis d'atenció primària: Segons</w:t>
      </w:r>
      <w:r w:rsidRPr="007507A8">
        <w:rPr>
          <w:rFonts w:cs="Arial"/>
        </w:rPr>
        <w:t xml:space="preserve"> la dimensió del centre penitenciari, disposen d'un professional psiquiatre consultor, qu</w:t>
      </w:r>
      <w:r>
        <w:rPr>
          <w:rFonts w:cs="Arial"/>
        </w:rPr>
        <w:t>e depèn de la xarxa pública de salut m</w:t>
      </w:r>
      <w:r w:rsidRPr="007507A8">
        <w:rPr>
          <w:rFonts w:cs="Arial"/>
        </w:rPr>
        <w:t>ental</w:t>
      </w:r>
      <w:r>
        <w:rPr>
          <w:rFonts w:cs="Arial"/>
        </w:rPr>
        <w:t>,</w:t>
      </w:r>
      <w:r w:rsidRPr="007507A8">
        <w:rPr>
          <w:rFonts w:cs="Arial"/>
        </w:rPr>
        <w:t xml:space="preserve"> mitjançant convenis de prestacions assistencials. </w:t>
      </w:r>
    </w:p>
    <w:p w:rsidR="006A4109" w:rsidRPr="007507A8" w:rsidRDefault="006A4109" w:rsidP="00E930B2">
      <w:pPr>
        <w:rPr>
          <w:rFonts w:cs="Arial"/>
        </w:rPr>
      </w:pPr>
      <w:r w:rsidRPr="007507A8">
        <w:rPr>
          <w:rFonts w:cs="Arial"/>
        </w:rPr>
        <w:t xml:space="preserve">Serveis d’internament: </w:t>
      </w:r>
      <w:r>
        <w:rPr>
          <w:rFonts w:cs="Arial"/>
        </w:rPr>
        <w:t>N’h</w:t>
      </w:r>
      <w:r w:rsidRPr="007507A8">
        <w:rPr>
          <w:rFonts w:cs="Arial"/>
        </w:rPr>
        <w:t xml:space="preserve">i ha </w:t>
      </w:r>
      <w:r>
        <w:rPr>
          <w:rFonts w:cs="Arial"/>
        </w:rPr>
        <w:t xml:space="preserve">de </w:t>
      </w:r>
      <w:r w:rsidRPr="007507A8">
        <w:rPr>
          <w:rFonts w:cs="Arial"/>
        </w:rPr>
        <w:t>tres tipus</w:t>
      </w:r>
      <w:r>
        <w:rPr>
          <w:rFonts w:cs="Arial"/>
        </w:rPr>
        <w:t>,</w:t>
      </w:r>
      <w:r w:rsidRPr="007507A8">
        <w:rPr>
          <w:rFonts w:cs="Arial"/>
        </w:rPr>
        <w:t xml:space="preserve"> les infermeries psiquiàtriques dels centres amb gran ocupació,  la Unitat Polivalent en </w:t>
      </w:r>
      <w:r>
        <w:rPr>
          <w:rFonts w:cs="Arial"/>
        </w:rPr>
        <w:t>S</w:t>
      </w:r>
      <w:r w:rsidRPr="007507A8">
        <w:rPr>
          <w:rFonts w:cs="Arial"/>
        </w:rPr>
        <w:t xml:space="preserve">alut </w:t>
      </w:r>
      <w:r>
        <w:rPr>
          <w:rFonts w:cs="Arial"/>
        </w:rPr>
        <w:t>M</w:t>
      </w:r>
      <w:r w:rsidRPr="007507A8">
        <w:rPr>
          <w:rFonts w:cs="Arial"/>
        </w:rPr>
        <w:t>ental del CP Quatre Cami</w:t>
      </w:r>
      <w:r>
        <w:rPr>
          <w:rFonts w:cs="Arial"/>
        </w:rPr>
        <w:t>ns, que es va obrir l’any 2001, i</w:t>
      </w:r>
      <w:r w:rsidRPr="007507A8">
        <w:rPr>
          <w:rFonts w:cs="Arial"/>
        </w:rPr>
        <w:t xml:space="preserve"> els serveis d’</w:t>
      </w:r>
      <w:r>
        <w:rPr>
          <w:rFonts w:cs="Arial"/>
        </w:rPr>
        <w:t>h</w:t>
      </w:r>
      <w:r w:rsidRPr="007507A8">
        <w:rPr>
          <w:rFonts w:cs="Arial"/>
        </w:rPr>
        <w:t xml:space="preserve">ospitalització, amb la Unitat d’Hospitalització Psiquiàtrica </w:t>
      </w:r>
      <w:r w:rsidRPr="007507A8">
        <w:rPr>
          <w:rFonts w:cs="Arial"/>
        </w:rPr>
        <w:lastRenderedPageBreak/>
        <w:t xml:space="preserve">Penitenciària de Catalunya, ubicada al </w:t>
      </w:r>
      <w:r>
        <w:rPr>
          <w:rFonts w:cs="Arial"/>
        </w:rPr>
        <w:t>C</w:t>
      </w:r>
      <w:r w:rsidRPr="007507A8">
        <w:rPr>
          <w:rFonts w:cs="Arial"/>
        </w:rPr>
        <w:t xml:space="preserve">entre </w:t>
      </w:r>
      <w:r>
        <w:rPr>
          <w:rFonts w:cs="Arial"/>
        </w:rPr>
        <w:t>P</w:t>
      </w:r>
      <w:r w:rsidRPr="007507A8">
        <w:rPr>
          <w:rFonts w:cs="Arial"/>
        </w:rPr>
        <w:t>enitenciari Brians que es va inaugurar l’any 2003.</w:t>
      </w:r>
    </w:p>
    <w:p w:rsidR="006A4109" w:rsidRPr="007507A8" w:rsidRDefault="006A4109" w:rsidP="00E930B2">
      <w:pPr>
        <w:rPr>
          <w:rFonts w:cs="Arial"/>
        </w:rPr>
      </w:pPr>
      <w:r>
        <w:rPr>
          <w:rFonts w:cs="Arial"/>
        </w:rPr>
        <w:t>Serveis de rehabilitació: A</w:t>
      </w:r>
      <w:r w:rsidRPr="007507A8">
        <w:rPr>
          <w:rFonts w:cs="Arial"/>
        </w:rPr>
        <w:t>dreçats a la recuperació de les capacitats deteriorades o perdudes com a conseqüència de l</w:t>
      </w:r>
      <w:r>
        <w:rPr>
          <w:rFonts w:cs="Arial"/>
        </w:rPr>
        <w:t>’</w:t>
      </w:r>
      <w:r w:rsidRPr="007507A8">
        <w:rPr>
          <w:rFonts w:cs="Arial"/>
        </w:rPr>
        <w:t xml:space="preserve">internament o de la mateixa malaltia. El 1999 es convenia amb la Fundació Malalts </w:t>
      </w:r>
      <w:r>
        <w:rPr>
          <w:rFonts w:cs="Arial"/>
        </w:rPr>
        <w:t>M</w:t>
      </w:r>
      <w:r w:rsidRPr="007507A8">
        <w:rPr>
          <w:rFonts w:cs="Arial"/>
        </w:rPr>
        <w:t xml:space="preserve">entals de </w:t>
      </w:r>
      <w:r>
        <w:rPr>
          <w:rFonts w:cs="Arial"/>
        </w:rPr>
        <w:t>Catalunya</w:t>
      </w:r>
      <w:r w:rsidRPr="007507A8">
        <w:rPr>
          <w:rFonts w:cs="Arial"/>
        </w:rPr>
        <w:t xml:space="preserve"> i l’associació Septimània, amb </w:t>
      </w:r>
      <w:r>
        <w:rPr>
          <w:rFonts w:cs="Arial"/>
        </w:rPr>
        <w:t xml:space="preserve">la </w:t>
      </w:r>
      <w:r w:rsidRPr="007507A8">
        <w:rPr>
          <w:rFonts w:cs="Arial"/>
        </w:rPr>
        <w:t>col</w:t>
      </w:r>
      <w:r>
        <w:rPr>
          <w:rFonts w:cs="Arial"/>
        </w:rPr>
        <w:t>·</w:t>
      </w:r>
      <w:r w:rsidRPr="007507A8">
        <w:rPr>
          <w:rFonts w:cs="Arial"/>
        </w:rPr>
        <w:t xml:space="preserve">laboració del Departament de Salut, un recurs de </w:t>
      </w:r>
      <w:r>
        <w:rPr>
          <w:rFonts w:cs="Arial"/>
        </w:rPr>
        <w:t>c</w:t>
      </w:r>
      <w:r w:rsidRPr="007507A8">
        <w:rPr>
          <w:rFonts w:cs="Arial"/>
        </w:rPr>
        <w:t xml:space="preserve">entre de </w:t>
      </w:r>
      <w:r>
        <w:rPr>
          <w:rFonts w:cs="Arial"/>
        </w:rPr>
        <w:t>d</w:t>
      </w:r>
      <w:r w:rsidRPr="007507A8">
        <w:rPr>
          <w:rFonts w:cs="Arial"/>
        </w:rPr>
        <w:t xml:space="preserve">ia (Pinel) per preparar el trànsit a la </w:t>
      </w:r>
      <w:r>
        <w:rPr>
          <w:rFonts w:cs="Arial"/>
        </w:rPr>
        <w:t>x</w:t>
      </w:r>
      <w:r w:rsidRPr="007507A8">
        <w:rPr>
          <w:rFonts w:cs="Arial"/>
        </w:rPr>
        <w:t>arxa pública de salut mental dels interns en semillibertat.</w:t>
      </w:r>
    </w:p>
    <w:p w:rsidR="006A4109" w:rsidRPr="007507A8" w:rsidRDefault="006A4109" w:rsidP="00E930B2">
      <w:pPr>
        <w:rPr>
          <w:rFonts w:cs="Arial"/>
        </w:rPr>
      </w:pPr>
      <w:r w:rsidRPr="007507A8">
        <w:rPr>
          <w:rFonts w:cs="Arial"/>
        </w:rPr>
        <w:t>D’altra banda</w:t>
      </w:r>
      <w:r>
        <w:rPr>
          <w:rFonts w:cs="Arial"/>
        </w:rPr>
        <w:t>, el PHPT dó</w:t>
      </w:r>
      <w:r w:rsidRPr="007507A8">
        <w:rPr>
          <w:rFonts w:cs="Arial"/>
        </w:rPr>
        <w:t>na supo</w:t>
      </w:r>
      <w:r>
        <w:rPr>
          <w:rFonts w:cs="Arial"/>
        </w:rPr>
        <w:t>rt amb quatre llits per atendre</w:t>
      </w:r>
      <w:r w:rsidRPr="007507A8">
        <w:rPr>
          <w:rFonts w:cs="Arial"/>
        </w:rPr>
        <w:t xml:space="preserve"> els malalts psiquiàtrics amb patologia orgànica que requerissin </w:t>
      </w:r>
      <w:r>
        <w:rPr>
          <w:rFonts w:cs="Arial"/>
        </w:rPr>
        <w:t xml:space="preserve">d’un </w:t>
      </w:r>
      <w:r w:rsidRPr="007507A8">
        <w:rPr>
          <w:rFonts w:cs="Arial"/>
        </w:rPr>
        <w:t>tractament específic.</w:t>
      </w:r>
    </w:p>
    <w:p w:rsidR="006A4109" w:rsidRPr="007507A8" w:rsidRDefault="006A4109" w:rsidP="00E930B2">
      <w:pPr>
        <w:rPr>
          <w:rFonts w:cs="Arial"/>
        </w:rPr>
      </w:pPr>
      <w:r w:rsidRPr="007507A8">
        <w:rPr>
          <w:rFonts w:cs="Arial"/>
        </w:rPr>
        <w:t>L’atenció a les persones amb dependència a substàncies no ha seguit ni segueix un model únic a tots els centres, intervenen des de l’atenció primària, els professionals penitenciaris (rehabilitació i tractament), els centres propis de la xarxa d’</w:t>
      </w:r>
      <w:r>
        <w:rPr>
          <w:rFonts w:cs="Arial"/>
        </w:rPr>
        <w:t>a</w:t>
      </w:r>
      <w:r w:rsidRPr="007507A8">
        <w:rPr>
          <w:rFonts w:cs="Arial"/>
        </w:rPr>
        <w:t xml:space="preserve">tenció a les </w:t>
      </w:r>
      <w:r>
        <w:rPr>
          <w:rFonts w:cs="Arial"/>
        </w:rPr>
        <w:t>d</w:t>
      </w:r>
      <w:r w:rsidRPr="007507A8">
        <w:rPr>
          <w:rFonts w:cs="Arial"/>
        </w:rPr>
        <w:t>rogodependències (XAD) o bé mitjançant c</w:t>
      </w:r>
      <w:r>
        <w:rPr>
          <w:rFonts w:cs="Arial"/>
        </w:rPr>
        <w:t>onvenis amb entitats externes. E</w:t>
      </w:r>
      <w:r w:rsidRPr="007507A8">
        <w:rPr>
          <w:rFonts w:cs="Arial"/>
        </w:rPr>
        <w:t>s despleguen els programes</w:t>
      </w:r>
      <w:r w:rsidRPr="00452F7F">
        <w:rPr>
          <w:rFonts w:cs="Arial"/>
        </w:rPr>
        <w:t xml:space="preserve"> </w:t>
      </w:r>
      <w:r w:rsidRPr="007507A8">
        <w:rPr>
          <w:rFonts w:cs="Arial"/>
        </w:rPr>
        <w:t>següents:</w:t>
      </w:r>
    </w:p>
    <w:p w:rsidR="006A4109" w:rsidRPr="007507A8" w:rsidRDefault="006A4109" w:rsidP="00AE0A20">
      <w:pPr>
        <w:pStyle w:val="Pargrafdellista"/>
        <w:numPr>
          <w:ilvl w:val="0"/>
          <w:numId w:val="15"/>
        </w:numPr>
        <w:rPr>
          <w:rFonts w:cs="Arial"/>
        </w:rPr>
      </w:pPr>
      <w:r w:rsidRPr="007507A8">
        <w:rPr>
          <w:rFonts w:cs="Arial"/>
        </w:rPr>
        <w:t>As</w:t>
      </w:r>
      <w:r>
        <w:rPr>
          <w:rFonts w:cs="Arial"/>
        </w:rPr>
        <w:t>sistència integral al toxicòman.</w:t>
      </w:r>
    </w:p>
    <w:p w:rsidR="006A4109" w:rsidRPr="007507A8" w:rsidRDefault="006A4109" w:rsidP="00AE0A20">
      <w:pPr>
        <w:pStyle w:val="Pargrafdellista"/>
        <w:numPr>
          <w:ilvl w:val="0"/>
          <w:numId w:val="15"/>
        </w:numPr>
        <w:rPr>
          <w:rFonts w:cs="Arial"/>
        </w:rPr>
      </w:pPr>
      <w:r w:rsidRPr="007507A8">
        <w:rPr>
          <w:rFonts w:cs="Arial"/>
        </w:rPr>
        <w:t>Tractament substitutori amb metadona.</w:t>
      </w:r>
    </w:p>
    <w:p w:rsidR="006A4109" w:rsidRPr="007507A8" w:rsidRDefault="006A4109" w:rsidP="00AE0A20">
      <w:pPr>
        <w:pStyle w:val="Pargrafdellista"/>
        <w:numPr>
          <w:ilvl w:val="0"/>
          <w:numId w:val="15"/>
        </w:numPr>
        <w:rPr>
          <w:rFonts w:cs="Arial"/>
        </w:rPr>
      </w:pPr>
      <w:r>
        <w:rPr>
          <w:rFonts w:cs="Arial"/>
        </w:rPr>
        <w:t>PIX (2003 programa p</w:t>
      </w:r>
      <w:r w:rsidRPr="007507A8">
        <w:rPr>
          <w:rFonts w:cs="Arial"/>
        </w:rPr>
        <w:t>ilot a Tarragona), no exempt inicialment de polèmica en la seva introducció.</w:t>
      </w:r>
    </w:p>
    <w:p w:rsidR="006A4109" w:rsidRPr="007507A8" w:rsidRDefault="006A4109" w:rsidP="00AE0A20">
      <w:pPr>
        <w:pStyle w:val="Pargrafdellista"/>
        <w:numPr>
          <w:ilvl w:val="0"/>
          <w:numId w:val="15"/>
        </w:numPr>
        <w:rPr>
          <w:rFonts w:cs="Arial"/>
        </w:rPr>
      </w:pPr>
      <w:r w:rsidRPr="007507A8">
        <w:rPr>
          <w:rFonts w:cs="Arial"/>
        </w:rPr>
        <w:t>Prevenció de sobredosi.</w:t>
      </w:r>
    </w:p>
    <w:p w:rsidR="006A4109" w:rsidRPr="007507A8" w:rsidRDefault="006A4109" w:rsidP="00AE0A20">
      <w:pPr>
        <w:pStyle w:val="Pargrafdellista"/>
        <w:numPr>
          <w:ilvl w:val="0"/>
          <w:numId w:val="15"/>
        </w:numPr>
        <w:rPr>
          <w:rFonts w:cs="Arial"/>
        </w:rPr>
      </w:pPr>
      <w:r w:rsidRPr="007507A8">
        <w:rPr>
          <w:rFonts w:cs="Arial"/>
        </w:rPr>
        <w:t>DAE Comunitat terapèutica per a l’atenció residencial i de llarga estada d’interns aïllats dels altres.</w:t>
      </w:r>
    </w:p>
    <w:p w:rsidR="006A4109" w:rsidRPr="007507A8" w:rsidRDefault="006A4109" w:rsidP="00AE0A20">
      <w:pPr>
        <w:pStyle w:val="Pargrafdellista"/>
        <w:numPr>
          <w:ilvl w:val="0"/>
          <w:numId w:val="15"/>
        </w:numPr>
        <w:rPr>
          <w:rFonts w:cs="Arial"/>
        </w:rPr>
      </w:pPr>
      <w:r w:rsidRPr="007507A8">
        <w:rPr>
          <w:rFonts w:cs="Arial"/>
        </w:rPr>
        <w:t xml:space="preserve">Acord </w:t>
      </w:r>
      <w:r>
        <w:rPr>
          <w:rFonts w:cs="Arial"/>
        </w:rPr>
        <w:t xml:space="preserve">de </w:t>
      </w:r>
      <w:r w:rsidRPr="007507A8">
        <w:rPr>
          <w:rFonts w:cs="Arial"/>
        </w:rPr>
        <w:t>l’any 2006, entre Justícia i Salut per</w:t>
      </w:r>
      <w:r>
        <w:rPr>
          <w:rFonts w:cs="Arial"/>
        </w:rPr>
        <w:t xml:space="preserve"> a</w:t>
      </w:r>
      <w:r w:rsidRPr="007507A8">
        <w:rPr>
          <w:rFonts w:cs="Arial"/>
        </w:rPr>
        <w:t xml:space="preserve"> la creació d’un servei en format CAS. Inicialment en funcionament a</w:t>
      </w:r>
      <w:r>
        <w:rPr>
          <w:rFonts w:cs="Arial"/>
        </w:rPr>
        <w:t>l CP</w:t>
      </w:r>
      <w:r w:rsidRPr="007507A8">
        <w:rPr>
          <w:rFonts w:cs="Arial"/>
        </w:rPr>
        <w:t xml:space="preserve"> Brians 1, posteriorment, amb la posada en marxa de Brians 2,  es van unificar i </w:t>
      </w:r>
      <w:r>
        <w:rPr>
          <w:rFonts w:cs="Arial"/>
        </w:rPr>
        <w:t xml:space="preserve">ara és </w:t>
      </w:r>
      <w:r w:rsidRPr="007507A8">
        <w:rPr>
          <w:rFonts w:cs="Arial"/>
        </w:rPr>
        <w:t>un únic CAS que assist</w:t>
      </w:r>
      <w:r>
        <w:rPr>
          <w:rFonts w:cs="Arial"/>
        </w:rPr>
        <w:t xml:space="preserve">eix </w:t>
      </w:r>
      <w:r w:rsidRPr="007507A8">
        <w:rPr>
          <w:rFonts w:cs="Arial"/>
        </w:rPr>
        <w:t>als dos centres.</w:t>
      </w:r>
    </w:p>
    <w:p w:rsidR="006A4109" w:rsidRDefault="006A4109" w:rsidP="00E930B2">
      <w:pPr>
        <w:spacing w:before="0"/>
        <w:jc w:val="left"/>
        <w:rPr>
          <w:rFonts w:eastAsiaTheme="majorEastAsia" w:cs="Arial"/>
          <w:i/>
          <w:iCs/>
          <w:color w:val="4F81BD" w:themeColor="accent1"/>
        </w:rPr>
      </w:pPr>
    </w:p>
    <w:p w:rsidR="006A4109" w:rsidRPr="00F02D52" w:rsidRDefault="006A4109" w:rsidP="0070401F">
      <w:pPr>
        <w:pStyle w:val="Ttol4"/>
      </w:pPr>
      <w:bookmarkStart w:id="348" w:name="_Toc463867799"/>
      <w:r w:rsidRPr="00F02D52">
        <w:t xml:space="preserve">Atenció </w:t>
      </w:r>
      <w:r w:rsidRPr="002A7616">
        <w:t>sociosanitària</w:t>
      </w:r>
      <w:bookmarkEnd w:id="348"/>
    </w:p>
    <w:p w:rsidR="006A4109" w:rsidRPr="007507A8" w:rsidRDefault="006A4109" w:rsidP="00E930B2">
      <w:pPr>
        <w:rPr>
          <w:rFonts w:cs="Arial"/>
        </w:rPr>
      </w:pPr>
      <w:r w:rsidRPr="007507A8">
        <w:rPr>
          <w:rFonts w:cs="Arial"/>
        </w:rPr>
        <w:t xml:space="preserve">En atenció a la problemàtica desbordant de la </w:t>
      </w:r>
      <w:r>
        <w:rPr>
          <w:rFonts w:cs="Arial"/>
        </w:rPr>
        <w:t>sida</w:t>
      </w:r>
      <w:r w:rsidRPr="007507A8">
        <w:rPr>
          <w:rFonts w:cs="Arial"/>
        </w:rPr>
        <w:t xml:space="preserve"> a fina</w:t>
      </w:r>
      <w:r>
        <w:rPr>
          <w:rFonts w:cs="Arial"/>
        </w:rPr>
        <w:t>ls dels anys 80, es va posar  en funcionament</w:t>
      </w:r>
      <w:r w:rsidRPr="007507A8">
        <w:rPr>
          <w:rFonts w:cs="Arial"/>
        </w:rPr>
        <w:t xml:space="preserve"> la primera Unitat de Cures Pal</w:t>
      </w:r>
      <w:r>
        <w:rPr>
          <w:rFonts w:cs="Arial"/>
        </w:rPr>
        <w:t>·</w:t>
      </w:r>
      <w:r w:rsidRPr="007507A8">
        <w:rPr>
          <w:rFonts w:cs="Arial"/>
        </w:rPr>
        <w:t xml:space="preserve">liatives per a </w:t>
      </w:r>
      <w:r>
        <w:rPr>
          <w:rFonts w:cs="Arial"/>
        </w:rPr>
        <w:t>M</w:t>
      </w:r>
      <w:r w:rsidRPr="007507A8">
        <w:rPr>
          <w:rFonts w:cs="Arial"/>
        </w:rPr>
        <w:t xml:space="preserve">alalts </w:t>
      </w:r>
      <w:r>
        <w:rPr>
          <w:rFonts w:cs="Arial"/>
        </w:rPr>
        <w:t>Terminals de S</w:t>
      </w:r>
      <w:r w:rsidRPr="007507A8">
        <w:rPr>
          <w:rFonts w:cs="Arial"/>
        </w:rPr>
        <w:t xml:space="preserve">ida </w:t>
      </w:r>
      <w:r>
        <w:rPr>
          <w:rFonts w:cs="Arial"/>
        </w:rPr>
        <w:t>en</w:t>
      </w:r>
      <w:r w:rsidRPr="007507A8">
        <w:rPr>
          <w:rFonts w:cs="Arial"/>
        </w:rPr>
        <w:t xml:space="preserve"> col</w:t>
      </w:r>
      <w:r>
        <w:rPr>
          <w:rFonts w:cs="Arial"/>
        </w:rPr>
        <w:t>·</w:t>
      </w:r>
      <w:r w:rsidRPr="007507A8">
        <w:rPr>
          <w:rFonts w:cs="Arial"/>
        </w:rPr>
        <w:t xml:space="preserve">laboració </w:t>
      </w:r>
      <w:r>
        <w:rPr>
          <w:rFonts w:cs="Arial"/>
        </w:rPr>
        <w:t>amb</w:t>
      </w:r>
      <w:r w:rsidRPr="007507A8">
        <w:rPr>
          <w:rFonts w:cs="Arial"/>
        </w:rPr>
        <w:t xml:space="preserve"> l’Orde Hospitalari de Sant Joan de Déu i amb el suport del Programa vida als anys del Departament de Sanitat i Seguretat Social (1991). Aquesta </w:t>
      </w:r>
      <w:r>
        <w:rPr>
          <w:rFonts w:cs="Arial"/>
        </w:rPr>
        <w:t>unitat va ser la primera en la qual</w:t>
      </w:r>
      <w:r w:rsidRPr="007507A8">
        <w:rPr>
          <w:rFonts w:cs="Arial"/>
        </w:rPr>
        <w:t xml:space="preserve"> ingressaven aquells interns a</w:t>
      </w:r>
      <w:r>
        <w:rPr>
          <w:rFonts w:cs="Arial"/>
        </w:rPr>
        <w:t>mb una malaltia inguarible i un</w:t>
      </w:r>
      <w:r w:rsidRPr="007507A8">
        <w:rPr>
          <w:rFonts w:cs="Arial"/>
        </w:rPr>
        <w:t xml:space="preserve"> pronòstic de vida infaust </w:t>
      </w:r>
      <w:r>
        <w:rPr>
          <w:rFonts w:cs="Arial"/>
        </w:rPr>
        <w:t>a</w:t>
      </w:r>
      <w:r w:rsidRPr="007507A8">
        <w:rPr>
          <w:rFonts w:cs="Arial"/>
        </w:rPr>
        <w:t xml:space="preserve"> curt i mi</w:t>
      </w:r>
      <w:r>
        <w:rPr>
          <w:rFonts w:cs="Arial"/>
        </w:rPr>
        <w:t>tjà</w:t>
      </w:r>
      <w:r w:rsidRPr="007507A8">
        <w:rPr>
          <w:rFonts w:cs="Arial"/>
        </w:rPr>
        <w:t xml:space="preserve"> termini.</w:t>
      </w:r>
    </w:p>
    <w:p w:rsidR="006A4109" w:rsidRPr="007507A8" w:rsidRDefault="006A4109" w:rsidP="00E930B2">
      <w:pPr>
        <w:rPr>
          <w:rFonts w:cs="Arial"/>
        </w:rPr>
      </w:pPr>
      <w:r w:rsidRPr="007507A8">
        <w:rPr>
          <w:rFonts w:cs="Arial"/>
        </w:rPr>
        <w:t>El 1992 es va crear el Programa d’atenció al pacient amb una malaltia avançada i molt greu e</w:t>
      </w:r>
      <w:r>
        <w:rPr>
          <w:rFonts w:cs="Arial"/>
        </w:rPr>
        <w:t xml:space="preserve">n el medi penitenciari català. </w:t>
      </w:r>
      <w:r w:rsidRPr="007507A8">
        <w:rPr>
          <w:rFonts w:cs="Arial"/>
        </w:rPr>
        <w:t>A partir de l’any 1993</w:t>
      </w:r>
      <w:r>
        <w:rPr>
          <w:rFonts w:cs="Arial"/>
        </w:rPr>
        <w:t xml:space="preserve">, es van afegir </w:t>
      </w:r>
      <w:r w:rsidRPr="007507A8">
        <w:rPr>
          <w:rFonts w:cs="Arial"/>
        </w:rPr>
        <w:t xml:space="preserve">altres centres: Hospital de S. Llàtzer, Clínica Barceloneta, etc. Atenent a l’augment d’interns que havien de ser derivats a recursos sociosanitaris, el nombre d’interns derivats va augmentar fins </w:t>
      </w:r>
      <w:r>
        <w:rPr>
          <w:rFonts w:cs="Arial"/>
        </w:rPr>
        <w:t xml:space="preserve">a </w:t>
      </w:r>
      <w:r w:rsidRPr="007507A8">
        <w:rPr>
          <w:rFonts w:cs="Arial"/>
        </w:rPr>
        <w:t xml:space="preserve">l’any 1995 (70 interns). </w:t>
      </w:r>
    </w:p>
    <w:p w:rsidR="006A4109" w:rsidRPr="007507A8" w:rsidRDefault="006A4109" w:rsidP="00E930B2">
      <w:pPr>
        <w:rPr>
          <w:rFonts w:cs="Arial"/>
        </w:rPr>
      </w:pPr>
      <w:r w:rsidRPr="007507A8">
        <w:rPr>
          <w:rFonts w:cs="Arial"/>
        </w:rPr>
        <w:t xml:space="preserve">La disponibilitat de millors tractaments i de la salut general dels interns, va disminuir el nombre d’ingressos en aquestes unitats i </w:t>
      </w:r>
      <w:r>
        <w:rPr>
          <w:rFonts w:cs="Arial"/>
        </w:rPr>
        <w:t xml:space="preserve">va </w:t>
      </w:r>
      <w:r w:rsidRPr="007507A8">
        <w:rPr>
          <w:rFonts w:cs="Arial"/>
        </w:rPr>
        <w:t>allargar</w:t>
      </w:r>
      <w:r>
        <w:rPr>
          <w:rFonts w:cs="Arial"/>
        </w:rPr>
        <w:t>-ne</w:t>
      </w:r>
      <w:r w:rsidRPr="007507A8">
        <w:rPr>
          <w:rFonts w:cs="Arial"/>
        </w:rPr>
        <w:t xml:space="preserve"> el temps d’estada. L’any 2013 van ingressar 14 interns en els dif</w:t>
      </w:r>
      <w:r>
        <w:rPr>
          <w:rFonts w:cs="Arial"/>
        </w:rPr>
        <w:t>erents recursos sociosanitaris.</w:t>
      </w:r>
    </w:p>
    <w:p w:rsidR="007B2744" w:rsidRDefault="006A4109" w:rsidP="007B2744">
      <w:pPr>
        <w:keepNext/>
      </w:pPr>
      <w:r w:rsidRPr="00F02D52">
        <w:rPr>
          <w:i/>
          <w:noProof/>
          <w:lang w:eastAsia="ca-ES"/>
        </w:rPr>
        <w:lastRenderedPageBreak/>
        <w:drawing>
          <wp:inline distT="0" distB="0" distL="0" distR="0" wp14:anchorId="79F12DF9" wp14:editId="347DAC22">
            <wp:extent cx="5760085" cy="2999053"/>
            <wp:effectExtent l="0" t="0" r="0" b="0"/>
            <wp:docPr id="14" name="Imat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33">
                      <a:extLst>
                        <a:ext uri="{28A0092B-C50C-407E-A947-70E740481C1C}">
                          <a14:useLocalDpi xmlns:a14="http://schemas.microsoft.com/office/drawing/2010/main" val="0"/>
                        </a:ext>
                      </a:extLst>
                    </a:blip>
                    <a:srcRect t="25085" r="3880" b="5618"/>
                    <a:stretch>
                      <a:fillRect/>
                    </a:stretch>
                  </pic:blipFill>
                  <pic:spPr bwMode="auto">
                    <a:xfrm>
                      <a:off x="0" y="0"/>
                      <a:ext cx="5760085" cy="2999053"/>
                    </a:xfrm>
                    <a:prstGeom prst="rect">
                      <a:avLst/>
                    </a:prstGeom>
                    <a:noFill/>
                    <a:ln>
                      <a:noFill/>
                    </a:ln>
                  </pic:spPr>
                </pic:pic>
              </a:graphicData>
            </a:graphic>
          </wp:inline>
        </w:drawing>
      </w:r>
    </w:p>
    <w:p w:rsidR="006A4109" w:rsidRPr="00F02D52" w:rsidRDefault="009A1F67" w:rsidP="007B2744">
      <w:pPr>
        <w:pStyle w:val="Llegenda"/>
        <w:jc w:val="center"/>
        <w:rPr>
          <w:rFonts w:cs="Arial"/>
          <w:i/>
          <w:color w:val="4F81BD" w:themeColor="accent1"/>
        </w:rPr>
      </w:pPr>
      <w:bookmarkStart w:id="349" w:name="_Toc465293828"/>
      <w:r>
        <w:t>Gràfic</w:t>
      </w:r>
      <w:r w:rsidR="007B2744">
        <w:t xml:space="preserve"> </w:t>
      </w:r>
      <w:r w:rsidR="00DB496B">
        <w:fldChar w:fldCharType="begin"/>
      </w:r>
      <w:r w:rsidR="00DB496B">
        <w:instrText xml:space="preserve"> SEQ Il·lustració \* ARABIC </w:instrText>
      </w:r>
      <w:r w:rsidR="00DB496B">
        <w:fldChar w:fldCharType="separate"/>
      </w:r>
      <w:r w:rsidR="00C952DF">
        <w:rPr>
          <w:noProof/>
        </w:rPr>
        <w:t>22</w:t>
      </w:r>
      <w:r w:rsidR="00DB496B">
        <w:rPr>
          <w:noProof/>
        </w:rPr>
        <w:fldChar w:fldCharType="end"/>
      </w:r>
      <w:r w:rsidR="007B2744">
        <w:t xml:space="preserve">. </w:t>
      </w:r>
      <w:r w:rsidR="007B2744" w:rsidRPr="003D67DC">
        <w:t>La prevalença de malalties agudes actuals</w:t>
      </w:r>
      <w:bookmarkEnd w:id="349"/>
    </w:p>
    <w:p w:rsidR="006A4109" w:rsidRPr="00F02D52" w:rsidRDefault="006A4109" w:rsidP="0070401F">
      <w:pPr>
        <w:pStyle w:val="Ttol4"/>
      </w:pPr>
      <w:bookmarkStart w:id="350" w:name="_Toc463867800"/>
      <w:r w:rsidRPr="00F02D52">
        <w:t xml:space="preserve">Balanç </w:t>
      </w:r>
      <w:r w:rsidRPr="00EB1B4D">
        <w:t>de</w:t>
      </w:r>
      <w:r w:rsidRPr="00F02D52">
        <w:t xml:space="preserve"> la situació prèvia a la transferència</w:t>
      </w:r>
      <w:bookmarkEnd w:id="350"/>
    </w:p>
    <w:p w:rsidR="006A4109" w:rsidRPr="007507A8" w:rsidRDefault="006A4109" w:rsidP="00E930B2">
      <w:pPr>
        <w:rPr>
          <w:rFonts w:cs="Arial"/>
        </w:rPr>
      </w:pPr>
      <w:r w:rsidRPr="007507A8">
        <w:rPr>
          <w:rFonts w:cs="Arial"/>
        </w:rPr>
        <w:t>Així doncs, des d’aquells temps s’ha transformat una assistència poc estructurada en una assistènc</w:t>
      </w:r>
      <w:r>
        <w:rPr>
          <w:rFonts w:cs="Arial"/>
        </w:rPr>
        <w:t xml:space="preserve">ia programada i continuada. </w:t>
      </w:r>
      <w:r w:rsidRPr="007507A8">
        <w:rPr>
          <w:rFonts w:cs="Arial"/>
        </w:rPr>
        <w:t xml:space="preserve">Aquests esforços van obtenir els seus fruits, </w:t>
      </w:r>
      <w:r>
        <w:rPr>
          <w:rFonts w:cs="Arial"/>
        </w:rPr>
        <w:t xml:space="preserve">i es va </w:t>
      </w:r>
      <w:r w:rsidRPr="007507A8">
        <w:rPr>
          <w:rFonts w:cs="Arial"/>
        </w:rPr>
        <w:t>assoli</w:t>
      </w:r>
      <w:r>
        <w:rPr>
          <w:rFonts w:cs="Arial"/>
        </w:rPr>
        <w:t>r</w:t>
      </w:r>
      <w:r w:rsidRPr="007507A8">
        <w:rPr>
          <w:rFonts w:cs="Arial"/>
        </w:rPr>
        <w:t xml:space="preserve"> una operativitat de la sanitat penitenciària alta i amb un alt grau d’eficàcia </w:t>
      </w:r>
      <w:r>
        <w:rPr>
          <w:rFonts w:cs="Arial"/>
        </w:rPr>
        <w:t>malgrat</w:t>
      </w:r>
      <w:r w:rsidRPr="007507A8">
        <w:rPr>
          <w:rFonts w:cs="Arial"/>
        </w:rPr>
        <w:t xml:space="preserve"> uns recursos limitats, de vegades duplicant esforços, </w:t>
      </w:r>
      <w:r>
        <w:rPr>
          <w:rFonts w:cs="Arial"/>
        </w:rPr>
        <w:t>pel seu caràcter de xarxa paral·</w:t>
      </w:r>
      <w:r w:rsidRPr="007507A8">
        <w:rPr>
          <w:rFonts w:cs="Arial"/>
        </w:rPr>
        <w:t xml:space="preserve">lela, però mostrava dificultats de relació i coordinació amb els dispositius normalitzats del </w:t>
      </w:r>
      <w:r>
        <w:rPr>
          <w:rFonts w:cs="Arial"/>
        </w:rPr>
        <w:t>sistema p</w:t>
      </w:r>
      <w:r w:rsidRPr="007507A8">
        <w:rPr>
          <w:rFonts w:cs="Arial"/>
        </w:rPr>
        <w:t xml:space="preserve">úblic de </w:t>
      </w:r>
      <w:r>
        <w:rPr>
          <w:rFonts w:cs="Arial"/>
        </w:rPr>
        <w:t>s</w:t>
      </w:r>
      <w:r w:rsidRPr="007507A8">
        <w:rPr>
          <w:rFonts w:cs="Arial"/>
        </w:rPr>
        <w:t xml:space="preserve">alut. </w:t>
      </w:r>
    </w:p>
    <w:p w:rsidR="006A4109" w:rsidRPr="007507A8" w:rsidRDefault="006A4109" w:rsidP="00E930B2">
      <w:pPr>
        <w:rPr>
          <w:rFonts w:cs="Arial"/>
        </w:rPr>
      </w:pPr>
      <w:r w:rsidRPr="007507A8">
        <w:rPr>
          <w:rFonts w:cs="Arial"/>
        </w:rPr>
        <w:t xml:space="preserve">La transformació </w:t>
      </w:r>
      <w:r>
        <w:rPr>
          <w:rFonts w:cs="Arial"/>
        </w:rPr>
        <w:t>efectuada en aquests anys per l’A</w:t>
      </w:r>
      <w:r w:rsidRPr="007507A8">
        <w:rPr>
          <w:rFonts w:cs="Arial"/>
        </w:rPr>
        <w:t xml:space="preserve">dministració </w:t>
      </w:r>
      <w:r>
        <w:rPr>
          <w:rFonts w:cs="Arial"/>
        </w:rPr>
        <w:t>p</w:t>
      </w:r>
      <w:r w:rsidRPr="007507A8">
        <w:rPr>
          <w:rFonts w:cs="Arial"/>
        </w:rPr>
        <w:t xml:space="preserve">enitenciària en matèria sanitària, encara que amb resultats molt satisfactoris, és considerada un referent per  la seva organització i pels programes de </w:t>
      </w:r>
      <w:r>
        <w:rPr>
          <w:rFonts w:cs="Arial"/>
        </w:rPr>
        <w:t>prevenció i control que es duen a terme,</w:t>
      </w:r>
      <w:r w:rsidRPr="007507A8">
        <w:rPr>
          <w:rFonts w:cs="Arial"/>
        </w:rPr>
        <w:t xml:space="preserve"> va ser probablement, el màxim que permetia la seva capacitat. </w:t>
      </w:r>
      <w:r>
        <w:rPr>
          <w:rFonts w:cs="Arial"/>
        </w:rPr>
        <w:t>La fase següent era</w:t>
      </w:r>
      <w:r w:rsidRPr="007507A8">
        <w:rPr>
          <w:rFonts w:cs="Arial"/>
        </w:rPr>
        <w:t xml:space="preserve"> l’efectiva integració dels serveis sanitaris penitenciaris en la xarxa sanitària </w:t>
      </w:r>
      <w:r>
        <w:rPr>
          <w:rFonts w:cs="Arial"/>
        </w:rPr>
        <w:t>que depèn</w:t>
      </w:r>
      <w:r w:rsidRPr="007507A8">
        <w:rPr>
          <w:rFonts w:cs="Arial"/>
        </w:rPr>
        <w:t xml:space="preserve"> del Departament de Salut i evitar la subsistència de dos sistemes sanitaris públics en paral</w:t>
      </w:r>
      <w:r>
        <w:rPr>
          <w:rFonts w:cs="Arial"/>
        </w:rPr>
        <w:t>·</w:t>
      </w:r>
      <w:r w:rsidRPr="007507A8">
        <w:rPr>
          <w:rFonts w:cs="Arial"/>
        </w:rPr>
        <w:t>lel, duplicant en ocasions recursos, i que encara no tenen consolidats uns canals de comunicació i coordinació adients.</w:t>
      </w:r>
    </w:p>
    <w:p w:rsidR="006A4109" w:rsidRPr="007507A8" w:rsidRDefault="006A4109" w:rsidP="00E930B2">
      <w:pPr>
        <w:rPr>
          <w:rFonts w:cs="Arial"/>
        </w:rPr>
      </w:pPr>
      <w:r w:rsidRPr="007507A8">
        <w:rPr>
          <w:rFonts w:cs="Arial"/>
        </w:rPr>
        <w:t>Amb motiu de l’apr</w:t>
      </w:r>
      <w:r>
        <w:rPr>
          <w:rFonts w:cs="Arial"/>
        </w:rPr>
        <w:t>ovació de la Llei de cohesió i q</w:t>
      </w:r>
      <w:r w:rsidRPr="007507A8">
        <w:rPr>
          <w:rFonts w:cs="Arial"/>
        </w:rPr>
        <w:t>u</w:t>
      </w:r>
      <w:r>
        <w:rPr>
          <w:rFonts w:cs="Arial"/>
        </w:rPr>
        <w:t>alitat del sistema nacional de s</w:t>
      </w:r>
      <w:r w:rsidRPr="007507A8">
        <w:rPr>
          <w:rFonts w:cs="Arial"/>
        </w:rPr>
        <w:t>alut, Llei 16/2003, de 28 de maig, que estableix que els serveis sanitaris dependents d’</w:t>
      </w:r>
      <w:r>
        <w:rPr>
          <w:rFonts w:cs="Arial"/>
        </w:rPr>
        <w:t>i</w:t>
      </w:r>
      <w:r w:rsidRPr="007507A8">
        <w:rPr>
          <w:rFonts w:cs="Arial"/>
        </w:rPr>
        <w:t xml:space="preserve">nstitucions </w:t>
      </w:r>
      <w:r>
        <w:rPr>
          <w:rFonts w:cs="Arial"/>
        </w:rPr>
        <w:t>penitenciàries han d</w:t>
      </w:r>
      <w:r w:rsidRPr="007507A8">
        <w:rPr>
          <w:rFonts w:cs="Arial"/>
        </w:rPr>
        <w:t>e</w:t>
      </w:r>
      <w:r>
        <w:rPr>
          <w:rFonts w:cs="Arial"/>
        </w:rPr>
        <w:t xml:space="preserve"> </w:t>
      </w:r>
      <w:r w:rsidRPr="007507A8">
        <w:rPr>
          <w:rFonts w:cs="Arial"/>
        </w:rPr>
        <w:t xml:space="preserve">ser transferits a les </w:t>
      </w:r>
      <w:r>
        <w:rPr>
          <w:rFonts w:cs="Arial"/>
        </w:rPr>
        <w:t>c</w:t>
      </w:r>
      <w:r w:rsidRPr="007507A8">
        <w:rPr>
          <w:rFonts w:cs="Arial"/>
        </w:rPr>
        <w:t>omunitat</w:t>
      </w:r>
      <w:r>
        <w:rPr>
          <w:rFonts w:cs="Arial"/>
        </w:rPr>
        <w:t>s</w:t>
      </w:r>
      <w:r w:rsidRPr="007507A8">
        <w:rPr>
          <w:rFonts w:cs="Arial"/>
        </w:rPr>
        <w:t xml:space="preserve"> </w:t>
      </w:r>
      <w:r>
        <w:rPr>
          <w:rFonts w:cs="Arial"/>
        </w:rPr>
        <w:t>a</w:t>
      </w:r>
      <w:r w:rsidRPr="007507A8">
        <w:rPr>
          <w:rFonts w:cs="Arial"/>
        </w:rPr>
        <w:t xml:space="preserve">utònomes per a la seva plena integració en els corresponents Serveis </w:t>
      </w:r>
      <w:r>
        <w:rPr>
          <w:rFonts w:cs="Arial"/>
        </w:rPr>
        <w:t>a</w:t>
      </w:r>
      <w:r w:rsidRPr="007507A8">
        <w:rPr>
          <w:rFonts w:cs="Arial"/>
        </w:rPr>
        <w:t xml:space="preserve">utonòmics de </w:t>
      </w:r>
      <w:r>
        <w:rPr>
          <w:rFonts w:cs="Arial"/>
        </w:rPr>
        <w:t>s</w:t>
      </w:r>
      <w:r w:rsidRPr="007507A8">
        <w:rPr>
          <w:rFonts w:cs="Arial"/>
        </w:rPr>
        <w:t xml:space="preserve">alut, com en allò que estableix el Decret 329/2006 del Reglament d’organització i funcionament dels serveis d’execució penal a Catalunya d’integració del serveis sanitaris penitenciaris al Departament de Salut. S’aprova el </w:t>
      </w:r>
      <w:r>
        <w:rPr>
          <w:rFonts w:cs="Arial"/>
        </w:rPr>
        <w:t>D</w:t>
      </w:r>
      <w:r w:rsidRPr="007507A8">
        <w:rPr>
          <w:rFonts w:cs="Arial"/>
        </w:rPr>
        <w:t>ecret 399/2006 pel qual s’assignava la salut penitenciaria al Departament de Salut i a</w:t>
      </w:r>
      <w:r>
        <w:rPr>
          <w:rFonts w:cs="Arial"/>
        </w:rPr>
        <w:t xml:space="preserve"> </w:t>
      </w:r>
      <w:r w:rsidRPr="007507A8">
        <w:rPr>
          <w:rFonts w:cs="Arial"/>
        </w:rPr>
        <w:t>l</w:t>
      </w:r>
      <w:r>
        <w:rPr>
          <w:rFonts w:cs="Arial"/>
        </w:rPr>
        <w:t>’</w:t>
      </w:r>
      <w:r w:rsidRPr="007507A8">
        <w:rPr>
          <w:rFonts w:cs="Arial"/>
        </w:rPr>
        <w:t>ICS.</w:t>
      </w:r>
    </w:p>
    <w:p w:rsidR="006A4109" w:rsidRPr="007507A8" w:rsidRDefault="006A4109" w:rsidP="00E930B2">
      <w:pPr>
        <w:rPr>
          <w:rFonts w:cs="Arial"/>
        </w:rPr>
      </w:pPr>
      <w:r w:rsidRPr="007507A8">
        <w:rPr>
          <w:rFonts w:cs="Arial"/>
        </w:rPr>
        <w:t>El llarg procés de debat, negociació i traspàs definitiu a nivell orgànic i funcional no culmina fins</w:t>
      </w:r>
      <w:r>
        <w:rPr>
          <w:rFonts w:cs="Arial"/>
        </w:rPr>
        <w:t xml:space="preserve"> a</w:t>
      </w:r>
      <w:r w:rsidRPr="007507A8">
        <w:rPr>
          <w:rFonts w:cs="Arial"/>
        </w:rPr>
        <w:t xml:space="preserve"> la tardor del 2014, per tant</w:t>
      </w:r>
      <w:r>
        <w:rPr>
          <w:rFonts w:cs="Arial"/>
        </w:rPr>
        <w:t>,</w:t>
      </w:r>
      <w:r w:rsidRPr="007507A8">
        <w:rPr>
          <w:rFonts w:cs="Arial"/>
        </w:rPr>
        <w:t xml:space="preserve"> dura 8 anys. Com en l’àmbit educatiu</w:t>
      </w:r>
      <w:r>
        <w:rPr>
          <w:rFonts w:cs="Arial"/>
        </w:rPr>
        <w:t>,</w:t>
      </w:r>
      <w:r w:rsidRPr="007507A8">
        <w:rPr>
          <w:rFonts w:cs="Arial"/>
        </w:rPr>
        <w:t xml:space="preserve"> costa d’afinar l’engranatge amb el nou model, a</w:t>
      </w:r>
      <w:r>
        <w:rPr>
          <w:rFonts w:cs="Arial"/>
        </w:rPr>
        <w:t>tès</w:t>
      </w:r>
      <w:r w:rsidRPr="007507A8">
        <w:rPr>
          <w:rFonts w:cs="Arial"/>
        </w:rPr>
        <w:t xml:space="preserve"> que es produeix</w:t>
      </w:r>
      <w:r>
        <w:rPr>
          <w:rFonts w:cs="Arial"/>
        </w:rPr>
        <w:t>en</w:t>
      </w:r>
      <w:r w:rsidRPr="007507A8">
        <w:rPr>
          <w:rFonts w:cs="Arial"/>
        </w:rPr>
        <w:t xml:space="preserve"> dificultats de gestió del canvi i d’adaptació de les dues cultures de treball. </w:t>
      </w:r>
    </w:p>
    <w:p w:rsidR="006A4109" w:rsidRPr="007507A8" w:rsidRDefault="006A4109" w:rsidP="00E930B2">
      <w:pPr>
        <w:rPr>
          <w:rFonts w:cs="Arial"/>
        </w:rPr>
      </w:pPr>
      <w:r w:rsidRPr="007507A8">
        <w:rPr>
          <w:rFonts w:cs="Arial"/>
        </w:rPr>
        <w:t>Amb la finalitat de coordinar l’exe</w:t>
      </w:r>
      <w:r>
        <w:rPr>
          <w:rFonts w:cs="Arial"/>
        </w:rPr>
        <w:t>rcici de les competències dels d</w:t>
      </w:r>
      <w:r w:rsidRPr="007507A8">
        <w:rPr>
          <w:rFonts w:cs="Arial"/>
        </w:rPr>
        <w:t xml:space="preserve">epartaments corresponents i adoptar les accions conjuntes en aquest àmbit, es crea la </w:t>
      </w:r>
      <w:r w:rsidRPr="00077ADA">
        <w:t>Comissió Interdepartamental de Coordinació de Programes </w:t>
      </w:r>
      <w:r w:rsidRPr="00077ADA">
        <w:rPr>
          <w:rFonts w:cs="Arial"/>
        </w:rPr>
        <w:t>i</w:t>
      </w:r>
      <w:r>
        <w:rPr>
          <w:rFonts w:cs="Arial"/>
        </w:rPr>
        <w:t xml:space="preserve"> </w:t>
      </w:r>
      <w:r w:rsidRPr="00077ADA">
        <w:t>Actuacions </w:t>
      </w:r>
      <w:r w:rsidRPr="00077ADA">
        <w:rPr>
          <w:rFonts w:cs="Arial"/>
        </w:rPr>
        <w:t>en</w:t>
      </w:r>
      <w:r w:rsidRPr="00077ADA">
        <w:t> l'Àmbit dels Serveis Sanitaris Penitenciaris</w:t>
      </w:r>
      <w:r w:rsidRPr="007507A8">
        <w:rPr>
          <w:rFonts w:cs="Arial"/>
        </w:rPr>
        <w:t xml:space="preserve">, així </w:t>
      </w:r>
      <w:r w:rsidRPr="007507A8">
        <w:rPr>
          <w:rFonts w:cs="Arial"/>
        </w:rPr>
        <w:lastRenderedPageBreak/>
        <w:t>com la comissió tècnica que actua vinculada a les directius que estableix l</w:t>
      </w:r>
      <w:r>
        <w:rPr>
          <w:rFonts w:cs="Arial"/>
        </w:rPr>
        <w:t xml:space="preserve">a </w:t>
      </w:r>
      <w:r w:rsidRPr="007507A8">
        <w:rPr>
          <w:rFonts w:cs="Arial"/>
        </w:rPr>
        <w:t>comissió</w:t>
      </w:r>
      <w:r w:rsidRPr="00077ADA">
        <w:rPr>
          <w:rFonts w:cs="Arial"/>
        </w:rPr>
        <w:t xml:space="preserve"> </w:t>
      </w:r>
      <w:r w:rsidRPr="007507A8">
        <w:rPr>
          <w:rFonts w:cs="Arial"/>
        </w:rPr>
        <w:t>esmentada.</w:t>
      </w:r>
    </w:p>
    <w:p w:rsidR="006A4109" w:rsidRPr="007507A8" w:rsidRDefault="006A4109" w:rsidP="00E930B2">
      <w:pPr>
        <w:rPr>
          <w:rFonts w:cs="Arial"/>
        </w:rPr>
      </w:pPr>
    </w:p>
    <w:p w:rsidR="006A4109" w:rsidRPr="00F02D52" w:rsidRDefault="006A4109" w:rsidP="0070401F">
      <w:pPr>
        <w:pStyle w:val="Ttol4"/>
      </w:pPr>
      <w:bookmarkStart w:id="351" w:name="_Toc463867801"/>
      <w:r w:rsidRPr="00F02D52">
        <w:t>Escenari d’actuacions amb el nou model de gestió sanitària</w:t>
      </w:r>
      <w:bookmarkEnd w:id="351"/>
    </w:p>
    <w:p w:rsidR="006A4109" w:rsidRPr="007507A8" w:rsidRDefault="006A4109" w:rsidP="00E930B2">
      <w:pPr>
        <w:rPr>
          <w:rFonts w:cs="Arial"/>
        </w:rPr>
      </w:pPr>
      <w:r w:rsidRPr="007507A8">
        <w:rPr>
          <w:rFonts w:cs="Arial"/>
        </w:rPr>
        <w:t>A partir d’aquesta data i en la nova situació d’integració al Departament de Salut:</w:t>
      </w:r>
    </w:p>
    <w:p w:rsidR="006A4109" w:rsidRPr="007507A8" w:rsidRDefault="006A4109" w:rsidP="00AE0A20">
      <w:pPr>
        <w:pStyle w:val="Pargrafdellista"/>
        <w:numPr>
          <w:ilvl w:val="0"/>
          <w:numId w:val="16"/>
        </w:numPr>
        <w:rPr>
          <w:rFonts w:cs="Arial"/>
        </w:rPr>
      </w:pPr>
      <w:r w:rsidRPr="007507A8">
        <w:rPr>
          <w:rFonts w:cs="Arial"/>
        </w:rPr>
        <w:t>S’han integrat els serveis sanitaris dels centres penitenciaris en la xarxa territorial de</w:t>
      </w:r>
      <w:r>
        <w:rPr>
          <w:rFonts w:cs="Arial"/>
        </w:rPr>
        <w:t xml:space="preserve"> </w:t>
      </w:r>
      <w:r w:rsidRPr="007507A8">
        <w:rPr>
          <w:rFonts w:cs="Arial"/>
        </w:rPr>
        <w:t>l</w:t>
      </w:r>
      <w:r>
        <w:rPr>
          <w:rFonts w:cs="Arial"/>
        </w:rPr>
        <w:t>’</w:t>
      </w:r>
      <w:r w:rsidRPr="007507A8">
        <w:rPr>
          <w:rFonts w:cs="Arial"/>
        </w:rPr>
        <w:t>ICS.</w:t>
      </w:r>
    </w:p>
    <w:p w:rsidR="006A4109" w:rsidRPr="007507A8" w:rsidRDefault="006A4109" w:rsidP="00AE0A20">
      <w:pPr>
        <w:pStyle w:val="Pargrafdellista"/>
        <w:numPr>
          <w:ilvl w:val="0"/>
          <w:numId w:val="16"/>
        </w:numPr>
        <w:rPr>
          <w:rFonts w:cs="Arial"/>
        </w:rPr>
      </w:pPr>
      <w:r>
        <w:rPr>
          <w:rFonts w:cs="Arial"/>
        </w:rPr>
        <w:t>S’</w:t>
      </w:r>
      <w:r w:rsidRPr="007507A8">
        <w:rPr>
          <w:rFonts w:cs="Arial"/>
        </w:rPr>
        <w:t>han adequat les plantilles a r</w:t>
      </w:r>
      <w:r>
        <w:rPr>
          <w:rFonts w:cs="Arial"/>
        </w:rPr>
        <w:t>à</w:t>
      </w:r>
      <w:r w:rsidRPr="007507A8">
        <w:rPr>
          <w:rFonts w:cs="Arial"/>
        </w:rPr>
        <w:t>ti</w:t>
      </w:r>
      <w:r>
        <w:rPr>
          <w:rFonts w:cs="Arial"/>
        </w:rPr>
        <w:t>o</w:t>
      </w:r>
      <w:r w:rsidRPr="007507A8">
        <w:rPr>
          <w:rFonts w:cs="Arial"/>
        </w:rPr>
        <w:t>s pr</w:t>
      </w:r>
      <w:r>
        <w:rPr>
          <w:rFonts w:cs="Arial"/>
        </w:rPr>
        <w:t>efixades, s’han redefinit alguns</w:t>
      </w:r>
      <w:r w:rsidRPr="007507A8">
        <w:rPr>
          <w:rFonts w:cs="Arial"/>
        </w:rPr>
        <w:t xml:space="preserve"> rols professionals.</w:t>
      </w:r>
    </w:p>
    <w:p w:rsidR="006A4109" w:rsidRPr="007507A8" w:rsidRDefault="006A4109" w:rsidP="00AE0A20">
      <w:pPr>
        <w:pStyle w:val="Pargrafdellista"/>
        <w:numPr>
          <w:ilvl w:val="0"/>
          <w:numId w:val="16"/>
        </w:numPr>
        <w:rPr>
          <w:rFonts w:cs="Arial"/>
        </w:rPr>
      </w:pPr>
      <w:r w:rsidRPr="007507A8">
        <w:rPr>
          <w:rFonts w:cs="Arial"/>
        </w:rPr>
        <w:t>S’han definit objectius ind</w:t>
      </w:r>
      <w:r>
        <w:rPr>
          <w:rFonts w:cs="Arial"/>
        </w:rPr>
        <w:t xml:space="preserve">ividuals i grupals per la DPO </w:t>
      </w:r>
      <w:r w:rsidRPr="007507A8">
        <w:rPr>
          <w:rFonts w:cs="Arial"/>
        </w:rPr>
        <w:t>a tot el personal dels EAPP.</w:t>
      </w:r>
    </w:p>
    <w:p w:rsidR="006A4109" w:rsidRPr="007507A8" w:rsidRDefault="006A4109" w:rsidP="00AE0A20">
      <w:pPr>
        <w:pStyle w:val="Pargrafdellista"/>
        <w:numPr>
          <w:ilvl w:val="0"/>
          <w:numId w:val="16"/>
        </w:numPr>
        <w:rPr>
          <w:rFonts w:cs="Arial"/>
        </w:rPr>
      </w:pPr>
      <w:r>
        <w:rPr>
          <w:rFonts w:cs="Arial"/>
        </w:rPr>
        <w:t>S’</w:t>
      </w:r>
      <w:r w:rsidRPr="007507A8">
        <w:rPr>
          <w:rFonts w:cs="Arial"/>
        </w:rPr>
        <w:t>han inclòs clínics penitenciaris a diversos comitès de</w:t>
      </w:r>
      <w:r>
        <w:rPr>
          <w:rFonts w:cs="Arial"/>
        </w:rPr>
        <w:t xml:space="preserve"> </w:t>
      </w:r>
      <w:r w:rsidRPr="007507A8">
        <w:rPr>
          <w:rFonts w:cs="Arial"/>
        </w:rPr>
        <w:t>l</w:t>
      </w:r>
      <w:r>
        <w:rPr>
          <w:rFonts w:cs="Arial"/>
        </w:rPr>
        <w:t>’</w:t>
      </w:r>
      <w:r w:rsidRPr="007507A8">
        <w:rPr>
          <w:rFonts w:cs="Arial"/>
        </w:rPr>
        <w:t>ICS</w:t>
      </w:r>
      <w:r>
        <w:rPr>
          <w:rFonts w:cs="Arial"/>
        </w:rPr>
        <w:t>,</w:t>
      </w:r>
      <w:r w:rsidRPr="007507A8">
        <w:rPr>
          <w:rFonts w:cs="Arial"/>
        </w:rPr>
        <w:t xml:space="preserve"> relacionats amb la bona praxi.</w:t>
      </w:r>
    </w:p>
    <w:p w:rsidR="006A4109" w:rsidRPr="007507A8" w:rsidRDefault="006A4109" w:rsidP="00AE0A20">
      <w:pPr>
        <w:pStyle w:val="Pargrafdellista"/>
        <w:numPr>
          <w:ilvl w:val="0"/>
          <w:numId w:val="16"/>
        </w:numPr>
        <w:rPr>
          <w:rFonts w:cs="Arial"/>
        </w:rPr>
      </w:pPr>
      <w:r>
        <w:rPr>
          <w:rFonts w:cs="Arial"/>
        </w:rPr>
        <w:t>S’</w:t>
      </w:r>
      <w:r w:rsidRPr="007507A8">
        <w:rPr>
          <w:rFonts w:cs="Arial"/>
        </w:rPr>
        <w:t>han inclòs els professionals sanitaris penitenciaris en l’oferta formativa de</w:t>
      </w:r>
      <w:r>
        <w:rPr>
          <w:rFonts w:cs="Arial"/>
        </w:rPr>
        <w:t xml:space="preserve"> </w:t>
      </w:r>
      <w:r w:rsidRPr="007507A8">
        <w:rPr>
          <w:rFonts w:cs="Arial"/>
        </w:rPr>
        <w:t>l</w:t>
      </w:r>
      <w:r>
        <w:rPr>
          <w:rFonts w:cs="Arial"/>
        </w:rPr>
        <w:t>’</w:t>
      </w:r>
      <w:r w:rsidRPr="007507A8">
        <w:rPr>
          <w:rFonts w:cs="Arial"/>
        </w:rPr>
        <w:t>ICS de cada territori.</w:t>
      </w:r>
    </w:p>
    <w:p w:rsidR="006A4109" w:rsidRPr="007507A8" w:rsidRDefault="006A4109" w:rsidP="00AE0A20">
      <w:pPr>
        <w:pStyle w:val="Pargrafdellista"/>
        <w:numPr>
          <w:ilvl w:val="0"/>
          <w:numId w:val="16"/>
        </w:numPr>
        <w:rPr>
          <w:rFonts w:cs="Arial"/>
        </w:rPr>
      </w:pPr>
      <w:r>
        <w:rPr>
          <w:rFonts w:cs="Arial"/>
        </w:rPr>
        <w:t>S’</w:t>
      </w:r>
      <w:r w:rsidRPr="007507A8">
        <w:rPr>
          <w:rFonts w:cs="Arial"/>
        </w:rPr>
        <w:t>ha posat en marxa una oferta formativa pròpia pe</w:t>
      </w:r>
      <w:r>
        <w:rPr>
          <w:rFonts w:cs="Arial"/>
        </w:rPr>
        <w:t>r a</w:t>
      </w:r>
      <w:r w:rsidRPr="007507A8">
        <w:rPr>
          <w:rFonts w:cs="Arial"/>
        </w:rPr>
        <w:t xml:space="preserve">l </w:t>
      </w:r>
      <w:r>
        <w:rPr>
          <w:rFonts w:cs="Arial"/>
        </w:rPr>
        <w:t xml:space="preserve">personal sanitari penitenciari </w:t>
      </w:r>
      <w:r w:rsidRPr="007507A8">
        <w:rPr>
          <w:rFonts w:cs="Arial"/>
        </w:rPr>
        <w:t>i els seus directius.</w:t>
      </w:r>
    </w:p>
    <w:p w:rsidR="006A4109" w:rsidRPr="007507A8" w:rsidRDefault="006A4109" w:rsidP="00AE0A20">
      <w:pPr>
        <w:pStyle w:val="Pargrafdellista"/>
        <w:numPr>
          <w:ilvl w:val="0"/>
          <w:numId w:val="16"/>
        </w:numPr>
        <w:rPr>
          <w:rFonts w:cs="Arial"/>
        </w:rPr>
      </w:pPr>
      <w:r w:rsidRPr="007507A8">
        <w:rPr>
          <w:rFonts w:cs="Arial"/>
        </w:rPr>
        <w:t>S’han establert mecanismes de coordin</w:t>
      </w:r>
      <w:r>
        <w:rPr>
          <w:rFonts w:cs="Arial"/>
        </w:rPr>
        <w:t>ació amb la xarxa sanitària comuna</w:t>
      </w:r>
      <w:r w:rsidRPr="007507A8">
        <w:rPr>
          <w:rFonts w:cs="Arial"/>
        </w:rPr>
        <w:t>, en relació a</w:t>
      </w:r>
      <w:r>
        <w:rPr>
          <w:rFonts w:cs="Arial"/>
        </w:rPr>
        <w:t>mb</w:t>
      </w:r>
      <w:r w:rsidRPr="007507A8">
        <w:rPr>
          <w:rFonts w:cs="Arial"/>
        </w:rPr>
        <w:t xml:space="preserve"> aspectes relatius a la qualitat i seguretat dels pacients</w:t>
      </w:r>
      <w:r>
        <w:rPr>
          <w:rFonts w:cs="Arial"/>
        </w:rPr>
        <w:t>, m</w:t>
      </w:r>
      <w:r w:rsidRPr="007507A8">
        <w:rPr>
          <w:rFonts w:cs="Arial"/>
        </w:rPr>
        <w:t xml:space="preserve">itjançant una història clínica informatitzada amb particularitats pròpies connectats a les bases clíniques normalitzades i als SIPC. </w:t>
      </w:r>
      <w:r>
        <w:rPr>
          <w:rFonts w:cs="Arial"/>
        </w:rPr>
        <w:t>I es pot a</w:t>
      </w:r>
      <w:r w:rsidRPr="007507A8">
        <w:rPr>
          <w:rFonts w:cs="Arial"/>
        </w:rPr>
        <w:t>cced</w:t>
      </w:r>
      <w:r>
        <w:rPr>
          <w:rFonts w:cs="Arial"/>
        </w:rPr>
        <w:t>ir,</w:t>
      </w:r>
      <w:r w:rsidRPr="007507A8">
        <w:rPr>
          <w:rFonts w:cs="Arial"/>
        </w:rPr>
        <w:t xml:space="preserve"> doncs</w:t>
      </w:r>
      <w:r>
        <w:rPr>
          <w:rFonts w:cs="Arial"/>
        </w:rPr>
        <w:t>,</w:t>
      </w:r>
      <w:r w:rsidRPr="007507A8">
        <w:rPr>
          <w:rFonts w:cs="Arial"/>
        </w:rPr>
        <w:t xml:space="preserve"> als historials clínics, seguiments, acreditacions de nous pacients, connexió amb laboratoris i proves mèdiques, etc.</w:t>
      </w:r>
    </w:p>
    <w:p w:rsidR="006A4109" w:rsidRPr="007507A8" w:rsidRDefault="006A4109" w:rsidP="00AE0A20">
      <w:pPr>
        <w:pStyle w:val="Pargrafdellista"/>
        <w:numPr>
          <w:ilvl w:val="0"/>
          <w:numId w:val="16"/>
        </w:numPr>
        <w:rPr>
          <w:rFonts w:cs="Arial"/>
        </w:rPr>
      </w:pPr>
      <w:r>
        <w:rPr>
          <w:rFonts w:cs="Arial"/>
        </w:rPr>
        <w:t>En aquest mateix sentit, e</w:t>
      </w:r>
      <w:r w:rsidRPr="007507A8">
        <w:rPr>
          <w:rFonts w:cs="Arial"/>
        </w:rPr>
        <w:t xml:space="preserve">s planteja el projecte de la infermeria d’enllaç amb previsió d’implantació a finals de 2016, consistent </w:t>
      </w:r>
      <w:r>
        <w:rPr>
          <w:rFonts w:cs="Arial"/>
        </w:rPr>
        <w:t>a</w:t>
      </w:r>
      <w:r w:rsidRPr="007507A8">
        <w:rPr>
          <w:rFonts w:cs="Arial"/>
        </w:rPr>
        <w:t xml:space="preserve"> establir mecanismes de coordinació amb </w:t>
      </w:r>
      <w:r>
        <w:rPr>
          <w:rFonts w:cs="Arial"/>
        </w:rPr>
        <w:t>l’atenció primària dels interns que surte</w:t>
      </w:r>
      <w:r w:rsidRPr="007507A8">
        <w:rPr>
          <w:rFonts w:cs="Arial"/>
        </w:rPr>
        <w:t xml:space="preserve">n dels centres per un període de tres setmanes (planificació de la medicació, programació </w:t>
      </w:r>
      <w:r>
        <w:rPr>
          <w:rFonts w:cs="Arial"/>
        </w:rPr>
        <w:t xml:space="preserve">de </w:t>
      </w:r>
      <w:r w:rsidRPr="007507A8">
        <w:rPr>
          <w:rFonts w:cs="Arial"/>
        </w:rPr>
        <w:t>visites, informació</w:t>
      </w:r>
      <w:r>
        <w:rPr>
          <w:rFonts w:cs="Arial"/>
        </w:rPr>
        <w:t>,</w:t>
      </w:r>
      <w:r w:rsidRPr="007507A8">
        <w:rPr>
          <w:rFonts w:cs="Arial"/>
        </w:rPr>
        <w:t xml:space="preserve"> etc.</w:t>
      </w:r>
      <w:r>
        <w:rPr>
          <w:rFonts w:cs="Arial"/>
        </w:rPr>
        <w:t>)</w:t>
      </w:r>
    </w:p>
    <w:p w:rsidR="006A4109" w:rsidRPr="007507A8" w:rsidRDefault="006A4109" w:rsidP="00AE0A20">
      <w:pPr>
        <w:pStyle w:val="Pargrafdellista"/>
        <w:numPr>
          <w:ilvl w:val="0"/>
          <w:numId w:val="16"/>
        </w:numPr>
        <w:rPr>
          <w:rFonts w:cs="Arial"/>
        </w:rPr>
      </w:pPr>
      <w:r w:rsidRPr="007507A8">
        <w:rPr>
          <w:rFonts w:cs="Arial"/>
        </w:rPr>
        <w:t>S’han introduït processos de racionalització de compres i gestió de farmàcia</w:t>
      </w:r>
      <w:r>
        <w:rPr>
          <w:rFonts w:cs="Arial"/>
        </w:rPr>
        <w:t>,</w:t>
      </w:r>
      <w:r w:rsidRPr="007507A8">
        <w:rPr>
          <w:rFonts w:cs="Arial"/>
        </w:rPr>
        <w:t xml:space="preserve"> d’acord amb els serveis territorials.</w:t>
      </w:r>
    </w:p>
    <w:p w:rsidR="006A4109" w:rsidRPr="007507A8" w:rsidRDefault="006A4109" w:rsidP="00AE0A20">
      <w:pPr>
        <w:pStyle w:val="Pargrafdellista"/>
        <w:numPr>
          <w:ilvl w:val="0"/>
          <w:numId w:val="16"/>
        </w:numPr>
        <w:rPr>
          <w:rFonts w:cs="Arial"/>
        </w:rPr>
      </w:pPr>
      <w:r>
        <w:rPr>
          <w:rFonts w:cs="Arial"/>
        </w:rPr>
        <w:t>S’ha adaptat l’</w:t>
      </w:r>
      <w:r w:rsidRPr="007507A8">
        <w:rPr>
          <w:rFonts w:cs="Arial"/>
        </w:rPr>
        <w:t>estàndard de qualitat assistencial (EQA) de la primària de</w:t>
      </w:r>
      <w:r>
        <w:rPr>
          <w:rFonts w:cs="Arial"/>
        </w:rPr>
        <w:t xml:space="preserve"> </w:t>
      </w:r>
      <w:r w:rsidRPr="007507A8">
        <w:rPr>
          <w:rFonts w:cs="Arial"/>
        </w:rPr>
        <w:t>l</w:t>
      </w:r>
      <w:r>
        <w:rPr>
          <w:rFonts w:cs="Arial"/>
        </w:rPr>
        <w:t>’</w:t>
      </w:r>
      <w:r w:rsidRPr="007507A8">
        <w:rPr>
          <w:rFonts w:cs="Arial"/>
        </w:rPr>
        <w:t>ICS a un estàndard de qualitat assistencial de penitenciaris (EQAP).</w:t>
      </w:r>
    </w:p>
    <w:p w:rsidR="006A4109" w:rsidRPr="00F02D52" w:rsidRDefault="006A4109" w:rsidP="00E930B2">
      <w:pPr>
        <w:rPr>
          <w:rFonts w:cs="Arial"/>
          <w:i/>
        </w:rPr>
      </w:pPr>
    </w:p>
    <w:p w:rsidR="006A4109" w:rsidRPr="00F02D52" w:rsidRDefault="006A4109" w:rsidP="0070401F">
      <w:pPr>
        <w:pStyle w:val="Ttol4"/>
      </w:pPr>
      <w:bookmarkStart w:id="352" w:name="_Toc463867802"/>
      <w:r w:rsidRPr="00F02D52">
        <w:t xml:space="preserve">Propostes </w:t>
      </w:r>
      <w:r w:rsidRPr="00EB1B4D">
        <w:t>de</w:t>
      </w:r>
      <w:r w:rsidRPr="00F02D52">
        <w:t xml:space="preserve"> millora i reptes de futur</w:t>
      </w:r>
      <w:bookmarkEnd w:id="352"/>
    </w:p>
    <w:p w:rsidR="006A4109" w:rsidRPr="007507A8" w:rsidRDefault="006A4109" w:rsidP="00E930B2">
      <w:pPr>
        <w:rPr>
          <w:rFonts w:cs="Arial"/>
        </w:rPr>
      </w:pPr>
      <w:r>
        <w:rPr>
          <w:rFonts w:cs="Arial"/>
        </w:rPr>
        <w:t>Des de</w:t>
      </w:r>
      <w:r w:rsidRPr="007507A8">
        <w:rPr>
          <w:rFonts w:cs="Arial"/>
        </w:rPr>
        <w:t>l vessant dels objectius del pla de salut i les línies estratègiques definides per l’ICS:</w:t>
      </w:r>
    </w:p>
    <w:p w:rsidR="006A4109" w:rsidRPr="007507A8" w:rsidRDefault="006A4109" w:rsidP="00AE0A20">
      <w:pPr>
        <w:pStyle w:val="Pargrafdellista"/>
        <w:numPr>
          <w:ilvl w:val="0"/>
          <w:numId w:val="17"/>
        </w:numPr>
        <w:rPr>
          <w:rFonts w:cs="Arial"/>
        </w:rPr>
      </w:pPr>
      <w:r w:rsidRPr="007507A8">
        <w:rPr>
          <w:rFonts w:cs="Arial"/>
        </w:rPr>
        <w:t>Elaborar i posar en marxa el circuit d’informació del SIPC – ECAP – RCA a la sortida de la presó.</w:t>
      </w:r>
    </w:p>
    <w:p w:rsidR="006A4109" w:rsidRPr="007507A8" w:rsidRDefault="006A4109" w:rsidP="00AE0A20">
      <w:pPr>
        <w:pStyle w:val="Pargrafdellista"/>
        <w:numPr>
          <w:ilvl w:val="0"/>
          <w:numId w:val="17"/>
        </w:numPr>
        <w:rPr>
          <w:rFonts w:cs="Arial"/>
        </w:rPr>
      </w:pPr>
      <w:r>
        <w:rPr>
          <w:rFonts w:cs="Arial"/>
        </w:rPr>
        <w:t xml:space="preserve">Remodelar </w:t>
      </w:r>
      <w:r w:rsidRPr="007507A8">
        <w:rPr>
          <w:rFonts w:cs="Arial"/>
        </w:rPr>
        <w:t>els equipaments de salut mental dels CP. Trasllat provisional de la Unitat Polivalent de</w:t>
      </w:r>
      <w:r>
        <w:rPr>
          <w:rFonts w:cs="Arial"/>
        </w:rPr>
        <w:t>l CP</w:t>
      </w:r>
      <w:r w:rsidRPr="007507A8">
        <w:rPr>
          <w:rFonts w:cs="Arial"/>
        </w:rPr>
        <w:t xml:space="preserve"> Quatre Camins a Brians 2</w:t>
      </w:r>
      <w:r>
        <w:rPr>
          <w:rFonts w:cs="Arial"/>
        </w:rPr>
        <w:t>. I</w:t>
      </w:r>
      <w:r w:rsidRPr="007507A8">
        <w:rPr>
          <w:rFonts w:cs="Arial"/>
        </w:rPr>
        <w:t xml:space="preserve"> tancament de l</w:t>
      </w:r>
      <w:r>
        <w:rPr>
          <w:rFonts w:cs="Arial"/>
        </w:rPr>
        <w:t>a</w:t>
      </w:r>
      <w:r w:rsidRPr="007507A8">
        <w:rPr>
          <w:rFonts w:cs="Arial"/>
        </w:rPr>
        <w:t xml:space="preserve"> infermeria psiquiàtrica </w:t>
      </w:r>
      <w:r>
        <w:rPr>
          <w:rFonts w:cs="Arial"/>
        </w:rPr>
        <w:t>del CP d’Homes</w:t>
      </w:r>
      <w:r w:rsidRPr="007507A8">
        <w:rPr>
          <w:rFonts w:cs="Arial"/>
        </w:rPr>
        <w:t>.</w:t>
      </w:r>
    </w:p>
    <w:p w:rsidR="006A4109" w:rsidRPr="007507A8" w:rsidRDefault="006A4109" w:rsidP="00AE0A20">
      <w:pPr>
        <w:pStyle w:val="Pargrafdellista"/>
        <w:numPr>
          <w:ilvl w:val="0"/>
          <w:numId w:val="17"/>
        </w:numPr>
        <w:rPr>
          <w:rFonts w:cs="Arial"/>
        </w:rPr>
      </w:pPr>
      <w:r w:rsidRPr="007507A8">
        <w:rPr>
          <w:rFonts w:cs="Arial"/>
        </w:rPr>
        <w:t xml:space="preserve">Prosseguir amb la robotització del procés de preparació de monodosis als centres penitenciaris. Compra de dos nous aparells per </w:t>
      </w:r>
      <w:r>
        <w:rPr>
          <w:rFonts w:cs="Arial"/>
        </w:rPr>
        <w:t xml:space="preserve">al CP </w:t>
      </w:r>
      <w:r w:rsidRPr="007507A8">
        <w:rPr>
          <w:rFonts w:cs="Arial"/>
        </w:rPr>
        <w:t>Ponent i Quatre Camins. Seguiment i avaluació dels de Brians 2, Barcelona ciutat i Puig de les Basses.</w:t>
      </w:r>
    </w:p>
    <w:p w:rsidR="006A4109" w:rsidRPr="007507A8" w:rsidRDefault="006A4109" w:rsidP="00AE0A20">
      <w:pPr>
        <w:pStyle w:val="Pargrafdellista"/>
        <w:numPr>
          <w:ilvl w:val="0"/>
          <w:numId w:val="17"/>
        </w:numPr>
        <w:rPr>
          <w:rFonts w:cs="Arial"/>
        </w:rPr>
      </w:pPr>
      <w:r>
        <w:rPr>
          <w:rFonts w:cs="Arial"/>
        </w:rPr>
        <w:t>Pos</w:t>
      </w:r>
      <w:r w:rsidRPr="007507A8">
        <w:rPr>
          <w:rFonts w:cs="Arial"/>
        </w:rPr>
        <w:t>a</w:t>
      </w:r>
      <w:r>
        <w:rPr>
          <w:rFonts w:cs="Arial"/>
        </w:rPr>
        <w:t>da</w:t>
      </w:r>
      <w:r w:rsidRPr="007507A8">
        <w:rPr>
          <w:rFonts w:cs="Arial"/>
        </w:rPr>
        <w:t xml:space="preserve"> en marxa de les activitats grupal</w:t>
      </w:r>
      <w:r>
        <w:rPr>
          <w:rFonts w:cs="Arial"/>
        </w:rPr>
        <w:t>s</w:t>
      </w:r>
      <w:r w:rsidRPr="007507A8">
        <w:rPr>
          <w:rFonts w:cs="Arial"/>
        </w:rPr>
        <w:t xml:space="preserve"> d</w:t>
      </w:r>
      <w:r>
        <w:rPr>
          <w:rFonts w:cs="Arial"/>
        </w:rPr>
        <w:t>’</w:t>
      </w:r>
      <w:r w:rsidRPr="007507A8">
        <w:rPr>
          <w:rFonts w:cs="Arial"/>
        </w:rPr>
        <w:t>educació sanitària i promoció de la salut</w:t>
      </w:r>
      <w:r>
        <w:rPr>
          <w:rFonts w:cs="Arial"/>
        </w:rPr>
        <w:t>.</w:t>
      </w:r>
      <w:r w:rsidRPr="007507A8">
        <w:rPr>
          <w:rFonts w:cs="Arial"/>
        </w:rPr>
        <w:t xml:space="preserve"> </w:t>
      </w:r>
    </w:p>
    <w:p w:rsidR="006A4109" w:rsidRPr="007507A8" w:rsidRDefault="006A4109" w:rsidP="00AE0A20">
      <w:pPr>
        <w:pStyle w:val="Pargrafdellista"/>
        <w:numPr>
          <w:ilvl w:val="0"/>
          <w:numId w:val="17"/>
        </w:numPr>
        <w:rPr>
          <w:rFonts w:cs="Arial"/>
        </w:rPr>
      </w:pPr>
      <w:r w:rsidRPr="007507A8">
        <w:rPr>
          <w:rFonts w:cs="Arial"/>
        </w:rPr>
        <w:t xml:space="preserve">Anàlisi de la infecció per clamídies i gonococ </w:t>
      </w:r>
      <w:r>
        <w:rPr>
          <w:rFonts w:cs="Arial"/>
        </w:rPr>
        <w:t>de</w:t>
      </w:r>
      <w:r w:rsidRPr="007507A8">
        <w:rPr>
          <w:rFonts w:cs="Arial"/>
        </w:rPr>
        <w:t xml:space="preserve"> la població adulta penitenci</w:t>
      </w:r>
      <w:r>
        <w:rPr>
          <w:rFonts w:cs="Arial"/>
        </w:rPr>
        <w:t>à</w:t>
      </w:r>
      <w:r w:rsidRPr="007507A8">
        <w:rPr>
          <w:rFonts w:cs="Arial"/>
        </w:rPr>
        <w:t xml:space="preserve">ria com </w:t>
      </w:r>
      <w:r>
        <w:rPr>
          <w:rFonts w:cs="Arial"/>
        </w:rPr>
        <w:t xml:space="preserve">a </w:t>
      </w:r>
      <w:r w:rsidRPr="007507A8">
        <w:rPr>
          <w:rFonts w:cs="Arial"/>
        </w:rPr>
        <w:t>pa</w:t>
      </w:r>
      <w:r>
        <w:rPr>
          <w:rFonts w:cs="Arial"/>
        </w:rPr>
        <w:t>s previ per definir política d’</w:t>
      </w:r>
      <w:r w:rsidRPr="007507A8">
        <w:rPr>
          <w:rFonts w:cs="Arial"/>
        </w:rPr>
        <w:t>abordatge del</w:t>
      </w:r>
      <w:r>
        <w:rPr>
          <w:rFonts w:cs="Arial"/>
        </w:rPr>
        <w:t>s</w:t>
      </w:r>
      <w:r w:rsidRPr="007507A8">
        <w:rPr>
          <w:rFonts w:cs="Arial"/>
        </w:rPr>
        <w:t xml:space="preserve"> increments de les infeccions de transmissió sexual a la població.</w:t>
      </w:r>
    </w:p>
    <w:p w:rsidR="006A4109" w:rsidRPr="007507A8" w:rsidRDefault="006A4109" w:rsidP="00AE0A20">
      <w:pPr>
        <w:pStyle w:val="Pargrafdellista"/>
        <w:numPr>
          <w:ilvl w:val="0"/>
          <w:numId w:val="17"/>
        </w:numPr>
        <w:rPr>
          <w:rFonts w:cs="Arial"/>
        </w:rPr>
      </w:pPr>
      <w:r w:rsidRPr="007507A8">
        <w:rPr>
          <w:rFonts w:cs="Arial"/>
        </w:rPr>
        <w:t>Incloure els centres educatius en la xarxa ECAP convencional.</w:t>
      </w:r>
    </w:p>
    <w:p w:rsidR="006A4109" w:rsidRPr="007507A8" w:rsidRDefault="006A4109" w:rsidP="00AE0A20">
      <w:pPr>
        <w:pStyle w:val="Pargrafdellista"/>
        <w:numPr>
          <w:ilvl w:val="0"/>
          <w:numId w:val="17"/>
        </w:numPr>
        <w:rPr>
          <w:rFonts w:cs="Arial"/>
        </w:rPr>
      </w:pPr>
      <w:r w:rsidRPr="007507A8">
        <w:rPr>
          <w:rFonts w:cs="Arial"/>
        </w:rPr>
        <w:lastRenderedPageBreak/>
        <w:t>Estandarditzar els procediments de salut regimentals, descripció d’</w:t>
      </w:r>
      <w:r>
        <w:rPr>
          <w:rFonts w:cs="Arial"/>
        </w:rPr>
        <w:t>indicadors i assegurar vies d’</w:t>
      </w:r>
      <w:r w:rsidRPr="007507A8">
        <w:rPr>
          <w:rFonts w:cs="Arial"/>
        </w:rPr>
        <w:t>informació per avalua</w:t>
      </w:r>
      <w:r>
        <w:rPr>
          <w:rFonts w:cs="Arial"/>
        </w:rPr>
        <w:t>r-ho</w:t>
      </w:r>
      <w:r w:rsidRPr="007507A8">
        <w:rPr>
          <w:rFonts w:cs="Arial"/>
        </w:rPr>
        <w:t>.</w:t>
      </w:r>
    </w:p>
    <w:p w:rsidR="006A4109" w:rsidRPr="007507A8" w:rsidRDefault="006A4109" w:rsidP="00AE0A20">
      <w:pPr>
        <w:pStyle w:val="Pargrafdellista"/>
        <w:numPr>
          <w:ilvl w:val="0"/>
          <w:numId w:val="17"/>
        </w:numPr>
        <w:rPr>
          <w:rFonts w:cs="Arial"/>
        </w:rPr>
      </w:pPr>
      <w:r>
        <w:rPr>
          <w:rFonts w:cs="Arial"/>
        </w:rPr>
        <w:t>Estudi de telemedicina</w:t>
      </w:r>
      <w:r w:rsidRPr="007507A8">
        <w:rPr>
          <w:rFonts w:cs="Arial"/>
        </w:rPr>
        <w:t>, anàlisi de viabilitat</w:t>
      </w:r>
      <w:r>
        <w:rPr>
          <w:rFonts w:cs="Arial"/>
        </w:rPr>
        <w:t>.</w:t>
      </w:r>
    </w:p>
    <w:p w:rsidR="006A4109" w:rsidRPr="007507A8" w:rsidRDefault="006A4109" w:rsidP="00AE0A20">
      <w:pPr>
        <w:pStyle w:val="Pargrafdellista"/>
        <w:numPr>
          <w:ilvl w:val="0"/>
          <w:numId w:val="17"/>
        </w:numPr>
        <w:rPr>
          <w:rFonts w:cs="Arial"/>
        </w:rPr>
      </w:pPr>
      <w:r w:rsidRPr="007507A8">
        <w:rPr>
          <w:rFonts w:cs="Arial"/>
        </w:rPr>
        <w:t>En aqu</w:t>
      </w:r>
      <w:r>
        <w:rPr>
          <w:rFonts w:cs="Arial"/>
        </w:rPr>
        <w:t>est sentit, e</w:t>
      </w:r>
      <w:r w:rsidRPr="007507A8">
        <w:rPr>
          <w:rFonts w:cs="Arial"/>
        </w:rPr>
        <w:t xml:space="preserve">ls serveis sanitaris dels centres penitenciaris es </w:t>
      </w:r>
      <w:r>
        <w:rPr>
          <w:rFonts w:cs="Arial"/>
        </w:rPr>
        <w:t xml:space="preserve">van </w:t>
      </w:r>
      <w:r w:rsidRPr="007507A8">
        <w:rPr>
          <w:rFonts w:cs="Arial"/>
        </w:rPr>
        <w:t>beneficiar de:</w:t>
      </w:r>
    </w:p>
    <w:p w:rsidR="006A4109" w:rsidRPr="007507A8" w:rsidRDefault="006A4109" w:rsidP="00AE0A20">
      <w:pPr>
        <w:pStyle w:val="Pargrafdellista"/>
        <w:numPr>
          <w:ilvl w:val="1"/>
          <w:numId w:val="17"/>
        </w:numPr>
        <w:rPr>
          <w:rFonts w:cs="Arial"/>
        </w:rPr>
      </w:pPr>
      <w:r>
        <w:rPr>
          <w:rFonts w:cs="Arial"/>
        </w:rPr>
        <w:t>Disposar d’</w:t>
      </w:r>
      <w:r w:rsidRPr="007507A8">
        <w:rPr>
          <w:rFonts w:cs="Arial"/>
        </w:rPr>
        <w:t>informació sobre la sortida de</w:t>
      </w:r>
      <w:r>
        <w:rPr>
          <w:rFonts w:cs="Arial"/>
        </w:rPr>
        <w:t>l</w:t>
      </w:r>
      <w:r w:rsidRPr="007507A8">
        <w:rPr>
          <w:rFonts w:cs="Arial"/>
        </w:rPr>
        <w:t xml:space="preserve"> centre penitenciari dels pacients preventius per </w:t>
      </w:r>
      <w:r>
        <w:rPr>
          <w:rFonts w:cs="Arial"/>
        </w:rPr>
        <w:t xml:space="preserve">així </w:t>
      </w:r>
      <w:r w:rsidRPr="007507A8">
        <w:rPr>
          <w:rFonts w:cs="Arial"/>
        </w:rPr>
        <w:t xml:space="preserve">assegurar la continuïtat assistencial. </w:t>
      </w:r>
      <w:r>
        <w:rPr>
          <w:rFonts w:cs="Arial"/>
        </w:rPr>
        <w:t>És</w:t>
      </w:r>
      <w:r w:rsidRPr="007507A8">
        <w:rPr>
          <w:rFonts w:cs="Arial"/>
        </w:rPr>
        <w:t xml:space="preserve"> un tema d’atenció prioritària i pro</w:t>
      </w:r>
      <w:r>
        <w:rPr>
          <w:rFonts w:cs="Arial"/>
        </w:rPr>
        <w:t>posta d’</w:t>
      </w:r>
      <w:r w:rsidRPr="007507A8">
        <w:rPr>
          <w:rFonts w:cs="Arial"/>
        </w:rPr>
        <w:t>anàlisi conjunt pe</w:t>
      </w:r>
      <w:r>
        <w:rPr>
          <w:rFonts w:cs="Arial"/>
        </w:rPr>
        <w:t>r a</w:t>
      </w:r>
      <w:r w:rsidRPr="007507A8">
        <w:rPr>
          <w:rFonts w:cs="Arial"/>
        </w:rPr>
        <w:t>l 2017.</w:t>
      </w:r>
    </w:p>
    <w:p w:rsidR="006A4109" w:rsidRPr="007507A8" w:rsidRDefault="006A4109" w:rsidP="00AE0A20">
      <w:pPr>
        <w:pStyle w:val="Pargrafdellista"/>
        <w:numPr>
          <w:ilvl w:val="1"/>
          <w:numId w:val="17"/>
        </w:numPr>
        <w:rPr>
          <w:rFonts w:cs="Arial"/>
        </w:rPr>
      </w:pPr>
      <w:r>
        <w:rPr>
          <w:rFonts w:cs="Arial"/>
        </w:rPr>
        <w:t>Disposar d’</w:t>
      </w:r>
      <w:r w:rsidRPr="007507A8">
        <w:rPr>
          <w:rFonts w:cs="Arial"/>
        </w:rPr>
        <w:t>informació periòdica sobre els actes regimentals que compor</w:t>
      </w:r>
      <w:r>
        <w:rPr>
          <w:rFonts w:cs="Arial"/>
        </w:rPr>
        <w:t>ten acte clínic associat, com só</w:t>
      </w:r>
      <w:r w:rsidRPr="007507A8">
        <w:rPr>
          <w:rFonts w:cs="Arial"/>
        </w:rPr>
        <w:t>n les immobilitzacions amb mitjans coercitius o les sancions amb aïllament. Ens permetria conèixer si estem treballant segons norma i, eventualment, trobar indicadors d’excel</w:t>
      </w:r>
      <w:r>
        <w:rPr>
          <w:rFonts w:cs="Arial"/>
        </w:rPr>
        <w:t>·lència</w:t>
      </w:r>
      <w:r w:rsidRPr="007507A8">
        <w:rPr>
          <w:rFonts w:cs="Arial"/>
        </w:rPr>
        <w:t>, posar</w:t>
      </w:r>
      <w:r>
        <w:rPr>
          <w:rFonts w:cs="Arial"/>
        </w:rPr>
        <w:t>-hi objectius</w:t>
      </w:r>
      <w:r w:rsidRPr="007507A8">
        <w:rPr>
          <w:rFonts w:cs="Arial"/>
        </w:rPr>
        <w:t xml:space="preserve"> i fer-ne </w:t>
      </w:r>
      <w:r>
        <w:rPr>
          <w:rFonts w:cs="Arial"/>
        </w:rPr>
        <w:t xml:space="preserve">el </w:t>
      </w:r>
      <w:r w:rsidRPr="007507A8">
        <w:rPr>
          <w:rFonts w:cs="Arial"/>
        </w:rPr>
        <w:t>seguiment.</w:t>
      </w:r>
    </w:p>
    <w:p w:rsidR="006A4109" w:rsidRPr="007507A8" w:rsidRDefault="006A4109" w:rsidP="00AE0A20">
      <w:pPr>
        <w:pStyle w:val="Pargrafdellista"/>
        <w:numPr>
          <w:ilvl w:val="1"/>
          <w:numId w:val="17"/>
        </w:numPr>
        <w:rPr>
          <w:rFonts w:cs="Arial"/>
        </w:rPr>
      </w:pPr>
      <w:r w:rsidRPr="007507A8">
        <w:rPr>
          <w:rFonts w:cs="Arial"/>
        </w:rPr>
        <w:t>Assegurar la cohesió territorial i el desenvolupament harmònic dels serveis sanitaris a tots els centres penitenciaris.</w:t>
      </w:r>
    </w:p>
    <w:p w:rsidR="006A4109" w:rsidRPr="00F02D52" w:rsidRDefault="006A4109" w:rsidP="00E930B2">
      <w:pPr>
        <w:rPr>
          <w:rFonts w:cs="Arial"/>
          <w:i/>
        </w:rPr>
      </w:pPr>
    </w:p>
    <w:p w:rsidR="006A4109" w:rsidRPr="00F02D52" w:rsidRDefault="006A4109" w:rsidP="0070401F">
      <w:pPr>
        <w:pStyle w:val="Ttol3"/>
      </w:pPr>
      <w:bookmarkStart w:id="353" w:name="_Toc463867803"/>
      <w:bookmarkStart w:id="354" w:name="_Toc464685677"/>
      <w:bookmarkStart w:id="355" w:name="_Toc465293415"/>
      <w:r w:rsidRPr="00F02D52">
        <w:t xml:space="preserve">El treball </w:t>
      </w:r>
      <w:r w:rsidRPr="002A7616">
        <w:t>penitenciari</w:t>
      </w:r>
      <w:r w:rsidRPr="00F02D52">
        <w:t>, la formació ocupacional i la reinserció sociolaboral</w:t>
      </w:r>
      <w:bookmarkEnd w:id="353"/>
      <w:bookmarkEnd w:id="354"/>
      <w:bookmarkEnd w:id="355"/>
    </w:p>
    <w:p w:rsidR="006A4109" w:rsidRPr="007507A8" w:rsidRDefault="006A4109" w:rsidP="0070401F">
      <w:pPr>
        <w:pStyle w:val="Ttol4"/>
      </w:pPr>
      <w:bookmarkStart w:id="356" w:name="_Toc463867804"/>
      <w:r w:rsidRPr="007507A8">
        <w:t>Desplegament normatiu i estructural</w:t>
      </w:r>
      <w:bookmarkEnd w:id="356"/>
    </w:p>
    <w:p w:rsidR="006A4109" w:rsidRPr="007507A8" w:rsidRDefault="006A4109" w:rsidP="00E930B2">
      <w:pPr>
        <w:rPr>
          <w:rFonts w:cs="Arial"/>
        </w:rPr>
      </w:pPr>
      <w:r>
        <w:rPr>
          <w:rFonts w:cs="Arial"/>
        </w:rPr>
        <w:t>L’Administració penitencià</w:t>
      </w:r>
      <w:r w:rsidRPr="007507A8">
        <w:rPr>
          <w:rFonts w:cs="Arial"/>
        </w:rPr>
        <w:t xml:space="preserve">ria catalana hereta el model de gestió de tallers penitenciaris </w:t>
      </w:r>
      <w:r>
        <w:rPr>
          <w:rFonts w:cs="Arial"/>
        </w:rPr>
        <w:t>que hi havia</w:t>
      </w:r>
      <w:r w:rsidRPr="007507A8">
        <w:rPr>
          <w:rFonts w:cs="Arial"/>
        </w:rPr>
        <w:t>, gestionat per funcionaris penitenciaris assignats als tallers de cada centre i establint un àmbit de coordinació a</w:t>
      </w:r>
      <w:r>
        <w:rPr>
          <w:rFonts w:cs="Arial"/>
        </w:rPr>
        <w:t>mb els S</w:t>
      </w:r>
      <w:r w:rsidRPr="007507A8">
        <w:rPr>
          <w:rFonts w:cs="Arial"/>
        </w:rPr>
        <w:t xml:space="preserve">erveis </w:t>
      </w:r>
      <w:r>
        <w:rPr>
          <w:rFonts w:cs="Arial"/>
        </w:rPr>
        <w:t>C</w:t>
      </w:r>
      <w:r w:rsidRPr="007507A8">
        <w:rPr>
          <w:rFonts w:cs="Arial"/>
        </w:rPr>
        <w:t xml:space="preserve">entrals de </w:t>
      </w:r>
      <w:r>
        <w:rPr>
          <w:rFonts w:cs="Arial"/>
        </w:rPr>
        <w:t>la Direcció General de Serveis P</w:t>
      </w:r>
      <w:r w:rsidRPr="007507A8">
        <w:rPr>
          <w:rFonts w:cs="Arial"/>
        </w:rPr>
        <w:t>enitenciaris.</w:t>
      </w:r>
    </w:p>
    <w:p w:rsidR="006A4109" w:rsidRPr="007507A8" w:rsidRDefault="006A4109" w:rsidP="00E930B2">
      <w:pPr>
        <w:rPr>
          <w:rFonts w:cs="Arial"/>
        </w:rPr>
      </w:pPr>
      <w:r w:rsidRPr="007507A8">
        <w:rPr>
          <w:rFonts w:cs="Arial"/>
        </w:rPr>
        <w:t>L’any 1989 es crea el CIRE mitjançant la Llei 5/1989</w:t>
      </w:r>
      <w:r>
        <w:rPr>
          <w:rFonts w:cs="Arial"/>
        </w:rPr>
        <w:t>,</w:t>
      </w:r>
      <w:r w:rsidRPr="007507A8">
        <w:rPr>
          <w:rFonts w:cs="Arial"/>
        </w:rPr>
        <w:t xml:space="preserve"> de 12 de maig, amb l’objecte de satisfer el dret al treball dels presos i penats en establiments penitenciaris de Catalunya. Els seus estatuts s’aproven mitjançant el Decret 209/1989, de 3 de juliol</w:t>
      </w:r>
      <w:r>
        <w:rPr>
          <w:rFonts w:cs="Arial"/>
        </w:rPr>
        <w:t>,</w:t>
      </w:r>
      <w:r w:rsidRPr="007507A8">
        <w:rPr>
          <w:rFonts w:cs="Arial"/>
        </w:rPr>
        <w:t xml:space="preserve"> i s’adopta la fórmula jurídica d’empresa pública sotmesa al dret privat. </w:t>
      </w:r>
    </w:p>
    <w:p w:rsidR="006A4109" w:rsidRPr="00F02D52" w:rsidRDefault="006A4109" w:rsidP="007B2744">
      <w:pPr>
        <w:jc w:val="center"/>
        <w:rPr>
          <w:rFonts w:cs="Arial"/>
          <w:i/>
        </w:rPr>
      </w:pPr>
      <w:r w:rsidRPr="00F02D52">
        <w:rPr>
          <w:rFonts w:eastAsia="+mn-ea" w:cs="Arial"/>
          <w:i/>
          <w:noProof/>
          <w:kern w:val="24"/>
          <w:sz w:val="20"/>
          <w:szCs w:val="20"/>
          <w:bdr w:val="single" w:sz="4" w:space="0" w:color="auto"/>
          <w:lang w:eastAsia="ca-ES"/>
        </w:rPr>
        <w:drawing>
          <wp:inline distT="0" distB="0" distL="0" distR="0" wp14:anchorId="0911CC1B" wp14:editId="0ACFD285">
            <wp:extent cx="3249849" cy="2160000"/>
            <wp:effectExtent l="0" t="0" r="8255" b="0"/>
            <wp:docPr id="15" name="Imat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249849" cy="2160000"/>
                    </a:xfrm>
                    <a:prstGeom prst="rect">
                      <a:avLst/>
                    </a:prstGeom>
                    <a:noFill/>
                    <a:ln>
                      <a:noFill/>
                    </a:ln>
                  </pic:spPr>
                </pic:pic>
              </a:graphicData>
            </a:graphic>
          </wp:inline>
        </w:drawing>
      </w:r>
    </w:p>
    <w:p w:rsidR="006A4109" w:rsidRPr="007507A8" w:rsidRDefault="006A4109" w:rsidP="00E930B2">
      <w:pPr>
        <w:rPr>
          <w:rFonts w:cs="Arial"/>
        </w:rPr>
      </w:pPr>
      <w:r w:rsidRPr="007507A8">
        <w:rPr>
          <w:rFonts w:cs="Arial"/>
        </w:rPr>
        <w:t xml:space="preserve">Des de la creació del CIRE i fins </w:t>
      </w:r>
      <w:r>
        <w:rPr>
          <w:rFonts w:cs="Arial"/>
        </w:rPr>
        <w:t>ara</w:t>
      </w:r>
      <w:r w:rsidRPr="007507A8">
        <w:rPr>
          <w:rFonts w:cs="Arial"/>
        </w:rPr>
        <w:t xml:space="preserve">, s’han produït importants canvis legislatius: </w:t>
      </w:r>
    </w:p>
    <w:p w:rsidR="006A4109" w:rsidRPr="007507A8" w:rsidRDefault="006A4109" w:rsidP="00E930B2">
      <w:pPr>
        <w:rPr>
          <w:rFonts w:cs="Arial"/>
        </w:rPr>
      </w:pPr>
      <w:r w:rsidRPr="007507A8">
        <w:rPr>
          <w:rFonts w:cs="Arial"/>
        </w:rPr>
        <w:t>Aprovació del Reial decret 782/2001, de 6 de juliol, pel qual es regula la relació laboral de caràcter especial dels penats que facin activitats laborals en tallers penitenciaris i la protecció de Seguretat Social dels sotmesos a penes de treball en benefici de la comunitat, modificat pel Reial decret 2131/2008, de 26 de desembre.</w:t>
      </w:r>
    </w:p>
    <w:p w:rsidR="006A4109" w:rsidRPr="007507A8" w:rsidRDefault="006A4109" w:rsidP="00E930B2">
      <w:pPr>
        <w:rPr>
          <w:rFonts w:cs="Arial"/>
        </w:rPr>
      </w:pPr>
      <w:r w:rsidRPr="007507A8">
        <w:rPr>
          <w:rFonts w:cs="Arial"/>
        </w:rPr>
        <w:t>L’article 168.1 de l’Estatut</w:t>
      </w:r>
      <w:r>
        <w:rPr>
          <w:rFonts w:cs="Arial"/>
        </w:rPr>
        <w:t xml:space="preserve"> d’autonomia de Catalunya de l’</w:t>
      </w:r>
      <w:r w:rsidRPr="007507A8">
        <w:rPr>
          <w:rFonts w:cs="Arial"/>
        </w:rPr>
        <w:t>any 2006, que atribueix a la Generalitat la competència executiva de la legislació de l’Estat en matèria penitenciària que inclou, en tot cas, la planificació i l’organització del treball remunerat de la població reclusa, i també l’execució de les mesures alternatives a la presó i de les activitats de reinserc</w:t>
      </w:r>
      <w:r>
        <w:rPr>
          <w:rFonts w:cs="Arial"/>
        </w:rPr>
        <w:t>ió</w:t>
      </w:r>
      <w:r w:rsidRPr="007507A8">
        <w:rPr>
          <w:rFonts w:cs="Arial"/>
        </w:rPr>
        <w:t>.</w:t>
      </w:r>
    </w:p>
    <w:p w:rsidR="006A4109" w:rsidRPr="007507A8" w:rsidRDefault="006A4109" w:rsidP="00E930B2">
      <w:pPr>
        <w:rPr>
          <w:rFonts w:cs="Arial"/>
        </w:rPr>
      </w:pPr>
      <w:r w:rsidRPr="007507A8">
        <w:rPr>
          <w:rFonts w:cs="Arial"/>
        </w:rPr>
        <w:lastRenderedPageBreak/>
        <w:t>Les reformes normatives en l'àmbit penitenciari català, aprovades pel Decret 329/2006, de 5 de setembre, del Reglament d'organització i funcionament dels serveis d'execució penal a Catalunya.</w:t>
      </w:r>
    </w:p>
    <w:p w:rsidR="006A4109" w:rsidRPr="007507A8" w:rsidRDefault="006A4109" w:rsidP="00E930B2">
      <w:pPr>
        <w:rPr>
          <w:rFonts w:cs="Arial"/>
        </w:rPr>
      </w:pPr>
      <w:r w:rsidRPr="007507A8">
        <w:rPr>
          <w:rFonts w:cs="Arial"/>
        </w:rPr>
        <w:t>L’entrada en vigor de la normativa en matèria de contractació pública a nivell estatal que és d’aplicació al CIRE.</w:t>
      </w:r>
    </w:p>
    <w:p w:rsidR="006A4109" w:rsidRPr="007507A8" w:rsidRDefault="006A4109" w:rsidP="00E930B2">
      <w:pPr>
        <w:rPr>
          <w:rFonts w:cs="Arial"/>
        </w:rPr>
      </w:pPr>
      <w:r w:rsidRPr="007507A8">
        <w:rPr>
          <w:rFonts w:cs="Arial"/>
        </w:rPr>
        <w:t xml:space="preserve">Atès tot </w:t>
      </w:r>
      <w:r>
        <w:rPr>
          <w:rFonts w:cs="Arial"/>
        </w:rPr>
        <w:t>el que s</w:t>
      </w:r>
      <w:r w:rsidRPr="007507A8">
        <w:rPr>
          <w:rFonts w:cs="Arial"/>
        </w:rPr>
        <w:t>’</w:t>
      </w:r>
      <w:r>
        <w:rPr>
          <w:rFonts w:cs="Arial"/>
        </w:rPr>
        <w:t xml:space="preserve">ha </w:t>
      </w:r>
      <w:r w:rsidRPr="007507A8">
        <w:rPr>
          <w:rFonts w:cs="Arial"/>
        </w:rPr>
        <w:t>exposat anteriorment i tenint en compte l’important incr</w:t>
      </w:r>
      <w:r>
        <w:rPr>
          <w:rFonts w:cs="Arial"/>
        </w:rPr>
        <w:t>ement de l’activitat del CIRE,</w:t>
      </w:r>
      <w:r w:rsidRPr="007507A8">
        <w:rPr>
          <w:rFonts w:cs="Arial"/>
        </w:rPr>
        <w:t xml:space="preserve"> l</w:t>
      </w:r>
      <w:r>
        <w:rPr>
          <w:rFonts w:cs="Arial"/>
        </w:rPr>
        <w:t>’</w:t>
      </w:r>
      <w:r w:rsidRPr="007507A8">
        <w:rPr>
          <w:rFonts w:cs="Arial"/>
        </w:rPr>
        <w:t>any 2009</w:t>
      </w:r>
      <w:r>
        <w:rPr>
          <w:rFonts w:cs="Arial"/>
        </w:rPr>
        <w:t>,</w:t>
      </w:r>
      <w:r w:rsidRPr="007507A8">
        <w:rPr>
          <w:rFonts w:cs="Arial"/>
        </w:rPr>
        <w:t xml:space="preserve"> s’aprova la Llei 23/2009, de 23 de desembre, per donar resposta i poder afrontar els nous reptes de futur. </w:t>
      </w:r>
    </w:p>
    <w:p w:rsidR="006A4109" w:rsidRPr="007507A8" w:rsidRDefault="006A4109" w:rsidP="00E930B2">
      <w:pPr>
        <w:rPr>
          <w:rFonts w:cs="Arial"/>
        </w:rPr>
      </w:pPr>
    </w:p>
    <w:p w:rsidR="006A4109" w:rsidRPr="007507A8" w:rsidRDefault="006A4109" w:rsidP="00E930B2">
      <w:pPr>
        <w:rPr>
          <w:rFonts w:cs="Arial"/>
        </w:rPr>
      </w:pPr>
      <w:r w:rsidRPr="007507A8">
        <w:rPr>
          <w:rFonts w:cs="Arial"/>
        </w:rPr>
        <w:t>D</w:t>
      </w:r>
      <w:r>
        <w:rPr>
          <w:rFonts w:cs="Arial"/>
        </w:rPr>
        <w:t>’</w:t>
      </w:r>
      <w:r w:rsidRPr="007507A8">
        <w:rPr>
          <w:rFonts w:cs="Arial"/>
        </w:rPr>
        <w:t xml:space="preserve">aquesta nova Llei del CIRE, </w:t>
      </w:r>
      <w:r>
        <w:rPr>
          <w:rFonts w:cs="Arial"/>
        </w:rPr>
        <w:t>cal</w:t>
      </w:r>
      <w:r w:rsidRPr="007507A8">
        <w:rPr>
          <w:rFonts w:cs="Arial"/>
        </w:rPr>
        <w:t xml:space="preserve"> desta</w:t>
      </w:r>
      <w:r>
        <w:rPr>
          <w:rFonts w:cs="Arial"/>
        </w:rPr>
        <w:t xml:space="preserve">car els aspectes </w:t>
      </w:r>
      <w:r w:rsidRPr="007507A8">
        <w:rPr>
          <w:rFonts w:cs="Arial"/>
        </w:rPr>
        <w:t>s</w:t>
      </w:r>
      <w:r>
        <w:rPr>
          <w:rFonts w:cs="Arial"/>
        </w:rPr>
        <w:t>egüents</w:t>
      </w:r>
      <w:r w:rsidRPr="007507A8">
        <w:rPr>
          <w:rFonts w:cs="Arial"/>
        </w:rPr>
        <w:t>:</w:t>
      </w:r>
    </w:p>
    <w:p w:rsidR="006A4109" w:rsidRPr="007507A8" w:rsidRDefault="006A4109" w:rsidP="00AE0A20">
      <w:pPr>
        <w:pStyle w:val="Pargrafdellista"/>
        <w:numPr>
          <w:ilvl w:val="0"/>
          <w:numId w:val="18"/>
        </w:numPr>
        <w:rPr>
          <w:rFonts w:cs="Arial"/>
        </w:rPr>
      </w:pPr>
      <w:r w:rsidRPr="007507A8">
        <w:rPr>
          <w:rFonts w:cs="Arial"/>
        </w:rPr>
        <w:t>Definició de la finalitat i les funcions, i</w:t>
      </w:r>
      <w:r>
        <w:rPr>
          <w:rFonts w:cs="Arial"/>
        </w:rPr>
        <w:t xml:space="preserve"> i</w:t>
      </w:r>
      <w:r w:rsidRPr="007507A8">
        <w:rPr>
          <w:rFonts w:cs="Arial"/>
        </w:rPr>
        <w:t>ncorpora</w:t>
      </w:r>
      <w:r>
        <w:rPr>
          <w:rFonts w:cs="Arial"/>
        </w:rPr>
        <w:t>r</w:t>
      </w:r>
      <w:r w:rsidRPr="007507A8">
        <w:rPr>
          <w:rFonts w:cs="Arial"/>
        </w:rPr>
        <w:t xml:space="preserve"> com a noves funcions la gestió de la formació  professional, per a l'ocupació i la gestió de la inserció laboral. </w:t>
      </w:r>
    </w:p>
    <w:p w:rsidR="006A4109" w:rsidRPr="007507A8" w:rsidRDefault="006A4109" w:rsidP="00AE0A20">
      <w:pPr>
        <w:pStyle w:val="Pargrafdellista"/>
        <w:numPr>
          <w:ilvl w:val="0"/>
          <w:numId w:val="18"/>
        </w:numPr>
        <w:rPr>
          <w:rFonts w:cs="Arial"/>
        </w:rPr>
      </w:pPr>
      <w:r w:rsidRPr="007507A8">
        <w:rPr>
          <w:rFonts w:cs="Arial"/>
        </w:rPr>
        <w:t xml:space="preserve">S’amplia l'àmbit d'actuació als centres educatius de justícia juvenil. </w:t>
      </w:r>
    </w:p>
    <w:p w:rsidR="006A4109" w:rsidRPr="007507A8" w:rsidRDefault="006A4109" w:rsidP="00AE0A20">
      <w:pPr>
        <w:pStyle w:val="Pargrafdellista"/>
        <w:numPr>
          <w:ilvl w:val="0"/>
          <w:numId w:val="18"/>
        </w:numPr>
        <w:rPr>
          <w:rFonts w:cs="Arial"/>
        </w:rPr>
      </w:pPr>
      <w:r w:rsidRPr="007507A8">
        <w:rPr>
          <w:rFonts w:cs="Arial"/>
        </w:rPr>
        <w:t>Considera</w:t>
      </w:r>
      <w:r>
        <w:rPr>
          <w:rFonts w:cs="Arial"/>
        </w:rPr>
        <w:t>r el CIRE</w:t>
      </w:r>
      <w:r w:rsidRPr="007507A8">
        <w:rPr>
          <w:rFonts w:cs="Arial"/>
        </w:rPr>
        <w:t xml:space="preserve"> com </w:t>
      </w:r>
      <w:r>
        <w:rPr>
          <w:rFonts w:cs="Arial"/>
        </w:rPr>
        <w:t xml:space="preserve">a </w:t>
      </w:r>
      <w:r w:rsidRPr="007507A8">
        <w:rPr>
          <w:rFonts w:cs="Arial"/>
        </w:rPr>
        <w:t>mitjà propi i servei tècnic de l'Administració de la Generalitat i dels ens locals de Catalunya. Per tant</w:t>
      </w:r>
      <w:r>
        <w:rPr>
          <w:rFonts w:cs="Arial"/>
        </w:rPr>
        <w:t>,</w:t>
      </w:r>
      <w:r w:rsidRPr="007507A8">
        <w:rPr>
          <w:rFonts w:cs="Arial"/>
        </w:rPr>
        <w:t xml:space="preserve"> empresa pública prestadora de serveis.</w:t>
      </w:r>
    </w:p>
    <w:p w:rsidR="006A4109" w:rsidRPr="00F02D52" w:rsidRDefault="006A4109" w:rsidP="00E930B2">
      <w:pPr>
        <w:rPr>
          <w:rFonts w:cs="Arial"/>
          <w:i/>
        </w:rPr>
      </w:pPr>
    </w:p>
    <w:p w:rsidR="006A4109" w:rsidRPr="00F02D52" w:rsidRDefault="006A4109" w:rsidP="0070401F">
      <w:pPr>
        <w:pStyle w:val="Ttol4"/>
      </w:pPr>
      <w:bookmarkStart w:id="357" w:name="_Toc463867805"/>
      <w:r w:rsidRPr="002A7616">
        <w:t>Metodologia</w:t>
      </w:r>
      <w:r w:rsidRPr="00F02D52">
        <w:t xml:space="preserve"> de</w:t>
      </w:r>
      <w:r>
        <w:t xml:space="preserve"> treball segons el model FOI (formació, o</w:t>
      </w:r>
      <w:r w:rsidRPr="00F02D52">
        <w:t xml:space="preserve">cupació, </w:t>
      </w:r>
      <w:r>
        <w:t>i</w:t>
      </w:r>
      <w:r w:rsidRPr="00F02D52">
        <w:t>nserció)</w:t>
      </w:r>
      <w:bookmarkEnd w:id="357"/>
    </w:p>
    <w:p w:rsidR="006A4109" w:rsidRPr="007507A8" w:rsidRDefault="006A4109" w:rsidP="00E930B2">
      <w:pPr>
        <w:rPr>
          <w:rFonts w:cs="Arial"/>
        </w:rPr>
      </w:pPr>
      <w:r w:rsidRPr="007507A8">
        <w:rPr>
          <w:rFonts w:cs="Arial"/>
        </w:rPr>
        <w:t>El CIRE és l'eina del Govern de la Generalitat que promou la reinserció de les persones privades de llibertat mitjançant la formació en oficis i el treball penitenciari. En conseqüència i d’acord amb les novetats de la Llei 23/09</w:t>
      </w:r>
      <w:r>
        <w:rPr>
          <w:rFonts w:cs="Arial"/>
        </w:rPr>
        <w:t>,</w:t>
      </w:r>
      <w:r w:rsidRPr="007507A8">
        <w:rPr>
          <w:rFonts w:cs="Arial"/>
        </w:rPr>
        <w:t xml:space="preserve"> es concep el procés d</w:t>
      </w:r>
      <w:r>
        <w:rPr>
          <w:rFonts w:cs="Arial"/>
        </w:rPr>
        <w:t>’</w:t>
      </w:r>
      <w:r w:rsidRPr="007507A8">
        <w:rPr>
          <w:rFonts w:cs="Arial"/>
        </w:rPr>
        <w:t xml:space="preserve">inserció d'una manera integral, </w:t>
      </w:r>
      <w:r>
        <w:rPr>
          <w:rFonts w:cs="Arial"/>
        </w:rPr>
        <w:t xml:space="preserve">fet pel qual es </w:t>
      </w:r>
      <w:r w:rsidRPr="007507A8">
        <w:rPr>
          <w:rFonts w:cs="Arial"/>
        </w:rPr>
        <w:t>dissenya un itinerari d</w:t>
      </w:r>
      <w:r>
        <w:rPr>
          <w:rFonts w:cs="Arial"/>
        </w:rPr>
        <w:t>’</w:t>
      </w:r>
      <w:r w:rsidRPr="007507A8">
        <w:rPr>
          <w:rFonts w:cs="Arial"/>
        </w:rPr>
        <w:t xml:space="preserve">integració formació, ocupació i inserció (FOI). </w:t>
      </w:r>
    </w:p>
    <w:p w:rsidR="006A4109" w:rsidRPr="007507A8" w:rsidRDefault="006A4109" w:rsidP="00E930B2">
      <w:pPr>
        <w:rPr>
          <w:rFonts w:cs="Arial"/>
        </w:rPr>
      </w:pPr>
      <w:r w:rsidRPr="007507A8">
        <w:rPr>
          <w:rFonts w:cs="Arial"/>
        </w:rPr>
        <w:t>L</w:t>
      </w:r>
      <w:r>
        <w:rPr>
          <w:rFonts w:cs="Arial"/>
        </w:rPr>
        <w:t>a l</w:t>
      </w:r>
      <w:r w:rsidRPr="007507A8">
        <w:rPr>
          <w:rFonts w:cs="Arial"/>
        </w:rPr>
        <w:t xml:space="preserve">lei </w:t>
      </w:r>
      <w:r>
        <w:rPr>
          <w:rFonts w:cs="Arial"/>
        </w:rPr>
        <w:t xml:space="preserve">esmentada </w:t>
      </w:r>
      <w:r w:rsidRPr="007507A8">
        <w:rPr>
          <w:rFonts w:cs="Arial"/>
        </w:rPr>
        <w:t xml:space="preserve">estableix en </w:t>
      </w:r>
      <w:r>
        <w:rPr>
          <w:rFonts w:cs="Arial"/>
        </w:rPr>
        <w:t>l’</w:t>
      </w:r>
      <w:r w:rsidRPr="007507A8">
        <w:rPr>
          <w:rFonts w:cs="Arial"/>
        </w:rPr>
        <w:t>article 2 que l’objecte del CIRE és facilitar la reinserció sociolaboral dels interns en centres penitenciaris i educatius de Catalunya, mitjançant la creació, l’aplicació i el desenvolupament de programes formatius i educatius, la creació de llocs de treball adaptats a les necessitats d’aquestes persones i altres actuacions encaminades a aconseguir-ne la reinserció.</w:t>
      </w:r>
    </w:p>
    <w:p w:rsidR="006A4109" w:rsidRPr="007507A8" w:rsidRDefault="006A4109" w:rsidP="00E930B2">
      <w:pPr>
        <w:rPr>
          <w:rFonts w:cs="Arial"/>
        </w:rPr>
      </w:pPr>
      <w:r w:rsidRPr="007507A8">
        <w:rPr>
          <w:rFonts w:cs="Arial"/>
        </w:rPr>
        <w:t>Les competències de formació i inserció es transfereixen al CIRE en el decurs de l’any 2003, des d</w:t>
      </w:r>
      <w:r>
        <w:rPr>
          <w:rFonts w:cs="Arial"/>
        </w:rPr>
        <w:t>’</w:t>
      </w:r>
      <w:r w:rsidRPr="007507A8">
        <w:rPr>
          <w:rFonts w:cs="Arial"/>
        </w:rPr>
        <w:t>aleshores s’han anant produint canvis significatius que descriurem.</w:t>
      </w:r>
    </w:p>
    <w:p w:rsidR="006A4109" w:rsidRPr="00F02D52" w:rsidRDefault="006A4109" w:rsidP="00E930B2">
      <w:pPr>
        <w:rPr>
          <w:rFonts w:cs="Arial"/>
          <w:i/>
        </w:rPr>
      </w:pPr>
    </w:p>
    <w:tbl>
      <w:tblPr>
        <w:tblW w:w="8972" w:type="dxa"/>
        <w:tblInd w:w="55" w:type="dxa"/>
        <w:tblLayout w:type="fixed"/>
        <w:tblCellMar>
          <w:left w:w="70" w:type="dxa"/>
          <w:right w:w="70" w:type="dxa"/>
        </w:tblCellMar>
        <w:tblLook w:val="04A0" w:firstRow="1" w:lastRow="0" w:firstColumn="1" w:lastColumn="0" w:noHBand="0" w:noVBand="1"/>
      </w:tblPr>
      <w:tblGrid>
        <w:gridCol w:w="2850"/>
        <w:gridCol w:w="765"/>
        <w:gridCol w:w="765"/>
        <w:gridCol w:w="765"/>
        <w:gridCol w:w="766"/>
        <w:gridCol w:w="765"/>
        <w:gridCol w:w="765"/>
        <w:gridCol w:w="765"/>
        <w:gridCol w:w="766"/>
      </w:tblGrid>
      <w:tr w:rsidR="006A4109" w:rsidRPr="007507A8" w:rsidTr="00E930B2">
        <w:trPr>
          <w:trHeight w:val="300"/>
        </w:trPr>
        <w:tc>
          <w:tcPr>
            <w:tcW w:w="2850" w:type="dxa"/>
            <w:tcBorders>
              <w:top w:val="nil"/>
              <w:left w:val="nil"/>
              <w:bottom w:val="single" w:sz="12" w:space="0" w:color="auto"/>
              <w:right w:val="nil"/>
            </w:tcBorders>
            <w:shd w:val="clear" w:color="auto" w:fill="D9D9D9" w:themeFill="background1" w:themeFillShade="D9"/>
            <w:noWrap/>
            <w:vAlign w:val="center"/>
            <w:hideMark/>
          </w:tcPr>
          <w:p w:rsidR="006A4109" w:rsidRPr="007507A8" w:rsidRDefault="006A4109" w:rsidP="00E930B2">
            <w:pPr>
              <w:rPr>
                <w:rFonts w:eastAsia="Times New Roman" w:cs="Arial"/>
                <w:b/>
                <w:color w:val="000000"/>
                <w:sz w:val="20"/>
                <w:szCs w:val="20"/>
                <w:lang w:eastAsia="ca-ES"/>
              </w:rPr>
            </w:pPr>
          </w:p>
        </w:tc>
        <w:tc>
          <w:tcPr>
            <w:tcW w:w="765" w:type="dxa"/>
            <w:tcBorders>
              <w:top w:val="nil"/>
              <w:left w:val="nil"/>
              <w:bottom w:val="single" w:sz="12" w:space="0" w:color="auto"/>
              <w:right w:val="nil"/>
            </w:tcBorders>
            <w:shd w:val="clear" w:color="auto" w:fill="D9D9D9" w:themeFill="background1" w:themeFillShade="D9"/>
            <w:noWrap/>
            <w:vAlign w:val="center"/>
            <w:hideMark/>
          </w:tcPr>
          <w:p w:rsidR="006A4109" w:rsidRPr="007507A8" w:rsidRDefault="006A4109" w:rsidP="00E930B2">
            <w:pPr>
              <w:jc w:val="center"/>
              <w:rPr>
                <w:rFonts w:eastAsia="Times New Roman" w:cs="Arial"/>
                <w:b/>
                <w:color w:val="000000"/>
                <w:sz w:val="20"/>
                <w:szCs w:val="20"/>
                <w:lang w:eastAsia="ca-ES"/>
              </w:rPr>
            </w:pPr>
            <w:r w:rsidRPr="007507A8">
              <w:rPr>
                <w:rFonts w:eastAsia="Times New Roman" w:cs="Arial"/>
                <w:b/>
                <w:color w:val="000000"/>
                <w:sz w:val="20"/>
                <w:szCs w:val="20"/>
                <w:lang w:eastAsia="ca-ES"/>
              </w:rPr>
              <w:t>2008</w:t>
            </w:r>
          </w:p>
        </w:tc>
        <w:tc>
          <w:tcPr>
            <w:tcW w:w="765" w:type="dxa"/>
            <w:tcBorders>
              <w:top w:val="nil"/>
              <w:left w:val="nil"/>
              <w:bottom w:val="single" w:sz="12" w:space="0" w:color="auto"/>
              <w:right w:val="nil"/>
            </w:tcBorders>
            <w:shd w:val="clear" w:color="auto" w:fill="D9D9D9" w:themeFill="background1" w:themeFillShade="D9"/>
            <w:noWrap/>
            <w:vAlign w:val="center"/>
            <w:hideMark/>
          </w:tcPr>
          <w:p w:rsidR="006A4109" w:rsidRPr="007507A8" w:rsidRDefault="006A4109" w:rsidP="00E930B2">
            <w:pPr>
              <w:jc w:val="center"/>
              <w:rPr>
                <w:rFonts w:eastAsia="Times New Roman" w:cs="Arial"/>
                <w:b/>
                <w:color w:val="000000"/>
                <w:sz w:val="20"/>
                <w:szCs w:val="20"/>
                <w:lang w:eastAsia="ca-ES"/>
              </w:rPr>
            </w:pPr>
            <w:r w:rsidRPr="007507A8">
              <w:rPr>
                <w:rFonts w:eastAsia="Times New Roman" w:cs="Arial"/>
                <w:b/>
                <w:color w:val="000000"/>
                <w:sz w:val="20"/>
                <w:szCs w:val="20"/>
                <w:lang w:eastAsia="ca-ES"/>
              </w:rPr>
              <w:t>2009</w:t>
            </w:r>
          </w:p>
        </w:tc>
        <w:tc>
          <w:tcPr>
            <w:tcW w:w="765" w:type="dxa"/>
            <w:tcBorders>
              <w:top w:val="nil"/>
              <w:left w:val="nil"/>
              <w:bottom w:val="single" w:sz="12" w:space="0" w:color="auto"/>
              <w:right w:val="nil"/>
            </w:tcBorders>
            <w:shd w:val="clear" w:color="auto" w:fill="D9D9D9" w:themeFill="background1" w:themeFillShade="D9"/>
            <w:noWrap/>
            <w:vAlign w:val="center"/>
            <w:hideMark/>
          </w:tcPr>
          <w:p w:rsidR="006A4109" w:rsidRPr="007507A8" w:rsidRDefault="006A4109" w:rsidP="00E930B2">
            <w:pPr>
              <w:jc w:val="center"/>
              <w:rPr>
                <w:rFonts w:eastAsia="Times New Roman" w:cs="Arial"/>
                <w:b/>
                <w:color w:val="000000"/>
                <w:sz w:val="20"/>
                <w:szCs w:val="20"/>
                <w:lang w:eastAsia="ca-ES"/>
              </w:rPr>
            </w:pPr>
            <w:r w:rsidRPr="007507A8">
              <w:rPr>
                <w:rFonts w:eastAsia="Times New Roman" w:cs="Arial"/>
                <w:b/>
                <w:color w:val="000000"/>
                <w:sz w:val="20"/>
                <w:szCs w:val="20"/>
                <w:lang w:eastAsia="ca-ES"/>
              </w:rPr>
              <w:t>2010</w:t>
            </w:r>
          </w:p>
        </w:tc>
        <w:tc>
          <w:tcPr>
            <w:tcW w:w="766" w:type="dxa"/>
            <w:tcBorders>
              <w:top w:val="nil"/>
              <w:left w:val="nil"/>
              <w:bottom w:val="single" w:sz="12" w:space="0" w:color="auto"/>
              <w:right w:val="nil"/>
            </w:tcBorders>
            <w:shd w:val="clear" w:color="auto" w:fill="D9D9D9" w:themeFill="background1" w:themeFillShade="D9"/>
            <w:noWrap/>
            <w:vAlign w:val="center"/>
            <w:hideMark/>
          </w:tcPr>
          <w:p w:rsidR="006A4109" w:rsidRPr="007507A8" w:rsidRDefault="006A4109" w:rsidP="00E930B2">
            <w:pPr>
              <w:jc w:val="center"/>
              <w:rPr>
                <w:rFonts w:eastAsia="Times New Roman" w:cs="Arial"/>
                <w:b/>
                <w:color w:val="000000"/>
                <w:sz w:val="20"/>
                <w:szCs w:val="20"/>
                <w:lang w:eastAsia="ca-ES"/>
              </w:rPr>
            </w:pPr>
            <w:r w:rsidRPr="007507A8">
              <w:rPr>
                <w:rFonts w:eastAsia="Times New Roman" w:cs="Arial"/>
                <w:b/>
                <w:color w:val="000000"/>
                <w:sz w:val="20"/>
                <w:szCs w:val="20"/>
                <w:lang w:eastAsia="ca-ES"/>
              </w:rPr>
              <w:t>2011</w:t>
            </w:r>
          </w:p>
        </w:tc>
        <w:tc>
          <w:tcPr>
            <w:tcW w:w="765" w:type="dxa"/>
            <w:tcBorders>
              <w:top w:val="nil"/>
              <w:left w:val="nil"/>
              <w:bottom w:val="single" w:sz="12" w:space="0" w:color="auto"/>
              <w:right w:val="nil"/>
            </w:tcBorders>
            <w:shd w:val="clear" w:color="auto" w:fill="D9D9D9" w:themeFill="background1" w:themeFillShade="D9"/>
            <w:noWrap/>
            <w:vAlign w:val="center"/>
            <w:hideMark/>
          </w:tcPr>
          <w:p w:rsidR="006A4109" w:rsidRPr="007507A8" w:rsidRDefault="006A4109" w:rsidP="00E930B2">
            <w:pPr>
              <w:jc w:val="center"/>
              <w:rPr>
                <w:rFonts w:eastAsia="Times New Roman" w:cs="Arial"/>
                <w:b/>
                <w:color w:val="000000"/>
                <w:sz w:val="20"/>
                <w:szCs w:val="20"/>
                <w:lang w:eastAsia="ca-ES"/>
              </w:rPr>
            </w:pPr>
            <w:r w:rsidRPr="007507A8">
              <w:rPr>
                <w:rFonts w:eastAsia="Times New Roman" w:cs="Arial"/>
                <w:b/>
                <w:color w:val="000000"/>
                <w:sz w:val="20"/>
                <w:szCs w:val="20"/>
                <w:lang w:eastAsia="ca-ES"/>
              </w:rPr>
              <w:t>2012</w:t>
            </w:r>
          </w:p>
        </w:tc>
        <w:tc>
          <w:tcPr>
            <w:tcW w:w="765" w:type="dxa"/>
            <w:tcBorders>
              <w:top w:val="nil"/>
              <w:left w:val="nil"/>
              <w:bottom w:val="single" w:sz="12" w:space="0" w:color="auto"/>
              <w:right w:val="nil"/>
            </w:tcBorders>
            <w:shd w:val="clear" w:color="auto" w:fill="D9D9D9" w:themeFill="background1" w:themeFillShade="D9"/>
            <w:noWrap/>
            <w:vAlign w:val="center"/>
            <w:hideMark/>
          </w:tcPr>
          <w:p w:rsidR="006A4109" w:rsidRPr="007507A8" w:rsidRDefault="006A4109" w:rsidP="00E930B2">
            <w:pPr>
              <w:jc w:val="center"/>
              <w:rPr>
                <w:rFonts w:eastAsia="Times New Roman" w:cs="Arial"/>
                <w:b/>
                <w:color w:val="000000"/>
                <w:sz w:val="20"/>
                <w:szCs w:val="20"/>
                <w:lang w:eastAsia="ca-ES"/>
              </w:rPr>
            </w:pPr>
            <w:r w:rsidRPr="007507A8">
              <w:rPr>
                <w:rFonts w:eastAsia="Times New Roman" w:cs="Arial"/>
                <w:b/>
                <w:color w:val="000000"/>
                <w:sz w:val="20"/>
                <w:szCs w:val="20"/>
                <w:lang w:eastAsia="ca-ES"/>
              </w:rPr>
              <w:t>2013</w:t>
            </w:r>
          </w:p>
        </w:tc>
        <w:tc>
          <w:tcPr>
            <w:tcW w:w="765" w:type="dxa"/>
            <w:tcBorders>
              <w:top w:val="nil"/>
              <w:left w:val="nil"/>
              <w:bottom w:val="single" w:sz="12" w:space="0" w:color="auto"/>
              <w:right w:val="nil"/>
            </w:tcBorders>
            <w:shd w:val="clear" w:color="auto" w:fill="D9D9D9" w:themeFill="background1" w:themeFillShade="D9"/>
            <w:noWrap/>
            <w:vAlign w:val="center"/>
            <w:hideMark/>
          </w:tcPr>
          <w:p w:rsidR="006A4109" w:rsidRPr="007507A8" w:rsidRDefault="006A4109" w:rsidP="00E930B2">
            <w:pPr>
              <w:jc w:val="center"/>
              <w:rPr>
                <w:rFonts w:eastAsia="Times New Roman" w:cs="Arial"/>
                <w:b/>
                <w:color w:val="000000"/>
                <w:sz w:val="20"/>
                <w:szCs w:val="20"/>
                <w:lang w:eastAsia="ca-ES"/>
              </w:rPr>
            </w:pPr>
            <w:r w:rsidRPr="007507A8">
              <w:rPr>
                <w:rFonts w:eastAsia="Times New Roman" w:cs="Arial"/>
                <w:b/>
                <w:color w:val="000000"/>
                <w:sz w:val="20"/>
                <w:szCs w:val="20"/>
                <w:lang w:eastAsia="ca-ES"/>
              </w:rPr>
              <w:t>2014</w:t>
            </w:r>
          </w:p>
        </w:tc>
        <w:tc>
          <w:tcPr>
            <w:tcW w:w="766" w:type="dxa"/>
            <w:tcBorders>
              <w:top w:val="nil"/>
              <w:left w:val="nil"/>
              <w:bottom w:val="single" w:sz="12" w:space="0" w:color="auto"/>
              <w:right w:val="nil"/>
            </w:tcBorders>
            <w:shd w:val="clear" w:color="auto" w:fill="D9D9D9" w:themeFill="background1" w:themeFillShade="D9"/>
            <w:noWrap/>
            <w:vAlign w:val="center"/>
            <w:hideMark/>
          </w:tcPr>
          <w:p w:rsidR="006A4109" w:rsidRPr="007507A8" w:rsidRDefault="006A4109" w:rsidP="00E930B2">
            <w:pPr>
              <w:jc w:val="center"/>
              <w:rPr>
                <w:rFonts w:eastAsia="Times New Roman" w:cs="Arial"/>
                <w:b/>
                <w:color w:val="000000"/>
                <w:sz w:val="20"/>
                <w:szCs w:val="20"/>
                <w:lang w:eastAsia="ca-ES"/>
              </w:rPr>
            </w:pPr>
            <w:r w:rsidRPr="007507A8">
              <w:rPr>
                <w:rFonts w:eastAsia="Times New Roman" w:cs="Arial"/>
                <w:b/>
                <w:color w:val="000000"/>
                <w:sz w:val="20"/>
                <w:szCs w:val="20"/>
                <w:lang w:eastAsia="ca-ES"/>
              </w:rPr>
              <w:t>2015</w:t>
            </w:r>
          </w:p>
        </w:tc>
      </w:tr>
      <w:tr w:rsidR="006A4109" w:rsidRPr="007507A8" w:rsidTr="00E930B2">
        <w:trPr>
          <w:trHeight w:val="300"/>
        </w:trPr>
        <w:tc>
          <w:tcPr>
            <w:tcW w:w="2850" w:type="dxa"/>
            <w:tcBorders>
              <w:top w:val="single" w:sz="12" w:space="0" w:color="auto"/>
              <w:left w:val="nil"/>
              <w:bottom w:val="single" w:sz="4" w:space="0" w:color="auto"/>
              <w:right w:val="nil"/>
            </w:tcBorders>
            <w:shd w:val="clear" w:color="auto" w:fill="auto"/>
            <w:noWrap/>
            <w:vAlign w:val="center"/>
            <w:hideMark/>
          </w:tcPr>
          <w:p w:rsidR="006A4109" w:rsidRPr="007507A8" w:rsidRDefault="006A4109" w:rsidP="00E930B2">
            <w:pPr>
              <w:jc w:val="left"/>
              <w:rPr>
                <w:rFonts w:eastAsia="Times New Roman" w:cs="Arial"/>
                <w:color w:val="000000"/>
                <w:sz w:val="20"/>
                <w:szCs w:val="20"/>
                <w:lang w:eastAsia="ca-ES"/>
              </w:rPr>
            </w:pPr>
            <w:r w:rsidRPr="007507A8">
              <w:rPr>
                <w:rFonts w:eastAsia="Times New Roman" w:cs="Arial"/>
                <w:color w:val="000000"/>
                <w:sz w:val="20"/>
                <w:szCs w:val="20"/>
                <w:lang w:eastAsia="ca-ES"/>
              </w:rPr>
              <w:t>Persones ocupades</w:t>
            </w:r>
          </w:p>
        </w:tc>
        <w:tc>
          <w:tcPr>
            <w:tcW w:w="765" w:type="dxa"/>
            <w:tcBorders>
              <w:top w:val="single" w:sz="12" w:space="0" w:color="auto"/>
              <w:left w:val="nil"/>
              <w:bottom w:val="single" w:sz="4" w:space="0" w:color="auto"/>
              <w:right w:val="nil"/>
            </w:tcBorders>
            <w:shd w:val="clear" w:color="auto" w:fill="auto"/>
            <w:noWrap/>
            <w:vAlign w:val="center"/>
            <w:hideMark/>
          </w:tcPr>
          <w:p w:rsidR="006A4109" w:rsidRPr="007507A8" w:rsidRDefault="006A4109" w:rsidP="00E930B2">
            <w:pPr>
              <w:jc w:val="right"/>
              <w:rPr>
                <w:rFonts w:eastAsia="Times New Roman" w:cs="Arial"/>
                <w:color w:val="000000"/>
                <w:sz w:val="20"/>
                <w:szCs w:val="20"/>
                <w:lang w:eastAsia="ca-ES"/>
              </w:rPr>
            </w:pPr>
            <w:r w:rsidRPr="007507A8">
              <w:rPr>
                <w:rFonts w:eastAsia="Times New Roman" w:cs="Arial"/>
                <w:color w:val="000000"/>
                <w:sz w:val="20"/>
                <w:szCs w:val="20"/>
                <w:lang w:eastAsia="ca-ES"/>
              </w:rPr>
              <w:t>3.124</w:t>
            </w:r>
          </w:p>
        </w:tc>
        <w:tc>
          <w:tcPr>
            <w:tcW w:w="765" w:type="dxa"/>
            <w:tcBorders>
              <w:top w:val="single" w:sz="12" w:space="0" w:color="auto"/>
              <w:left w:val="nil"/>
              <w:bottom w:val="single" w:sz="4" w:space="0" w:color="auto"/>
              <w:right w:val="nil"/>
            </w:tcBorders>
            <w:shd w:val="clear" w:color="auto" w:fill="auto"/>
            <w:noWrap/>
            <w:vAlign w:val="center"/>
            <w:hideMark/>
          </w:tcPr>
          <w:p w:rsidR="006A4109" w:rsidRPr="007507A8" w:rsidRDefault="006A4109" w:rsidP="00E930B2">
            <w:pPr>
              <w:jc w:val="right"/>
              <w:rPr>
                <w:rFonts w:eastAsia="Times New Roman" w:cs="Arial"/>
                <w:color w:val="000000"/>
                <w:sz w:val="20"/>
                <w:szCs w:val="20"/>
                <w:lang w:eastAsia="ca-ES"/>
              </w:rPr>
            </w:pPr>
            <w:r w:rsidRPr="007507A8">
              <w:rPr>
                <w:rFonts w:eastAsia="Times New Roman" w:cs="Arial"/>
                <w:color w:val="000000"/>
                <w:sz w:val="20"/>
                <w:szCs w:val="20"/>
                <w:lang w:eastAsia="ca-ES"/>
              </w:rPr>
              <w:t>3.778</w:t>
            </w:r>
          </w:p>
        </w:tc>
        <w:tc>
          <w:tcPr>
            <w:tcW w:w="765" w:type="dxa"/>
            <w:tcBorders>
              <w:top w:val="single" w:sz="12" w:space="0" w:color="auto"/>
              <w:left w:val="nil"/>
              <w:bottom w:val="single" w:sz="4" w:space="0" w:color="auto"/>
              <w:right w:val="nil"/>
            </w:tcBorders>
            <w:shd w:val="clear" w:color="auto" w:fill="auto"/>
            <w:noWrap/>
            <w:vAlign w:val="center"/>
            <w:hideMark/>
          </w:tcPr>
          <w:p w:rsidR="006A4109" w:rsidRPr="007507A8" w:rsidRDefault="006A4109" w:rsidP="00E930B2">
            <w:pPr>
              <w:jc w:val="right"/>
              <w:rPr>
                <w:rFonts w:eastAsia="Times New Roman" w:cs="Arial"/>
                <w:color w:val="000000"/>
                <w:sz w:val="20"/>
                <w:szCs w:val="20"/>
                <w:lang w:eastAsia="ca-ES"/>
              </w:rPr>
            </w:pPr>
            <w:r w:rsidRPr="007507A8">
              <w:rPr>
                <w:rFonts w:eastAsia="Times New Roman" w:cs="Arial"/>
                <w:color w:val="000000"/>
                <w:sz w:val="20"/>
                <w:szCs w:val="20"/>
                <w:lang w:eastAsia="ca-ES"/>
              </w:rPr>
              <w:t>3.902</w:t>
            </w:r>
          </w:p>
        </w:tc>
        <w:tc>
          <w:tcPr>
            <w:tcW w:w="766" w:type="dxa"/>
            <w:tcBorders>
              <w:top w:val="single" w:sz="12" w:space="0" w:color="auto"/>
              <w:left w:val="nil"/>
              <w:bottom w:val="single" w:sz="4" w:space="0" w:color="auto"/>
              <w:right w:val="nil"/>
            </w:tcBorders>
            <w:shd w:val="clear" w:color="auto" w:fill="auto"/>
            <w:noWrap/>
            <w:vAlign w:val="center"/>
            <w:hideMark/>
          </w:tcPr>
          <w:p w:rsidR="006A4109" w:rsidRPr="007507A8" w:rsidRDefault="006A4109" w:rsidP="00E930B2">
            <w:pPr>
              <w:jc w:val="right"/>
              <w:rPr>
                <w:rFonts w:eastAsia="Times New Roman" w:cs="Arial"/>
                <w:color w:val="000000"/>
                <w:sz w:val="20"/>
                <w:szCs w:val="20"/>
                <w:lang w:eastAsia="ca-ES"/>
              </w:rPr>
            </w:pPr>
            <w:r w:rsidRPr="007507A8">
              <w:rPr>
                <w:rFonts w:eastAsia="Times New Roman" w:cs="Arial"/>
                <w:color w:val="000000"/>
                <w:sz w:val="20"/>
                <w:szCs w:val="20"/>
                <w:lang w:eastAsia="ca-ES"/>
              </w:rPr>
              <w:t>3.738</w:t>
            </w:r>
          </w:p>
        </w:tc>
        <w:tc>
          <w:tcPr>
            <w:tcW w:w="765" w:type="dxa"/>
            <w:tcBorders>
              <w:top w:val="single" w:sz="12" w:space="0" w:color="auto"/>
              <w:left w:val="nil"/>
              <w:bottom w:val="single" w:sz="4" w:space="0" w:color="auto"/>
              <w:right w:val="nil"/>
            </w:tcBorders>
            <w:shd w:val="clear" w:color="auto" w:fill="auto"/>
            <w:noWrap/>
            <w:vAlign w:val="center"/>
            <w:hideMark/>
          </w:tcPr>
          <w:p w:rsidR="006A4109" w:rsidRPr="007507A8" w:rsidRDefault="006A4109" w:rsidP="00E930B2">
            <w:pPr>
              <w:jc w:val="right"/>
              <w:rPr>
                <w:rFonts w:eastAsia="Times New Roman" w:cs="Arial"/>
                <w:color w:val="000000"/>
                <w:sz w:val="20"/>
                <w:szCs w:val="20"/>
                <w:lang w:eastAsia="ca-ES"/>
              </w:rPr>
            </w:pPr>
            <w:r w:rsidRPr="007507A8">
              <w:rPr>
                <w:rFonts w:eastAsia="Times New Roman" w:cs="Arial"/>
                <w:color w:val="000000"/>
                <w:sz w:val="20"/>
                <w:szCs w:val="20"/>
                <w:lang w:eastAsia="ca-ES"/>
              </w:rPr>
              <w:t>3.727</w:t>
            </w:r>
          </w:p>
        </w:tc>
        <w:tc>
          <w:tcPr>
            <w:tcW w:w="765" w:type="dxa"/>
            <w:tcBorders>
              <w:top w:val="single" w:sz="12" w:space="0" w:color="auto"/>
              <w:left w:val="nil"/>
              <w:bottom w:val="single" w:sz="4" w:space="0" w:color="auto"/>
              <w:right w:val="nil"/>
            </w:tcBorders>
            <w:shd w:val="clear" w:color="auto" w:fill="auto"/>
            <w:noWrap/>
            <w:vAlign w:val="center"/>
            <w:hideMark/>
          </w:tcPr>
          <w:p w:rsidR="006A4109" w:rsidRPr="007507A8" w:rsidRDefault="006A4109" w:rsidP="00E930B2">
            <w:pPr>
              <w:jc w:val="right"/>
              <w:rPr>
                <w:rFonts w:eastAsia="Times New Roman" w:cs="Arial"/>
                <w:color w:val="000000"/>
                <w:sz w:val="20"/>
                <w:szCs w:val="20"/>
                <w:lang w:eastAsia="ca-ES"/>
              </w:rPr>
            </w:pPr>
            <w:r w:rsidRPr="007507A8">
              <w:rPr>
                <w:rFonts w:eastAsia="Times New Roman" w:cs="Arial"/>
                <w:color w:val="000000"/>
                <w:sz w:val="20"/>
                <w:szCs w:val="20"/>
                <w:lang w:eastAsia="ca-ES"/>
              </w:rPr>
              <w:t>3.764</w:t>
            </w:r>
          </w:p>
        </w:tc>
        <w:tc>
          <w:tcPr>
            <w:tcW w:w="765" w:type="dxa"/>
            <w:tcBorders>
              <w:top w:val="single" w:sz="12" w:space="0" w:color="auto"/>
              <w:left w:val="nil"/>
              <w:bottom w:val="single" w:sz="4" w:space="0" w:color="auto"/>
              <w:right w:val="nil"/>
            </w:tcBorders>
            <w:shd w:val="clear" w:color="auto" w:fill="auto"/>
            <w:noWrap/>
            <w:vAlign w:val="center"/>
            <w:hideMark/>
          </w:tcPr>
          <w:p w:rsidR="006A4109" w:rsidRPr="007507A8" w:rsidRDefault="006A4109" w:rsidP="00E930B2">
            <w:pPr>
              <w:jc w:val="right"/>
              <w:rPr>
                <w:rFonts w:eastAsia="Times New Roman" w:cs="Arial"/>
                <w:color w:val="000000"/>
                <w:sz w:val="20"/>
                <w:szCs w:val="20"/>
                <w:lang w:eastAsia="ca-ES"/>
              </w:rPr>
            </w:pPr>
            <w:r w:rsidRPr="007507A8">
              <w:rPr>
                <w:rFonts w:eastAsia="Times New Roman" w:cs="Arial"/>
                <w:color w:val="000000"/>
                <w:sz w:val="20"/>
                <w:szCs w:val="20"/>
                <w:lang w:eastAsia="ca-ES"/>
              </w:rPr>
              <w:t>4.011</w:t>
            </w:r>
          </w:p>
        </w:tc>
        <w:tc>
          <w:tcPr>
            <w:tcW w:w="766" w:type="dxa"/>
            <w:tcBorders>
              <w:top w:val="single" w:sz="12" w:space="0" w:color="auto"/>
              <w:left w:val="nil"/>
              <w:bottom w:val="single" w:sz="4" w:space="0" w:color="auto"/>
              <w:right w:val="nil"/>
            </w:tcBorders>
            <w:shd w:val="clear" w:color="auto" w:fill="auto"/>
            <w:noWrap/>
            <w:vAlign w:val="center"/>
            <w:hideMark/>
          </w:tcPr>
          <w:p w:rsidR="006A4109" w:rsidRPr="007507A8" w:rsidRDefault="006A4109" w:rsidP="00E930B2">
            <w:pPr>
              <w:jc w:val="right"/>
              <w:rPr>
                <w:rFonts w:eastAsia="Times New Roman" w:cs="Arial"/>
                <w:color w:val="000000"/>
                <w:sz w:val="20"/>
                <w:szCs w:val="20"/>
                <w:lang w:eastAsia="ca-ES"/>
              </w:rPr>
            </w:pPr>
            <w:r w:rsidRPr="007507A8">
              <w:rPr>
                <w:rFonts w:eastAsia="Times New Roman" w:cs="Arial"/>
                <w:color w:val="000000"/>
                <w:sz w:val="20"/>
                <w:szCs w:val="20"/>
                <w:lang w:eastAsia="ca-ES"/>
              </w:rPr>
              <w:t>4.107</w:t>
            </w:r>
          </w:p>
        </w:tc>
      </w:tr>
      <w:tr w:rsidR="006A4109" w:rsidRPr="007507A8" w:rsidTr="00E930B2">
        <w:trPr>
          <w:trHeight w:val="300"/>
        </w:trPr>
        <w:tc>
          <w:tcPr>
            <w:tcW w:w="2850" w:type="dxa"/>
            <w:tcBorders>
              <w:top w:val="single" w:sz="4" w:space="0" w:color="auto"/>
              <w:left w:val="nil"/>
              <w:bottom w:val="single" w:sz="4" w:space="0" w:color="auto"/>
              <w:right w:val="nil"/>
            </w:tcBorders>
            <w:shd w:val="clear" w:color="auto" w:fill="auto"/>
            <w:noWrap/>
            <w:vAlign w:val="center"/>
            <w:hideMark/>
          </w:tcPr>
          <w:p w:rsidR="006A4109" w:rsidRPr="007507A8" w:rsidRDefault="006A4109" w:rsidP="00E930B2">
            <w:pPr>
              <w:jc w:val="left"/>
              <w:rPr>
                <w:rFonts w:eastAsia="Times New Roman" w:cs="Arial"/>
                <w:color w:val="000000"/>
                <w:sz w:val="20"/>
                <w:szCs w:val="20"/>
                <w:lang w:eastAsia="ca-ES"/>
              </w:rPr>
            </w:pPr>
            <w:r w:rsidRPr="007507A8">
              <w:rPr>
                <w:rFonts w:eastAsia="Times New Roman" w:cs="Arial"/>
                <w:color w:val="000000"/>
                <w:sz w:val="20"/>
                <w:szCs w:val="20"/>
                <w:lang w:eastAsia="ca-ES"/>
              </w:rPr>
              <w:t>Persones formades</w:t>
            </w:r>
          </w:p>
        </w:tc>
        <w:tc>
          <w:tcPr>
            <w:tcW w:w="765" w:type="dxa"/>
            <w:tcBorders>
              <w:top w:val="single" w:sz="4" w:space="0" w:color="auto"/>
              <w:left w:val="nil"/>
              <w:bottom w:val="single" w:sz="4" w:space="0" w:color="auto"/>
              <w:right w:val="nil"/>
            </w:tcBorders>
            <w:shd w:val="clear" w:color="auto" w:fill="auto"/>
            <w:noWrap/>
            <w:vAlign w:val="center"/>
            <w:hideMark/>
          </w:tcPr>
          <w:p w:rsidR="006A4109" w:rsidRPr="007507A8" w:rsidRDefault="006A4109" w:rsidP="00E930B2">
            <w:pPr>
              <w:jc w:val="right"/>
              <w:rPr>
                <w:rFonts w:eastAsia="Times New Roman" w:cs="Arial"/>
                <w:color w:val="000000"/>
                <w:sz w:val="20"/>
                <w:szCs w:val="20"/>
                <w:lang w:eastAsia="ca-ES"/>
              </w:rPr>
            </w:pPr>
            <w:r w:rsidRPr="007507A8">
              <w:rPr>
                <w:rFonts w:eastAsia="Times New Roman" w:cs="Arial"/>
                <w:color w:val="000000"/>
                <w:sz w:val="20"/>
                <w:szCs w:val="20"/>
                <w:lang w:eastAsia="ca-ES"/>
              </w:rPr>
              <w:t>4.414</w:t>
            </w:r>
          </w:p>
        </w:tc>
        <w:tc>
          <w:tcPr>
            <w:tcW w:w="765" w:type="dxa"/>
            <w:tcBorders>
              <w:top w:val="single" w:sz="4" w:space="0" w:color="auto"/>
              <w:left w:val="nil"/>
              <w:bottom w:val="single" w:sz="4" w:space="0" w:color="auto"/>
              <w:right w:val="nil"/>
            </w:tcBorders>
            <w:shd w:val="clear" w:color="auto" w:fill="auto"/>
            <w:noWrap/>
            <w:vAlign w:val="center"/>
            <w:hideMark/>
          </w:tcPr>
          <w:p w:rsidR="006A4109" w:rsidRPr="007507A8" w:rsidRDefault="006A4109" w:rsidP="00E930B2">
            <w:pPr>
              <w:jc w:val="right"/>
              <w:rPr>
                <w:rFonts w:eastAsia="Times New Roman" w:cs="Arial"/>
                <w:color w:val="000000"/>
                <w:sz w:val="20"/>
                <w:szCs w:val="20"/>
                <w:lang w:eastAsia="ca-ES"/>
              </w:rPr>
            </w:pPr>
            <w:r w:rsidRPr="007507A8">
              <w:rPr>
                <w:rFonts w:eastAsia="Times New Roman" w:cs="Arial"/>
                <w:color w:val="000000"/>
                <w:sz w:val="20"/>
                <w:szCs w:val="20"/>
                <w:lang w:eastAsia="ca-ES"/>
              </w:rPr>
              <w:t>5.091</w:t>
            </w:r>
          </w:p>
        </w:tc>
        <w:tc>
          <w:tcPr>
            <w:tcW w:w="765" w:type="dxa"/>
            <w:tcBorders>
              <w:top w:val="single" w:sz="4" w:space="0" w:color="auto"/>
              <w:left w:val="nil"/>
              <w:bottom w:val="single" w:sz="4" w:space="0" w:color="auto"/>
              <w:right w:val="nil"/>
            </w:tcBorders>
            <w:shd w:val="clear" w:color="auto" w:fill="auto"/>
            <w:noWrap/>
            <w:vAlign w:val="center"/>
            <w:hideMark/>
          </w:tcPr>
          <w:p w:rsidR="006A4109" w:rsidRPr="007507A8" w:rsidRDefault="006A4109" w:rsidP="00E930B2">
            <w:pPr>
              <w:jc w:val="right"/>
              <w:rPr>
                <w:rFonts w:eastAsia="Times New Roman" w:cs="Arial"/>
                <w:color w:val="000000"/>
                <w:sz w:val="20"/>
                <w:szCs w:val="20"/>
                <w:lang w:eastAsia="ca-ES"/>
              </w:rPr>
            </w:pPr>
            <w:r w:rsidRPr="007507A8">
              <w:rPr>
                <w:rFonts w:eastAsia="Times New Roman" w:cs="Arial"/>
                <w:color w:val="000000"/>
                <w:sz w:val="20"/>
                <w:szCs w:val="20"/>
                <w:lang w:eastAsia="ca-ES"/>
              </w:rPr>
              <w:t>3.804</w:t>
            </w:r>
          </w:p>
        </w:tc>
        <w:tc>
          <w:tcPr>
            <w:tcW w:w="766" w:type="dxa"/>
            <w:tcBorders>
              <w:top w:val="single" w:sz="4" w:space="0" w:color="auto"/>
              <w:left w:val="nil"/>
              <w:bottom w:val="single" w:sz="4" w:space="0" w:color="auto"/>
              <w:right w:val="nil"/>
            </w:tcBorders>
            <w:shd w:val="clear" w:color="auto" w:fill="auto"/>
            <w:noWrap/>
            <w:vAlign w:val="center"/>
            <w:hideMark/>
          </w:tcPr>
          <w:p w:rsidR="006A4109" w:rsidRPr="007507A8" w:rsidRDefault="006A4109" w:rsidP="00E930B2">
            <w:pPr>
              <w:jc w:val="right"/>
              <w:rPr>
                <w:rFonts w:eastAsia="Times New Roman" w:cs="Arial"/>
                <w:color w:val="000000"/>
                <w:sz w:val="20"/>
                <w:szCs w:val="20"/>
                <w:lang w:eastAsia="ca-ES"/>
              </w:rPr>
            </w:pPr>
            <w:r w:rsidRPr="007507A8">
              <w:rPr>
                <w:rFonts w:eastAsia="Times New Roman" w:cs="Arial"/>
                <w:color w:val="000000"/>
                <w:sz w:val="20"/>
                <w:szCs w:val="20"/>
                <w:lang w:eastAsia="ca-ES"/>
              </w:rPr>
              <w:t>3.390</w:t>
            </w:r>
          </w:p>
        </w:tc>
        <w:tc>
          <w:tcPr>
            <w:tcW w:w="765" w:type="dxa"/>
            <w:tcBorders>
              <w:top w:val="single" w:sz="4" w:space="0" w:color="auto"/>
              <w:left w:val="nil"/>
              <w:bottom w:val="single" w:sz="4" w:space="0" w:color="auto"/>
              <w:right w:val="nil"/>
            </w:tcBorders>
            <w:shd w:val="clear" w:color="auto" w:fill="auto"/>
            <w:noWrap/>
            <w:vAlign w:val="center"/>
            <w:hideMark/>
          </w:tcPr>
          <w:p w:rsidR="006A4109" w:rsidRPr="007507A8" w:rsidRDefault="006A4109" w:rsidP="00E930B2">
            <w:pPr>
              <w:jc w:val="right"/>
              <w:rPr>
                <w:rFonts w:eastAsia="Times New Roman" w:cs="Arial"/>
                <w:color w:val="000000"/>
                <w:sz w:val="20"/>
                <w:szCs w:val="20"/>
                <w:lang w:eastAsia="ca-ES"/>
              </w:rPr>
            </w:pPr>
            <w:r w:rsidRPr="007507A8">
              <w:rPr>
                <w:rFonts w:eastAsia="Times New Roman" w:cs="Arial"/>
                <w:color w:val="000000"/>
                <w:sz w:val="20"/>
                <w:szCs w:val="20"/>
                <w:lang w:eastAsia="ca-ES"/>
              </w:rPr>
              <w:t>3.338</w:t>
            </w:r>
          </w:p>
        </w:tc>
        <w:tc>
          <w:tcPr>
            <w:tcW w:w="765" w:type="dxa"/>
            <w:tcBorders>
              <w:top w:val="single" w:sz="4" w:space="0" w:color="auto"/>
              <w:left w:val="nil"/>
              <w:bottom w:val="single" w:sz="4" w:space="0" w:color="auto"/>
              <w:right w:val="nil"/>
            </w:tcBorders>
            <w:shd w:val="clear" w:color="auto" w:fill="auto"/>
            <w:noWrap/>
            <w:vAlign w:val="center"/>
            <w:hideMark/>
          </w:tcPr>
          <w:p w:rsidR="006A4109" w:rsidRPr="007507A8" w:rsidRDefault="006A4109" w:rsidP="00E930B2">
            <w:pPr>
              <w:jc w:val="right"/>
              <w:rPr>
                <w:rFonts w:eastAsia="Times New Roman" w:cs="Arial"/>
                <w:color w:val="000000"/>
                <w:sz w:val="20"/>
                <w:szCs w:val="20"/>
                <w:lang w:eastAsia="ca-ES"/>
              </w:rPr>
            </w:pPr>
            <w:r w:rsidRPr="007507A8">
              <w:rPr>
                <w:rFonts w:eastAsia="Times New Roman" w:cs="Arial"/>
                <w:color w:val="000000"/>
                <w:sz w:val="20"/>
                <w:szCs w:val="20"/>
                <w:lang w:eastAsia="ca-ES"/>
              </w:rPr>
              <w:t>2.886</w:t>
            </w:r>
          </w:p>
        </w:tc>
        <w:tc>
          <w:tcPr>
            <w:tcW w:w="765" w:type="dxa"/>
            <w:tcBorders>
              <w:top w:val="single" w:sz="4" w:space="0" w:color="auto"/>
              <w:left w:val="nil"/>
              <w:bottom w:val="single" w:sz="4" w:space="0" w:color="auto"/>
              <w:right w:val="nil"/>
            </w:tcBorders>
            <w:shd w:val="clear" w:color="auto" w:fill="auto"/>
            <w:noWrap/>
            <w:vAlign w:val="center"/>
            <w:hideMark/>
          </w:tcPr>
          <w:p w:rsidR="006A4109" w:rsidRPr="007507A8" w:rsidRDefault="006A4109" w:rsidP="00E930B2">
            <w:pPr>
              <w:jc w:val="right"/>
              <w:rPr>
                <w:rFonts w:eastAsia="Times New Roman" w:cs="Arial"/>
                <w:color w:val="000000"/>
                <w:sz w:val="20"/>
                <w:szCs w:val="20"/>
                <w:lang w:eastAsia="ca-ES"/>
              </w:rPr>
            </w:pPr>
            <w:r w:rsidRPr="007507A8">
              <w:rPr>
                <w:rFonts w:eastAsia="Times New Roman" w:cs="Arial"/>
                <w:color w:val="000000"/>
                <w:sz w:val="20"/>
                <w:szCs w:val="20"/>
                <w:lang w:eastAsia="ca-ES"/>
              </w:rPr>
              <w:t>3.095</w:t>
            </w:r>
          </w:p>
        </w:tc>
        <w:tc>
          <w:tcPr>
            <w:tcW w:w="766" w:type="dxa"/>
            <w:tcBorders>
              <w:top w:val="single" w:sz="4" w:space="0" w:color="auto"/>
              <w:left w:val="nil"/>
              <w:bottom w:val="single" w:sz="4" w:space="0" w:color="auto"/>
              <w:right w:val="nil"/>
            </w:tcBorders>
            <w:shd w:val="clear" w:color="auto" w:fill="auto"/>
            <w:noWrap/>
            <w:vAlign w:val="center"/>
            <w:hideMark/>
          </w:tcPr>
          <w:p w:rsidR="006A4109" w:rsidRPr="007507A8" w:rsidRDefault="006A4109" w:rsidP="00E930B2">
            <w:pPr>
              <w:jc w:val="right"/>
              <w:rPr>
                <w:rFonts w:eastAsia="Times New Roman" w:cs="Arial"/>
                <w:color w:val="000000"/>
                <w:sz w:val="20"/>
                <w:szCs w:val="20"/>
                <w:lang w:eastAsia="ca-ES"/>
              </w:rPr>
            </w:pPr>
            <w:r w:rsidRPr="007507A8">
              <w:rPr>
                <w:rFonts w:eastAsia="Times New Roman" w:cs="Arial"/>
                <w:color w:val="000000"/>
                <w:sz w:val="20"/>
                <w:szCs w:val="20"/>
                <w:lang w:eastAsia="ca-ES"/>
              </w:rPr>
              <w:t>3.013</w:t>
            </w:r>
          </w:p>
        </w:tc>
      </w:tr>
      <w:tr w:rsidR="006A4109" w:rsidRPr="007507A8" w:rsidTr="00E930B2">
        <w:trPr>
          <w:trHeight w:val="300"/>
        </w:trPr>
        <w:tc>
          <w:tcPr>
            <w:tcW w:w="2850" w:type="dxa"/>
            <w:tcBorders>
              <w:top w:val="single" w:sz="4" w:space="0" w:color="auto"/>
              <w:left w:val="nil"/>
              <w:bottom w:val="single" w:sz="4" w:space="0" w:color="auto"/>
              <w:right w:val="nil"/>
            </w:tcBorders>
            <w:shd w:val="clear" w:color="auto" w:fill="auto"/>
            <w:noWrap/>
            <w:vAlign w:val="center"/>
            <w:hideMark/>
          </w:tcPr>
          <w:p w:rsidR="006A4109" w:rsidRPr="007507A8" w:rsidRDefault="006A4109" w:rsidP="00E930B2">
            <w:pPr>
              <w:jc w:val="left"/>
              <w:rPr>
                <w:rFonts w:eastAsia="Times New Roman" w:cs="Arial"/>
                <w:color w:val="000000"/>
                <w:sz w:val="20"/>
                <w:szCs w:val="20"/>
                <w:lang w:eastAsia="ca-ES"/>
              </w:rPr>
            </w:pPr>
            <w:r w:rsidRPr="007507A8">
              <w:rPr>
                <w:rFonts w:eastAsia="Times New Roman" w:cs="Arial"/>
                <w:color w:val="000000"/>
                <w:sz w:val="20"/>
                <w:szCs w:val="20"/>
                <w:lang w:eastAsia="ca-ES"/>
              </w:rPr>
              <w:t>Persones ateses</w:t>
            </w:r>
          </w:p>
        </w:tc>
        <w:tc>
          <w:tcPr>
            <w:tcW w:w="765" w:type="dxa"/>
            <w:tcBorders>
              <w:top w:val="single" w:sz="4" w:space="0" w:color="auto"/>
              <w:left w:val="nil"/>
              <w:bottom w:val="single" w:sz="4" w:space="0" w:color="auto"/>
              <w:right w:val="nil"/>
            </w:tcBorders>
            <w:shd w:val="clear" w:color="auto" w:fill="auto"/>
            <w:noWrap/>
            <w:vAlign w:val="center"/>
            <w:hideMark/>
          </w:tcPr>
          <w:p w:rsidR="006A4109" w:rsidRPr="007507A8" w:rsidRDefault="006A4109" w:rsidP="00E930B2">
            <w:pPr>
              <w:jc w:val="right"/>
              <w:rPr>
                <w:rFonts w:eastAsia="Times New Roman" w:cs="Arial"/>
                <w:color w:val="000000"/>
                <w:sz w:val="20"/>
                <w:szCs w:val="20"/>
                <w:lang w:eastAsia="ca-ES"/>
              </w:rPr>
            </w:pPr>
            <w:r w:rsidRPr="007507A8">
              <w:rPr>
                <w:rFonts w:eastAsia="Times New Roman" w:cs="Arial"/>
                <w:color w:val="000000"/>
                <w:sz w:val="20"/>
                <w:szCs w:val="20"/>
                <w:lang w:eastAsia="ca-ES"/>
              </w:rPr>
              <w:t>3.135</w:t>
            </w:r>
          </w:p>
        </w:tc>
        <w:tc>
          <w:tcPr>
            <w:tcW w:w="765" w:type="dxa"/>
            <w:tcBorders>
              <w:top w:val="single" w:sz="4" w:space="0" w:color="auto"/>
              <w:left w:val="nil"/>
              <w:bottom w:val="single" w:sz="4" w:space="0" w:color="auto"/>
              <w:right w:val="nil"/>
            </w:tcBorders>
            <w:shd w:val="clear" w:color="auto" w:fill="auto"/>
            <w:noWrap/>
            <w:vAlign w:val="center"/>
            <w:hideMark/>
          </w:tcPr>
          <w:p w:rsidR="006A4109" w:rsidRPr="007507A8" w:rsidRDefault="006A4109" w:rsidP="00E930B2">
            <w:pPr>
              <w:jc w:val="right"/>
              <w:rPr>
                <w:rFonts w:eastAsia="Times New Roman" w:cs="Arial"/>
                <w:color w:val="000000"/>
                <w:sz w:val="20"/>
                <w:szCs w:val="20"/>
                <w:lang w:eastAsia="ca-ES"/>
              </w:rPr>
            </w:pPr>
            <w:r w:rsidRPr="007507A8">
              <w:rPr>
                <w:rFonts w:eastAsia="Times New Roman" w:cs="Arial"/>
                <w:color w:val="000000"/>
                <w:sz w:val="20"/>
                <w:szCs w:val="20"/>
                <w:lang w:eastAsia="ca-ES"/>
              </w:rPr>
              <w:t>2.046</w:t>
            </w:r>
          </w:p>
        </w:tc>
        <w:tc>
          <w:tcPr>
            <w:tcW w:w="765" w:type="dxa"/>
            <w:tcBorders>
              <w:top w:val="single" w:sz="4" w:space="0" w:color="auto"/>
              <w:left w:val="nil"/>
              <w:bottom w:val="single" w:sz="4" w:space="0" w:color="auto"/>
              <w:right w:val="nil"/>
            </w:tcBorders>
            <w:shd w:val="clear" w:color="auto" w:fill="auto"/>
            <w:noWrap/>
            <w:vAlign w:val="center"/>
            <w:hideMark/>
          </w:tcPr>
          <w:p w:rsidR="006A4109" w:rsidRPr="007507A8" w:rsidRDefault="006A4109" w:rsidP="00E930B2">
            <w:pPr>
              <w:jc w:val="right"/>
              <w:rPr>
                <w:rFonts w:eastAsia="Times New Roman" w:cs="Arial"/>
                <w:color w:val="000000"/>
                <w:sz w:val="20"/>
                <w:szCs w:val="20"/>
                <w:lang w:eastAsia="ca-ES"/>
              </w:rPr>
            </w:pPr>
            <w:r w:rsidRPr="007507A8">
              <w:rPr>
                <w:rFonts w:eastAsia="Times New Roman" w:cs="Arial"/>
                <w:color w:val="000000"/>
                <w:sz w:val="20"/>
                <w:szCs w:val="20"/>
                <w:lang w:eastAsia="ca-ES"/>
              </w:rPr>
              <w:t>1.918</w:t>
            </w:r>
          </w:p>
        </w:tc>
        <w:tc>
          <w:tcPr>
            <w:tcW w:w="766" w:type="dxa"/>
            <w:tcBorders>
              <w:top w:val="single" w:sz="4" w:space="0" w:color="auto"/>
              <w:left w:val="nil"/>
              <w:bottom w:val="single" w:sz="4" w:space="0" w:color="auto"/>
              <w:right w:val="nil"/>
            </w:tcBorders>
            <w:shd w:val="clear" w:color="auto" w:fill="auto"/>
            <w:noWrap/>
            <w:vAlign w:val="center"/>
            <w:hideMark/>
          </w:tcPr>
          <w:p w:rsidR="006A4109" w:rsidRPr="007507A8" w:rsidRDefault="006A4109" w:rsidP="00E930B2">
            <w:pPr>
              <w:jc w:val="right"/>
              <w:rPr>
                <w:rFonts w:eastAsia="Times New Roman" w:cs="Arial"/>
                <w:color w:val="000000"/>
                <w:sz w:val="20"/>
                <w:szCs w:val="20"/>
                <w:lang w:eastAsia="ca-ES"/>
              </w:rPr>
            </w:pPr>
            <w:r w:rsidRPr="007507A8">
              <w:rPr>
                <w:rFonts w:eastAsia="Times New Roman" w:cs="Arial"/>
                <w:color w:val="000000"/>
                <w:sz w:val="20"/>
                <w:szCs w:val="20"/>
                <w:lang w:eastAsia="ca-ES"/>
              </w:rPr>
              <w:t>1.985</w:t>
            </w:r>
          </w:p>
        </w:tc>
        <w:tc>
          <w:tcPr>
            <w:tcW w:w="765" w:type="dxa"/>
            <w:tcBorders>
              <w:top w:val="single" w:sz="4" w:space="0" w:color="auto"/>
              <w:left w:val="nil"/>
              <w:bottom w:val="single" w:sz="4" w:space="0" w:color="auto"/>
              <w:right w:val="nil"/>
            </w:tcBorders>
            <w:shd w:val="clear" w:color="auto" w:fill="auto"/>
            <w:noWrap/>
            <w:vAlign w:val="center"/>
            <w:hideMark/>
          </w:tcPr>
          <w:p w:rsidR="006A4109" w:rsidRPr="007507A8" w:rsidRDefault="006A4109" w:rsidP="00E930B2">
            <w:pPr>
              <w:jc w:val="right"/>
              <w:rPr>
                <w:rFonts w:eastAsia="Times New Roman" w:cs="Arial"/>
                <w:color w:val="000000"/>
                <w:sz w:val="20"/>
                <w:szCs w:val="20"/>
                <w:lang w:eastAsia="ca-ES"/>
              </w:rPr>
            </w:pPr>
            <w:r w:rsidRPr="007507A8">
              <w:rPr>
                <w:rFonts w:eastAsia="Times New Roman" w:cs="Arial"/>
                <w:color w:val="000000"/>
                <w:sz w:val="20"/>
                <w:szCs w:val="20"/>
                <w:lang w:eastAsia="ca-ES"/>
              </w:rPr>
              <w:t>2.403</w:t>
            </w:r>
          </w:p>
        </w:tc>
        <w:tc>
          <w:tcPr>
            <w:tcW w:w="765" w:type="dxa"/>
            <w:tcBorders>
              <w:top w:val="single" w:sz="4" w:space="0" w:color="auto"/>
              <w:left w:val="nil"/>
              <w:bottom w:val="single" w:sz="4" w:space="0" w:color="auto"/>
              <w:right w:val="nil"/>
            </w:tcBorders>
            <w:shd w:val="clear" w:color="auto" w:fill="auto"/>
            <w:noWrap/>
            <w:vAlign w:val="center"/>
            <w:hideMark/>
          </w:tcPr>
          <w:p w:rsidR="006A4109" w:rsidRPr="007507A8" w:rsidRDefault="006A4109" w:rsidP="00E930B2">
            <w:pPr>
              <w:jc w:val="right"/>
              <w:rPr>
                <w:rFonts w:eastAsia="Times New Roman" w:cs="Arial"/>
                <w:color w:val="000000"/>
                <w:sz w:val="20"/>
                <w:szCs w:val="20"/>
                <w:lang w:eastAsia="ca-ES"/>
              </w:rPr>
            </w:pPr>
            <w:r w:rsidRPr="007507A8">
              <w:rPr>
                <w:rFonts w:eastAsia="Times New Roman" w:cs="Arial"/>
                <w:color w:val="000000"/>
                <w:sz w:val="20"/>
                <w:szCs w:val="20"/>
                <w:lang w:eastAsia="ca-ES"/>
              </w:rPr>
              <w:t>2.168</w:t>
            </w:r>
          </w:p>
        </w:tc>
        <w:tc>
          <w:tcPr>
            <w:tcW w:w="765" w:type="dxa"/>
            <w:tcBorders>
              <w:top w:val="single" w:sz="4" w:space="0" w:color="auto"/>
              <w:left w:val="nil"/>
              <w:bottom w:val="single" w:sz="4" w:space="0" w:color="auto"/>
              <w:right w:val="nil"/>
            </w:tcBorders>
            <w:shd w:val="clear" w:color="auto" w:fill="auto"/>
            <w:noWrap/>
            <w:vAlign w:val="center"/>
            <w:hideMark/>
          </w:tcPr>
          <w:p w:rsidR="006A4109" w:rsidRPr="007507A8" w:rsidRDefault="006A4109" w:rsidP="00E930B2">
            <w:pPr>
              <w:jc w:val="right"/>
              <w:rPr>
                <w:rFonts w:eastAsia="Times New Roman" w:cs="Arial"/>
                <w:color w:val="000000"/>
                <w:sz w:val="20"/>
                <w:szCs w:val="20"/>
                <w:lang w:eastAsia="ca-ES"/>
              </w:rPr>
            </w:pPr>
            <w:r w:rsidRPr="007507A8">
              <w:rPr>
                <w:rFonts w:eastAsia="Times New Roman" w:cs="Arial"/>
                <w:color w:val="000000"/>
                <w:sz w:val="20"/>
                <w:szCs w:val="20"/>
                <w:lang w:eastAsia="ca-ES"/>
              </w:rPr>
              <w:t>1.976</w:t>
            </w:r>
          </w:p>
        </w:tc>
        <w:tc>
          <w:tcPr>
            <w:tcW w:w="766" w:type="dxa"/>
            <w:tcBorders>
              <w:top w:val="single" w:sz="4" w:space="0" w:color="auto"/>
              <w:left w:val="nil"/>
              <w:bottom w:val="single" w:sz="4" w:space="0" w:color="auto"/>
              <w:right w:val="nil"/>
            </w:tcBorders>
            <w:shd w:val="clear" w:color="auto" w:fill="auto"/>
            <w:noWrap/>
            <w:vAlign w:val="center"/>
            <w:hideMark/>
          </w:tcPr>
          <w:p w:rsidR="006A4109" w:rsidRPr="007507A8" w:rsidRDefault="006A4109" w:rsidP="00E930B2">
            <w:pPr>
              <w:jc w:val="right"/>
              <w:rPr>
                <w:rFonts w:eastAsia="Times New Roman" w:cs="Arial"/>
                <w:color w:val="000000"/>
                <w:sz w:val="20"/>
                <w:szCs w:val="20"/>
                <w:lang w:eastAsia="ca-ES"/>
              </w:rPr>
            </w:pPr>
            <w:r w:rsidRPr="007507A8">
              <w:rPr>
                <w:rFonts w:eastAsia="Times New Roman" w:cs="Arial"/>
                <w:color w:val="000000"/>
                <w:sz w:val="20"/>
                <w:szCs w:val="20"/>
                <w:lang w:eastAsia="ca-ES"/>
              </w:rPr>
              <w:t>2.806</w:t>
            </w:r>
          </w:p>
        </w:tc>
      </w:tr>
      <w:tr w:rsidR="006A4109" w:rsidRPr="007507A8" w:rsidTr="00E930B2">
        <w:trPr>
          <w:trHeight w:val="300"/>
        </w:trPr>
        <w:tc>
          <w:tcPr>
            <w:tcW w:w="2850" w:type="dxa"/>
            <w:tcBorders>
              <w:top w:val="single" w:sz="4" w:space="0" w:color="auto"/>
              <w:left w:val="nil"/>
              <w:bottom w:val="single" w:sz="12" w:space="0" w:color="auto"/>
              <w:right w:val="nil"/>
            </w:tcBorders>
            <w:shd w:val="clear" w:color="auto" w:fill="auto"/>
            <w:noWrap/>
            <w:vAlign w:val="center"/>
            <w:hideMark/>
          </w:tcPr>
          <w:p w:rsidR="006A4109" w:rsidRPr="007507A8" w:rsidRDefault="006A4109" w:rsidP="00E930B2">
            <w:pPr>
              <w:jc w:val="left"/>
              <w:rPr>
                <w:rFonts w:eastAsia="Times New Roman" w:cs="Arial"/>
                <w:color w:val="000000"/>
                <w:sz w:val="20"/>
                <w:szCs w:val="20"/>
                <w:lang w:eastAsia="ca-ES"/>
              </w:rPr>
            </w:pPr>
            <w:r w:rsidRPr="007507A8">
              <w:rPr>
                <w:rFonts w:eastAsia="Times New Roman" w:cs="Arial"/>
                <w:color w:val="000000"/>
                <w:sz w:val="20"/>
                <w:szCs w:val="20"/>
                <w:lang w:eastAsia="ca-ES"/>
              </w:rPr>
              <w:t>Persones inserides (contractes formalitzats)</w:t>
            </w:r>
          </w:p>
        </w:tc>
        <w:tc>
          <w:tcPr>
            <w:tcW w:w="765" w:type="dxa"/>
            <w:tcBorders>
              <w:top w:val="single" w:sz="4" w:space="0" w:color="auto"/>
              <w:left w:val="nil"/>
              <w:bottom w:val="single" w:sz="12" w:space="0" w:color="auto"/>
              <w:right w:val="nil"/>
            </w:tcBorders>
            <w:shd w:val="clear" w:color="auto" w:fill="auto"/>
            <w:noWrap/>
            <w:vAlign w:val="center"/>
            <w:hideMark/>
          </w:tcPr>
          <w:p w:rsidR="006A4109" w:rsidRPr="007507A8" w:rsidRDefault="006A4109" w:rsidP="00E930B2">
            <w:pPr>
              <w:jc w:val="right"/>
              <w:rPr>
                <w:rFonts w:eastAsia="Times New Roman" w:cs="Arial"/>
                <w:color w:val="000000"/>
                <w:sz w:val="20"/>
                <w:szCs w:val="20"/>
                <w:lang w:eastAsia="ca-ES"/>
              </w:rPr>
            </w:pPr>
            <w:r w:rsidRPr="007507A8">
              <w:rPr>
                <w:rFonts w:eastAsia="Times New Roman" w:cs="Arial"/>
                <w:color w:val="000000"/>
                <w:sz w:val="20"/>
                <w:szCs w:val="20"/>
                <w:lang w:eastAsia="ca-ES"/>
              </w:rPr>
              <w:t>1.062</w:t>
            </w:r>
          </w:p>
        </w:tc>
        <w:tc>
          <w:tcPr>
            <w:tcW w:w="765" w:type="dxa"/>
            <w:tcBorders>
              <w:top w:val="single" w:sz="4" w:space="0" w:color="auto"/>
              <w:left w:val="nil"/>
              <w:bottom w:val="single" w:sz="12" w:space="0" w:color="auto"/>
              <w:right w:val="nil"/>
            </w:tcBorders>
            <w:shd w:val="clear" w:color="auto" w:fill="auto"/>
            <w:noWrap/>
            <w:vAlign w:val="center"/>
            <w:hideMark/>
          </w:tcPr>
          <w:p w:rsidR="006A4109" w:rsidRPr="007507A8" w:rsidRDefault="006A4109" w:rsidP="00E930B2">
            <w:pPr>
              <w:jc w:val="right"/>
              <w:rPr>
                <w:rFonts w:eastAsia="Times New Roman" w:cs="Arial"/>
                <w:color w:val="000000"/>
                <w:sz w:val="20"/>
                <w:szCs w:val="20"/>
                <w:lang w:eastAsia="ca-ES"/>
              </w:rPr>
            </w:pPr>
            <w:r w:rsidRPr="007507A8">
              <w:rPr>
                <w:rFonts w:eastAsia="Times New Roman" w:cs="Arial"/>
                <w:color w:val="000000"/>
                <w:sz w:val="20"/>
                <w:szCs w:val="20"/>
                <w:lang w:eastAsia="ca-ES"/>
              </w:rPr>
              <w:t>917</w:t>
            </w:r>
          </w:p>
        </w:tc>
        <w:tc>
          <w:tcPr>
            <w:tcW w:w="765" w:type="dxa"/>
            <w:tcBorders>
              <w:top w:val="single" w:sz="4" w:space="0" w:color="auto"/>
              <w:left w:val="nil"/>
              <w:bottom w:val="single" w:sz="12" w:space="0" w:color="auto"/>
              <w:right w:val="nil"/>
            </w:tcBorders>
            <w:shd w:val="clear" w:color="auto" w:fill="auto"/>
            <w:noWrap/>
            <w:vAlign w:val="center"/>
            <w:hideMark/>
          </w:tcPr>
          <w:p w:rsidR="006A4109" w:rsidRPr="007507A8" w:rsidRDefault="006A4109" w:rsidP="00E930B2">
            <w:pPr>
              <w:jc w:val="right"/>
              <w:rPr>
                <w:rFonts w:eastAsia="Times New Roman" w:cs="Arial"/>
                <w:color w:val="000000"/>
                <w:sz w:val="20"/>
                <w:szCs w:val="20"/>
                <w:lang w:eastAsia="ca-ES"/>
              </w:rPr>
            </w:pPr>
            <w:r w:rsidRPr="007507A8">
              <w:rPr>
                <w:rFonts w:eastAsia="Times New Roman" w:cs="Arial"/>
                <w:color w:val="000000"/>
                <w:sz w:val="20"/>
                <w:szCs w:val="20"/>
                <w:lang w:eastAsia="ca-ES"/>
              </w:rPr>
              <w:t>983</w:t>
            </w:r>
          </w:p>
        </w:tc>
        <w:tc>
          <w:tcPr>
            <w:tcW w:w="766" w:type="dxa"/>
            <w:tcBorders>
              <w:top w:val="single" w:sz="4" w:space="0" w:color="auto"/>
              <w:left w:val="nil"/>
              <w:bottom w:val="single" w:sz="12" w:space="0" w:color="auto"/>
              <w:right w:val="nil"/>
            </w:tcBorders>
            <w:shd w:val="clear" w:color="auto" w:fill="auto"/>
            <w:noWrap/>
            <w:vAlign w:val="center"/>
            <w:hideMark/>
          </w:tcPr>
          <w:p w:rsidR="006A4109" w:rsidRPr="007507A8" w:rsidRDefault="006A4109" w:rsidP="00E930B2">
            <w:pPr>
              <w:jc w:val="right"/>
              <w:rPr>
                <w:rFonts w:eastAsia="Times New Roman" w:cs="Arial"/>
                <w:color w:val="000000"/>
                <w:sz w:val="20"/>
                <w:szCs w:val="20"/>
                <w:lang w:eastAsia="ca-ES"/>
              </w:rPr>
            </w:pPr>
            <w:r w:rsidRPr="007507A8">
              <w:rPr>
                <w:rFonts w:eastAsia="Times New Roman" w:cs="Arial"/>
                <w:color w:val="000000"/>
                <w:sz w:val="20"/>
                <w:szCs w:val="20"/>
                <w:lang w:eastAsia="ca-ES"/>
              </w:rPr>
              <w:t>887</w:t>
            </w:r>
          </w:p>
        </w:tc>
        <w:tc>
          <w:tcPr>
            <w:tcW w:w="765" w:type="dxa"/>
            <w:tcBorders>
              <w:top w:val="single" w:sz="4" w:space="0" w:color="auto"/>
              <w:left w:val="nil"/>
              <w:bottom w:val="single" w:sz="12" w:space="0" w:color="auto"/>
              <w:right w:val="nil"/>
            </w:tcBorders>
            <w:shd w:val="clear" w:color="auto" w:fill="auto"/>
            <w:noWrap/>
            <w:vAlign w:val="center"/>
            <w:hideMark/>
          </w:tcPr>
          <w:p w:rsidR="006A4109" w:rsidRPr="007507A8" w:rsidRDefault="006A4109" w:rsidP="00E930B2">
            <w:pPr>
              <w:jc w:val="right"/>
              <w:rPr>
                <w:rFonts w:eastAsia="Times New Roman" w:cs="Arial"/>
                <w:color w:val="000000"/>
                <w:sz w:val="20"/>
                <w:szCs w:val="20"/>
                <w:lang w:eastAsia="ca-ES"/>
              </w:rPr>
            </w:pPr>
            <w:r w:rsidRPr="007507A8">
              <w:rPr>
                <w:rFonts w:eastAsia="Times New Roman" w:cs="Arial"/>
                <w:color w:val="000000"/>
                <w:sz w:val="20"/>
                <w:szCs w:val="20"/>
                <w:lang w:eastAsia="ca-ES"/>
              </w:rPr>
              <w:t>777</w:t>
            </w:r>
          </w:p>
        </w:tc>
        <w:tc>
          <w:tcPr>
            <w:tcW w:w="765" w:type="dxa"/>
            <w:tcBorders>
              <w:top w:val="single" w:sz="4" w:space="0" w:color="auto"/>
              <w:left w:val="nil"/>
              <w:bottom w:val="single" w:sz="12" w:space="0" w:color="auto"/>
              <w:right w:val="nil"/>
            </w:tcBorders>
            <w:shd w:val="clear" w:color="auto" w:fill="auto"/>
            <w:noWrap/>
            <w:vAlign w:val="center"/>
            <w:hideMark/>
          </w:tcPr>
          <w:p w:rsidR="006A4109" w:rsidRPr="007507A8" w:rsidRDefault="006A4109" w:rsidP="00E930B2">
            <w:pPr>
              <w:jc w:val="right"/>
              <w:rPr>
                <w:rFonts w:eastAsia="Times New Roman" w:cs="Arial"/>
                <w:color w:val="000000"/>
                <w:sz w:val="20"/>
                <w:szCs w:val="20"/>
                <w:lang w:eastAsia="ca-ES"/>
              </w:rPr>
            </w:pPr>
            <w:r w:rsidRPr="007507A8">
              <w:rPr>
                <w:rFonts w:eastAsia="Times New Roman" w:cs="Arial"/>
                <w:color w:val="000000"/>
                <w:sz w:val="20"/>
                <w:szCs w:val="20"/>
                <w:lang w:eastAsia="ca-ES"/>
              </w:rPr>
              <w:t>769</w:t>
            </w:r>
          </w:p>
        </w:tc>
        <w:tc>
          <w:tcPr>
            <w:tcW w:w="765" w:type="dxa"/>
            <w:tcBorders>
              <w:top w:val="single" w:sz="4" w:space="0" w:color="auto"/>
              <w:left w:val="nil"/>
              <w:bottom w:val="single" w:sz="12" w:space="0" w:color="auto"/>
              <w:right w:val="nil"/>
            </w:tcBorders>
            <w:shd w:val="clear" w:color="auto" w:fill="auto"/>
            <w:noWrap/>
            <w:vAlign w:val="center"/>
            <w:hideMark/>
          </w:tcPr>
          <w:p w:rsidR="006A4109" w:rsidRPr="007507A8" w:rsidRDefault="006A4109" w:rsidP="00E930B2">
            <w:pPr>
              <w:jc w:val="right"/>
              <w:rPr>
                <w:rFonts w:eastAsia="Times New Roman" w:cs="Arial"/>
                <w:color w:val="000000"/>
                <w:sz w:val="20"/>
                <w:szCs w:val="20"/>
                <w:lang w:eastAsia="ca-ES"/>
              </w:rPr>
            </w:pPr>
            <w:r w:rsidRPr="007507A8">
              <w:rPr>
                <w:rFonts w:eastAsia="Times New Roman" w:cs="Arial"/>
                <w:color w:val="000000"/>
                <w:sz w:val="20"/>
                <w:szCs w:val="20"/>
                <w:lang w:eastAsia="ca-ES"/>
              </w:rPr>
              <w:t>753</w:t>
            </w:r>
          </w:p>
        </w:tc>
        <w:tc>
          <w:tcPr>
            <w:tcW w:w="766" w:type="dxa"/>
            <w:tcBorders>
              <w:top w:val="single" w:sz="4" w:space="0" w:color="auto"/>
              <w:left w:val="nil"/>
              <w:bottom w:val="single" w:sz="12" w:space="0" w:color="auto"/>
              <w:right w:val="nil"/>
            </w:tcBorders>
            <w:shd w:val="clear" w:color="auto" w:fill="auto"/>
            <w:noWrap/>
            <w:vAlign w:val="center"/>
            <w:hideMark/>
          </w:tcPr>
          <w:p w:rsidR="006A4109" w:rsidRPr="007507A8" w:rsidRDefault="006A4109" w:rsidP="00E930B2">
            <w:pPr>
              <w:jc w:val="right"/>
              <w:rPr>
                <w:rFonts w:eastAsia="Times New Roman" w:cs="Arial"/>
                <w:color w:val="000000"/>
                <w:sz w:val="20"/>
                <w:szCs w:val="20"/>
                <w:lang w:eastAsia="ca-ES"/>
              </w:rPr>
            </w:pPr>
            <w:r w:rsidRPr="007507A8">
              <w:rPr>
                <w:rFonts w:eastAsia="Times New Roman" w:cs="Arial"/>
                <w:color w:val="000000"/>
                <w:sz w:val="20"/>
                <w:szCs w:val="20"/>
                <w:lang w:eastAsia="ca-ES"/>
              </w:rPr>
              <w:t>920</w:t>
            </w:r>
          </w:p>
        </w:tc>
      </w:tr>
    </w:tbl>
    <w:p w:rsidR="006A4109" w:rsidRPr="00F02D52" w:rsidRDefault="006A4109" w:rsidP="00E930B2">
      <w:pPr>
        <w:rPr>
          <w:rFonts w:cs="Arial"/>
          <w:i/>
        </w:rPr>
      </w:pPr>
    </w:p>
    <w:p w:rsidR="006A4109" w:rsidRPr="00F02D52" w:rsidRDefault="006A4109" w:rsidP="002A7616">
      <w:pPr>
        <w:pStyle w:val="Ttol5"/>
      </w:pPr>
      <w:bookmarkStart w:id="358" w:name="_Toc463867806"/>
      <w:r w:rsidRPr="00F02D52">
        <w:t xml:space="preserve">Les </w:t>
      </w:r>
      <w:r w:rsidRPr="002A7616">
        <w:t>accions</w:t>
      </w:r>
      <w:r w:rsidRPr="00F02D52">
        <w:t xml:space="preserve"> formatives</w:t>
      </w:r>
      <w:bookmarkEnd w:id="358"/>
    </w:p>
    <w:p w:rsidR="006A4109" w:rsidRPr="007507A8" w:rsidRDefault="006A4109" w:rsidP="00E930B2">
      <w:pPr>
        <w:rPr>
          <w:rFonts w:cs="Arial"/>
        </w:rPr>
      </w:pPr>
      <w:r w:rsidRPr="007507A8">
        <w:rPr>
          <w:rFonts w:cs="Arial"/>
        </w:rPr>
        <w:t>Les accions formatives es programen amb l’objectiu que les persones internes adqu</w:t>
      </w:r>
      <w:r>
        <w:rPr>
          <w:rFonts w:cs="Arial"/>
        </w:rPr>
        <w:t>ireixen les competències tecnico</w:t>
      </w:r>
      <w:r w:rsidRPr="007507A8">
        <w:rPr>
          <w:rFonts w:cs="Arial"/>
        </w:rPr>
        <w:t xml:space="preserve">professionals i personals, i es qualifiquin per desenvolupar-se en </w:t>
      </w:r>
      <w:r w:rsidRPr="007507A8">
        <w:rPr>
          <w:rFonts w:cs="Arial"/>
        </w:rPr>
        <w:lastRenderedPageBreak/>
        <w:t>un lloc de treball, amb la finalitat d</w:t>
      </w:r>
      <w:r>
        <w:rPr>
          <w:rFonts w:cs="Arial"/>
        </w:rPr>
        <w:t>’</w:t>
      </w:r>
      <w:r w:rsidRPr="007507A8">
        <w:rPr>
          <w:rFonts w:cs="Arial"/>
        </w:rPr>
        <w:t>aconseguir la seva reinserció sociolaboral en el moment de la seva posada en llibertat.</w:t>
      </w:r>
    </w:p>
    <w:p w:rsidR="006A4109" w:rsidRPr="007507A8" w:rsidRDefault="006A4109" w:rsidP="00E930B2">
      <w:pPr>
        <w:rPr>
          <w:rFonts w:cs="Arial"/>
        </w:rPr>
      </w:pPr>
      <w:r w:rsidRPr="007507A8">
        <w:rPr>
          <w:rFonts w:cs="Arial"/>
        </w:rPr>
        <w:t xml:space="preserve">Des de l’inici de la dècada dels 90 fins </w:t>
      </w:r>
      <w:r>
        <w:rPr>
          <w:rFonts w:cs="Arial"/>
        </w:rPr>
        <w:t>tot just ara</w:t>
      </w:r>
      <w:r w:rsidRPr="007507A8">
        <w:rPr>
          <w:rFonts w:cs="Arial"/>
        </w:rPr>
        <w:t>, el Departament de Justícia i el Departament d’Empresa i Ocupació (aleshores Departament de Treball i Indústria), formalitzaven anualment un conveni específic a l’empara d’un acord marc de co</w:t>
      </w:r>
      <w:r>
        <w:rPr>
          <w:rFonts w:cs="Arial"/>
        </w:rPr>
        <w:t>l·l</w:t>
      </w:r>
      <w:r w:rsidRPr="007507A8">
        <w:rPr>
          <w:rFonts w:cs="Arial"/>
        </w:rPr>
        <w:t>aboració, en virtut del qual el Departament de Justícia rebia de fons europeus i de fons de l’Estat una consignació pressupostària d’ingressos externs de caràcter finalista adreçada a co</w:t>
      </w:r>
      <w:r>
        <w:rPr>
          <w:rFonts w:cs="Arial"/>
        </w:rPr>
        <w:t>l·l</w:t>
      </w:r>
      <w:r w:rsidRPr="007507A8">
        <w:rPr>
          <w:rFonts w:cs="Arial"/>
        </w:rPr>
        <w:t>ectius amb dificultats especials d’inserció laboral, que perme</w:t>
      </w:r>
      <w:r>
        <w:rPr>
          <w:rFonts w:cs="Arial"/>
        </w:rPr>
        <w:t>tia finançar accions formatives.</w:t>
      </w:r>
    </w:p>
    <w:p w:rsidR="006A4109" w:rsidRPr="007507A8" w:rsidRDefault="006A4109" w:rsidP="00E930B2">
      <w:pPr>
        <w:rPr>
          <w:rFonts w:cs="Arial"/>
        </w:rPr>
      </w:pPr>
      <w:r w:rsidRPr="007507A8">
        <w:rPr>
          <w:rFonts w:cs="Arial"/>
        </w:rPr>
        <w:t xml:space="preserve">En aquests darrers anys, les accions formatives esmentades s’han concretat en el </w:t>
      </w:r>
      <w:r>
        <w:rPr>
          <w:rFonts w:cs="Arial"/>
        </w:rPr>
        <w:t>Projecte c</w:t>
      </w:r>
      <w:r w:rsidRPr="007507A8">
        <w:rPr>
          <w:rFonts w:cs="Arial"/>
        </w:rPr>
        <w:t xml:space="preserve">apacitació </w:t>
      </w:r>
      <w:r>
        <w:rPr>
          <w:rFonts w:cs="Arial"/>
        </w:rPr>
        <w:t>p</w:t>
      </w:r>
      <w:r w:rsidRPr="007507A8">
        <w:rPr>
          <w:rFonts w:cs="Arial"/>
        </w:rPr>
        <w:t>rofessional a la presó</w:t>
      </w:r>
      <w:r>
        <w:rPr>
          <w:rFonts w:cs="Arial"/>
        </w:rPr>
        <w:t>,</w:t>
      </w:r>
      <w:r w:rsidRPr="007507A8">
        <w:rPr>
          <w:rFonts w:cs="Arial"/>
        </w:rPr>
        <w:t xml:space="preserve"> </w:t>
      </w:r>
      <w:r>
        <w:rPr>
          <w:rFonts w:cs="Arial"/>
        </w:rPr>
        <w:t>adreçat</w:t>
      </w:r>
      <w:r w:rsidRPr="007507A8">
        <w:rPr>
          <w:rFonts w:cs="Arial"/>
        </w:rPr>
        <w:t xml:space="preserve"> al co</w:t>
      </w:r>
      <w:r>
        <w:rPr>
          <w:rFonts w:cs="Arial"/>
        </w:rPr>
        <w:t>l·l</w:t>
      </w:r>
      <w:r w:rsidRPr="007507A8">
        <w:rPr>
          <w:rFonts w:cs="Arial"/>
        </w:rPr>
        <w:t xml:space="preserve">ectiu de persones sotmeses a mesures penals, que té com a finalitat oferir una formació adequada a les necessitats del teixit productiu català </w:t>
      </w:r>
      <w:r>
        <w:rPr>
          <w:rFonts w:cs="Arial"/>
        </w:rPr>
        <w:t>i millorar</w:t>
      </w:r>
      <w:r w:rsidRPr="007507A8">
        <w:rPr>
          <w:rFonts w:cs="Arial"/>
        </w:rPr>
        <w:t xml:space="preserve"> la inserció sociolaboral de les persones recluses.</w:t>
      </w:r>
    </w:p>
    <w:p w:rsidR="006A4109" w:rsidRPr="007507A8" w:rsidRDefault="006A4109" w:rsidP="00E930B2">
      <w:pPr>
        <w:rPr>
          <w:rFonts w:cs="Arial"/>
        </w:rPr>
      </w:pPr>
      <w:r w:rsidRPr="007507A8">
        <w:rPr>
          <w:rFonts w:cs="Arial"/>
        </w:rPr>
        <w:t xml:space="preserve">L’activitat docent en aquesta matèria presenta un doble model d’organització i planificació. </w:t>
      </w:r>
      <w:r>
        <w:rPr>
          <w:rFonts w:cs="Arial"/>
        </w:rPr>
        <w:t>D’</w:t>
      </w:r>
      <w:r w:rsidRPr="007507A8">
        <w:rPr>
          <w:rFonts w:cs="Arial"/>
        </w:rPr>
        <w:t xml:space="preserve">una banda és impartida per personal laboral propi del Departament de Justícia </w:t>
      </w:r>
      <w:r>
        <w:rPr>
          <w:rFonts w:cs="Arial"/>
        </w:rPr>
        <w:t>(</w:t>
      </w:r>
      <w:r w:rsidRPr="007507A8">
        <w:rPr>
          <w:rFonts w:cs="Arial"/>
        </w:rPr>
        <w:t>monitors de formació professional</w:t>
      </w:r>
      <w:r>
        <w:rPr>
          <w:rFonts w:cs="Arial"/>
        </w:rPr>
        <w:t>), els quals va</w:t>
      </w:r>
      <w:r w:rsidRPr="007507A8">
        <w:rPr>
          <w:rFonts w:cs="Arial"/>
        </w:rPr>
        <w:t>n ser traspassat a</w:t>
      </w:r>
      <w:r>
        <w:rPr>
          <w:rFonts w:cs="Arial"/>
        </w:rPr>
        <w:t>l</w:t>
      </w:r>
      <w:r w:rsidRPr="007507A8">
        <w:rPr>
          <w:rFonts w:cs="Arial"/>
        </w:rPr>
        <w:t xml:space="preserve"> CIRE el desembre de 2015. </w:t>
      </w:r>
      <w:r>
        <w:rPr>
          <w:rFonts w:cs="Arial"/>
        </w:rPr>
        <w:t>De</w:t>
      </w:r>
      <w:r w:rsidRPr="007507A8">
        <w:rPr>
          <w:rFonts w:cs="Arial"/>
        </w:rPr>
        <w:t xml:space="preserve"> l’altre</w:t>
      </w:r>
      <w:r>
        <w:rPr>
          <w:rFonts w:cs="Arial"/>
        </w:rPr>
        <w:t>,</w:t>
      </w:r>
      <w:r w:rsidRPr="007507A8">
        <w:rPr>
          <w:rFonts w:cs="Arial"/>
        </w:rPr>
        <w:t xml:space="preserve"> complementant i planificant anualment nous cursos </w:t>
      </w:r>
      <w:r>
        <w:rPr>
          <w:rFonts w:cs="Arial"/>
        </w:rPr>
        <w:t xml:space="preserve">que es van </w:t>
      </w:r>
      <w:r w:rsidRPr="007507A8">
        <w:rPr>
          <w:rFonts w:cs="Arial"/>
        </w:rPr>
        <w:t>adjudica</w:t>
      </w:r>
      <w:r>
        <w:rPr>
          <w:rFonts w:cs="Arial"/>
        </w:rPr>
        <w:t>r</w:t>
      </w:r>
      <w:r w:rsidRPr="007507A8">
        <w:rPr>
          <w:rFonts w:cs="Arial"/>
        </w:rPr>
        <w:t xml:space="preserve"> a entitats expertes i homologades de formació professional.</w:t>
      </w:r>
    </w:p>
    <w:p w:rsidR="006A4109" w:rsidRPr="007507A8" w:rsidRDefault="006A4109" w:rsidP="00E930B2">
      <w:pPr>
        <w:rPr>
          <w:rFonts w:cs="Arial"/>
        </w:rPr>
      </w:pPr>
      <w:r w:rsidRPr="007507A8">
        <w:rPr>
          <w:rFonts w:cs="Arial"/>
        </w:rPr>
        <w:t xml:space="preserve">Aquesta última fórmula, atenent a la seva versatilitat, va ser adoptada en exclusiva en els centres de nova creació, </w:t>
      </w:r>
      <w:r>
        <w:rPr>
          <w:rFonts w:cs="Arial"/>
        </w:rPr>
        <w:t>atès</w:t>
      </w:r>
      <w:r w:rsidRPr="007507A8">
        <w:rPr>
          <w:rFonts w:cs="Arial"/>
        </w:rPr>
        <w:t xml:space="preserve"> que permetia una millora i actualització constant dels continguts formatius d’acord amb les demandes canviants del mercat de treball i dels perfils dels interns.</w:t>
      </w:r>
    </w:p>
    <w:p w:rsidR="006A4109" w:rsidRPr="007507A8" w:rsidRDefault="006A4109" w:rsidP="00E930B2">
      <w:pPr>
        <w:rPr>
          <w:rFonts w:cs="Arial"/>
        </w:rPr>
      </w:pPr>
      <w:r w:rsidRPr="007507A8">
        <w:rPr>
          <w:rFonts w:cs="Arial"/>
        </w:rPr>
        <w:t xml:space="preserve">Aquesta opció va patir un greu revés quan el període 2012-2014, atesa la situació econòmica, no es van formalitzar els convenis específics anuals amb el Departament d’Empresa i Ocupació, </w:t>
      </w:r>
      <w:r>
        <w:rPr>
          <w:rFonts w:cs="Arial"/>
        </w:rPr>
        <w:t xml:space="preserve">fet pel qual es va </w:t>
      </w:r>
      <w:r w:rsidRPr="007507A8">
        <w:rPr>
          <w:rFonts w:cs="Arial"/>
        </w:rPr>
        <w:t>deixa</w:t>
      </w:r>
      <w:r>
        <w:rPr>
          <w:rFonts w:cs="Arial"/>
        </w:rPr>
        <w:t>r</w:t>
      </w:r>
      <w:r w:rsidRPr="007507A8">
        <w:rPr>
          <w:rFonts w:cs="Arial"/>
        </w:rPr>
        <w:t xml:space="preserve"> de percebre la subvenció del SOC,</w:t>
      </w:r>
      <w:r>
        <w:rPr>
          <w:rFonts w:cs="Arial"/>
        </w:rPr>
        <w:t xml:space="preserve"> es va haver de recórrer</w:t>
      </w:r>
      <w:r w:rsidRPr="007507A8">
        <w:rPr>
          <w:rFonts w:cs="Arial"/>
        </w:rPr>
        <w:t xml:space="preserve"> exclusivament als recursos materials i personals propis i </w:t>
      </w:r>
      <w:r>
        <w:rPr>
          <w:rFonts w:cs="Arial"/>
        </w:rPr>
        <w:t xml:space="preserve">van </w:t>
      </w:r>
      <w:r w:rsidRPr="007507A8">
        <w:rPr>
          <w:rFonts w:cs="Arial"/>
        </w:rPr>
        <w:t>desapar</w:t>
      </w:r>
      <w:r>
        <w:rPr>
          <w:rFonts w:cs="Arial"/>
        </w:rPr>
        <w:t>èixer</w:t>
      </w:r>
      <w:r w:rsidRPr="007507A8">
        <w:rPr>
          <w:rFonts w:cs="Arial"/>
        </w:rPr>
        <w:t xml:space="preserve"> l’oferta als centres de nova creació.</w:t>
      </w:r>
    </w:p>
    <w:p w:rsidR="006A4109" w:rsidRDefault="006A4109" w:rsidP="00E930B2">
      <w:pPr>
        <w:rPr>
          <w:rFonts w:cs="Arial"/>
        </w:rPr>
      </w:pPr>
      <w:r>
        <w:rPr>
          <w:rFonts w:cs="Arial"/>
        </w:rPr>
        <w:t>L’any 2015 es reprèn la col·</w:t>
      </w:r>
      <w:r w:rsidRPr="007507A8">
        <w:rPr>
          <w:rFonts w:cs="Arial"/>
        </w:rPr>
        <w:t xml:space="preserve">laboració, mitjançant </w:t>
      </w:r>
      <w:r>
        <w:rPr>
          <w:rFonts w:cs="Arial"/>
        </w:rPr>
        <w:t xml:space="preserve">un </w:t>
      </w:r>
      <w:r w:rsidRPr="007507A8">
        <w:rPr>
          <w:rFonts w:cs="Arial"/>
        </w:rPr>
        <w:t xml:space="preserve">conveni, entre el SOC i </w:t>
      </w:r>
      <w:r>
        <w:rPr>
          <w:rFonts w:cs="Arial"/>
        </w:rPr>
        <w:t xml:space="preserve">el </w:t>
      </w:r>
      <w:r w:rsidRPr="007507A8">
        <w:rPr>
          <w:rFonts w:cs="Arial"/>
        </w:rPr>
        <w:t>CIRE, amb</w:t>
      </w:r>
      <w:r>
        <w:rPr>
          <w:rFonts w:cs="Arial"/>
        </w:rPr>
        <w:t xml:space="preserve"> el cofinançament del Programa o</w:t>
      </w:r>
      <w:r w:rsidRPr="007507A8">
        <w:rPr>
          <w:rFonts w:cs="Arial"/>
        </w:rPr>
        <w:t xml:space="preserve">peratiu del Fons </w:t>
      </w:r>
      <w:r>
        <w:rPr>
          <w:rFonts w:cs="Arial"/>
        </w:rPr>
        <w:t>s</w:t>
      </w:r>
      <w:r w:rsidRPr="007507A8">
        <w:rPr>
          <w:rFonts w:cs="Arial"/>
        </w:rPr>
        <w:t xml:space="preserve">ocial </w:t>
      </w:r>
      <w:r>
        <w:rPr>
          <w:rFonts w:cs="Arial"/>
        </w:rPr>
        <w:t>e</w:t>
      </w:r>
      <w:r w:rsidRPr="007507A8">
        <w:rPr>
          <w:rFonts w:cs="Arial"/>
        </w:rPr>
        <w:t>uropeu 2014-2020.</w:t>
      </w:r>
    </w:p>
    <w:p w:rsidR="006A4109" w:rsidRPr="007507A8" w:rsidRDefault="006A4109" w:rsidP="00E930B2">
      <w:pPr>
        <w:rPr>
          <w:rFonts w:cs="Arial"/>
        </w:rPr>
      </w:pPr>
    </w:p>
    <w:tbl>
      <w:tblPr>
        <w:tblW w:w="8946" w:type="dxa"/>
        <w:tblInd w:w="55" w:type="dxa"/>
        <w:tblLayout w:type="fixed"/>
        <w:tblCellMar>
          <w:left w:w="70" w:type="dxa"/>
          <w:right w:w="70" w:type="dxa"/>
        </w:tblCellMar>
        <w:tblLook w:val="04A0" w:firstRow="1" w:lastRow="0" w:firstColumn="1" w:lastColumn="0" w:noHBand="0" w:noVBand="1"/>
      </w:tblPr>
      <w:tblGrid>
        <w:gridCol w:w="3276"/>
        <w:gridCol w:w="1417"/>
        <w:gridCol w:w="1418"/>
        <w:gridCol w:w="1417"/>
        <w:gridCol w:w="1418"/>
      </w:tblGrid>
      <w:tr w:rsidR="006A4109" w:rsidRPr="007507A8" w:rsidTr="00E930B2">
        <w:trPr>
          <w:trHeight w:val="300"/>
        </w:trPr>
        <w:tc>
          <w:tcPr>
            <w:tcW w:w="3276" w:type="dxa"/>
            <w:tcBorders>
              <w:top w:val="nil"/>
              <w:left w:val="nil"/>
              <w:bottom w:val="single" w:sz="12" w:space="0" w:color="auto"/>
              <w:right w:val="nil"/>
            </w:tcBorders>
            <w:shd w:val="clear" w:color="auto" w:fill="D9D9D9" w:themeFill="background1" w:themeFillShade="D9"/>
            <w:noWrap/>
            <w:vAlign w:val="bottom"/>
            <w:hideMark/>
          </w:tcPr>
          <w:p w:rsidR="006A4109" w:rsidRPr="007507A8" w:rsidRDefault="006A4109" w:rsidP="00E930B2">
            <w:pPr>
              <w:rPr>
                <w:rFonts w:eastAsia="Times New Roman" w:cs="Arial"/>
                <w:color w:val="000000"/>
                <w:sz w:val="20"/>
                <w:szCs w:val="20"/>
                <w:lang w:eastAsia="ca-ES"/>
              </w:rPr>
            </w:pPr>
          </w:p>
        </w:tc>
        <w:tc>
          <w:tcPr>
            <w:tcW w:w="1417" w:type="dxa"/>
            <w:tcBorders>
              <w:top w:val="nil"/>
              <w:left w:val="nil"/>
              <w:bottom w:val="single" w:sz="12" w:space="0" w:color="auto"/>
              <w:right w:val="nil"/>
            </w:tcBorders>
            <w:shd w:val="clear" w:color="auto" w:fill="D9D9D9" w:themeFill="background1" w:themeFillShade="D9"/>
            <w:noWrap/>
            <w:vAlign w:val="center"/>
            <w:hideMark/>
          </w:tcPr>
          <w:p w:rsidR="006A4109" w:rsidRPr="007507A8" w:rsidRDefault="006A4109" w:rsidP="00E930B2">
            <w:pPr>
              <w:jc w:val="center"/>
              <w:rPr>
                <w:rFonts w:eastAsia="Times New Roman" w:cs="Arial"/>
                <w:b/>
                <w:color w:val="000000"/>
                <w:sz w:val="20"/>
                <w:szCs w:val="20"/>
                <w:lang w:eastAsia="ca-ES"/>
              </w:rPr>
            </w:pPr>
            <w:r w:rsidRPr="007507A8">
              <w:rPr>
                <w:rFonts w:eastAsia="Times New Roman" w:cs="Arial"/>
                <w:b/>
                <w:color w:val="000000"/>
                <w:sz w:val="20"/>
                <w:szCs w:val="20"/>
                <w:lang w:eastAsia="ca-ES"/>
              </w:rPr>
              <w:t>2012</w:t>
            </w:r>
          </w:p>
        </w:tc>
        <w:tc>
          <w:tcPr>
            <w:tcW w:w="1418" w:type="dxa"/>
            <w:tcBorders>
              <w:top w:val="nil"/>
              <w:left w:val="nil"/>
              <w:bottom w:val="single" w:sz="12" w:space="0" w:color="auto"/>
              <w:right w:val="nil"/>
            </w:tcBorders>
            <w:shd w:val="clear" w:color="auto" w:fill="D9D9D9" w:themeFill="background1" w:themeFillShade="D9"/>
            <w:noWrap/>
            <w:vAlign w:val="center"/>
            <w:hideMark/>
          </w:tcPr>
          <w:p w:rsidR="006A4109" w:rsidRPr="007507A8" w:rsidRDefault="006A4109" w:rsidP="00E930B2">
            <w:pPr>
              <w:jc w:val="center"/>
              <w:rPr>
                <w:rFonts w:eastAsia="Times New Roman" w:cs="Arial"/>
                <w:b/>
                <w:color w:val="000000"/>
                <w:sz w:val="20"/>
                <w:szCs w:val="20"/>
                <w:lang w:eastAsia="ca-ES"/>
              </w:rPr>
            </w:pPr>
            <w:r w:rsidRPr="007507A8">
              <w:rPr>
                <w:rFonts w:eastAsia="Times New Roman" w:cs="Arial"/>
                <w:b/>
                <w:color w:val="000000"/>
                <w:sz w:val="20"/>
                <w:szCs w:val="20"/>
                <w:lang w:eastAsia="ca-ES"/>
              </w:rPr>
              <w:t>2013</w:t>
            </w:r>
          </w:p>
        </w:tc>
        <w:tc>
          <w:tcPr>
            <w:tcW w:w="1417" w:type="dxa"/>
            <w:tcBorders>
              <w:top w:val="nil"/>
              <w:left w:val="nil"/>
              <w:bottom w:val="single" w:sz="12" w:space="0" w:color="auto"/>
              <w:right w:val="nil"/>
            </w:tcBorders>
            <w:shd w:val="clear" w:color="auto" w:fill="D9D9D9" w:themeFill="background1" w:themeFillShade="D9"/>
            <w:noWrap/>
            <w:vAlign w:val="center"/>
            <w:hideMark/>
          </w:tcPr>
          <w:p w:rsidR="006A4109" w:rsidRPr="007507A8" w:rsidRDefault="006A4109" w:rsidP="00E930B2">
            <w:pPr>
              <w:jc w:val="center"/>
              <w:rPr>
                <w:rFonts w:eastAsia="Times New Roman" w:cs="Arial"/>
                <w:b/>
                <w:color w:val="000000"/>
                <w:sz w:val="20"/>
                <w:szCs w:val="20"/>
                <w:lang w:eastAsia="ca-ES"/>
              </w:rPr>
            </w:pPr>
            <w:r w:rsidRPr="007507A8">
              <w:rPr>
                <w:rFonts w:eastAsia="Times New Roman" w:cs="Arial"/>
                <w:b/>
                <w:color w:val="000000"/>
                <w:sz w:val="20"/>
                <w:szCs w:val="20"/>
                <w:lang w:eastAsia="ca-ES"/>
              </w:rPr>
              <w:t>2014</w:t>
            </w:r>
          </w:p>
        </w:tc>
        <w:tc>
          <w:tcPr>
            <w:tcW w:w="1418" w:type="dxa"/>
            <w:tcBorders>
              <w:top w:val="nil"/>
              <w:left w:val="nil"/>
              <w:bottom w:val="single" w:sz="12" w:space="0" w:color="auto"/>
              <w:right w:val="nil"/>
            </w:tcBorders>
            <w:shd w:val="clear" w:color="auto" w:fill="D9D9D9" w:themeFill="background1" w:themeFillShade="D9"/>
            <w:noWrap/>
            <w:vAlign w:val="center"/>
            <w:hideMark/>
          </w:tcPr>
          <w:p w:rsidR="006A4109" w:rsidRPr="007507A8" w:rsidRDefault="006A4109" w:rsidP="00E930B2">
            <w:pPr>
              <w:jc w:val="center"/>
              <w:rPr>
                <w:rFonts w:eastAsia="Times New Roman" w:cs="Arial"/>
                <w:b/>
                <w:color w:val="000000"/>
                <w:sz w:val="20"/>
                <w:szCs w:val="20"/>
                <w:lang w:eastAsia="ca-ES"/>
              </w:rPr>
            </w:pPr>
            <w:r w:rsidRPr="007507A8">
              <w:rPr>
                <w:rFonts w:eastAsia="Times New Roman" w:cs="Arial"/>
                <w:b/>
                <w:color w:val="000000"/>
                <w:sz w:val="20"/>
                <w:szCs w:val="20"/>
                <w:lang w:eastAsia="ca-ES"/>
              </w:rPr>
              <w:t>2015</w:t>
            </w:r>
          </w:p>
        </w:tc>
      </w:tr>
      <w:tr w:rsidR="006A4109" w:rsidRPr="007507A8" w:rsidTr="00E930B2">
        <w:trPr>
          <w:trHeight w:val="300"/>
        </w:trPr>
        <w:tc>
          <w:tcPr>
            <w:tcW w:w="3276" w:type="dxa"/>
            <w:tcBorders>
              <w:top w:val="single" w:sz="12" w:space="0" w:color="auto"/>
              <w:left w:val="nil"/>
              <w:bottom w:val="single" w:sz="4" w:space="0" w:color="auto"/>
              <w:right w:val="nil"/>
            </w:tcBorders>
            <w:shd w:val="clear" w:color="auto" w:fill="auto"/>
            <w:noWrap/>
            <w:vAlign w:val="center"/>
            <w:hideMark/>
          </w:tcPr>
          <w:p w:rsidR="006A4109" w:rsidRPr="007507A8" w:rsidRDefault="006A4109" w:rsidP="00E930B2">
            <w:pPr>
              <w:rPr>
                <w:rFonts w:eastAsia="Times New Roman" w:cs="Arial"/>
                <w:color w:val="000000"/>
                <w:sz w:val="20"/>
                <w:szCs w:val="20"/>
                <w:lang w:eastAsia="ca-ES"/>
              </w:rPr>
            </w:pPr>
            <w:r w:rsidRPr="007507A8">
              <w:rPr>
                <w:rFonts w:eastAsia="Times New Roman" w:cs="Arial"/>
                <w:color w:val="000000"/>
                <w:sz w:val="20"/>
                <w:szCs w:val="20"/>
                <w:lang w:eastAsia="ca-ES"/>
              </w:rPr>
              <w:t>Matrícules</w:t>
            </w:r>
          </w:p>
        </w:tc>
        <w:tc>
          <w:tcPr>
            <w:tcW w:w="1417" w:type="dxa"/>
            <w:tcBorders>
              <w:top w:val="single" w:sz="12" w:space="0" w:color="auto"/>
              <w:left w:val="nil"/>
              <w:bottom w:val="single" w:sz="4" w:space="0" w:color="auto"/>
              <w:right w:val="nil"/>
            </w:tcBorders>
            <w:shd w:val="clear" w:color="auto" w:fill="auto"/>
            <w:noWrap/>
            <w:vAlign w:val="center"/>
            <w:hideMark/>
          </w:tcPr>
          <w:p w:rsidR="006A4109" w:rsidRPr="007507A8" w:rsidRDefault="006A4109" w:rsidP="00E930B2">
            <w:pPr>
              <w:jc w:val="right"/>
              <w:rPr>
                <w:rFonts w:eastAsia="Times New Roman" w:cs="Arial"/>
                <w:color w:val="000000"/>
                <w:sz w:val="20"/>
                <w:szCs w:val="20"/>
                <w:lang w:eastAsia="ca-ES"/>
              </w:rPr>
            </w:pPr>
            <w:r w:rsidRPr="007507A8">
              <w:rPr>
                <w:rFonts w:eastAsia="Times New Roman" w:cs="Arial"/>
                <w:color w:val="000000"/>
                <w:sz w:val="20"/>
                <w:szCs w:val="20"/>
                <w:lang w:eastAsia="ca-ES"/>
              </w:rPr>
              <w:t>3.338</w:t>
            </w:r>
          </w:p>
        </w:tc>
        <w:tc>
          <w:tcPr>
            <w:tcW w:w="1418" w:type="dxa"/>
            <w:tcBorders>
              <w:top w:val="single" w:sz="12" w:space="0" w:color="auto"/>
              <w:left w:val="nil"/>
              <w:bottom w:val="single" w:sz="4" w:space="0" w:color="auto"/>
              <w:right w:val="nil"/>
            </w:tcBorders>
            <w:shd w:val="clear" w:color="auto" w:fill="auto"/>
            <w:noWrap/>
            <w:vAlign w:val="center"/>
            <w:hideMark/>
          </w:tcPr>
          <w:p w:rsidR="006A4109" w:rsidRPr="007507A8" w:rsidRDefault="006A4109" w:rsidP="00E930B2">
            <w:pPr>
              <w:jc w:val="right"/>
              <w:rPr>
                <w:rFonts w:eastAsia="Times New Roman" w:cs="Arial"/>
                <w:color w:val="000000"/>
                <w:sz w:val="20"/>
                <w:szCs w:val="20"/>
                <w:lang w:eastAsia="ca-ES"/>
              </w:rPr>
            </w:pPr>
            <w:r w:rsidRPr="007507A8">
              <w:rPr>
                <w:rFonts w:eastAsia="Times New Roman" w:cs="Arial"/>
                <w:color w:val="000000"/>
                <w:sz w:val="20"/>
                <w:szCs w:val="20"/>
                <w:lang w:eastAsia="ca-ES"/>
              </w:rPr>
              <w:t>3.748</w:t>
            </w:r>
          </w:p>
        </w:tc>
        <w:tc>
          <w:tcPr>
            <w:tcW w:w="1417" w:type="dxa"/>
            <w:tcBorders>
              <w:top w:val="single" w:sz="12" w:space="0" w:color="auto"/>
              <w:left w:val="nil"/>
              <w:bottom w:val="single" w:sz="4" w:space="0" w:color="auto"/>
              <w:right w:val="nil"/>
            </w:tcBorders>
            <w:shd w:val="clear" w:color="auto" w:fill="auto"/>
            <w:noWrap/>
            <w:vAlign w:val="center"/>
            <w:hideMark/>
          </w:tcPr>
          <w:p w:rsidR="006A4109" w:rsidRPr="007507A8" w:rsidRDefault="006A4109" w:rsidP="00E930B2">
            <w:pPr>
              <w:jc w:val="right"/>
              <w:rPr>
                <w:rFonts w:eastAsia="Times New Roman" w:cs="Arial"/>
                <w:color w:val="000000"/>
                <w:sz w:val="20"/>
                <w:szCs w:val="20"/>
                <w:lang w:eastAsia="ca-ES"/>
              </w:rPr>
            </w:pPr>
            <w:r w:rsidRPr="007507A8">
              <w:rPr>
                <w:rFonts w:eastAsia="Times New Roman" w:cs="Arial"/>
                <w:color w:val="000000"/>
                <w:sz w:val="20"/>
                <w:szCs w:val="20"/>
                <w:lang w:eastAsia="ca-ES"/>
              </w:rPr>
              <w:t>3.852</w:t>
            </w:r>
          </w:p>
        </w:tc>
        <w:tc>
          <w:tcPr>
            <w:tcW w:w="1418" w:type="dxa"/>
            <w:tcBorders>
              <w:top w:val="single" w:sz="12" w:space="0" w:color="auto"/>
              <w:left w:val="nil"/>
              <w:bottom w:val="single" w:sz="4" w:space="0" w:color="auto"/>
              <w:right w:val="nil"/>
            </w:tcBorders>
            <w:shd w:val="clear" w:color="auto" w:fill="auto"/>
            <w:noWrap/>
            <w:vAlign w:val="center"/>
            <w:hideMark/>
          </w:tcPr>
          <w:p w:rsidR="006A4109" w:rsidRPr="007507A8" w:rsidRDefault="006A4109" w:rsidP="00E930B2">
            <w:pPr>
              <w:jc w:val="right"/>
              <w:rPr>
                <w:rFonts w:eastAsia="Times New Roman" w:cs="Arial"/>
                <w:color w:val="000000"/>
                <w:sz w:val="20"/>
                <w:szCs w:val="20"/>
                <w:lang w:eastAsia="ca-ES"/>
              </w:rPr>
            </w:pPr>
            <w:r w:rsidRPr="007507A8">
              <w:rPr>
                <w:rFonts w:eastAsia="Times New Roman" w:cs="Arial"/>
                <w:color w:val="000000"/>
                <w:sz w:val="20"/>
                <w:szCs w:val="20"/>
                <w:lang w:eastAsia="ca-ES"/>
              </w:rPr>
              <w:t>3.240</w:t>
            </w:r>
          </w:p>
        </w:tc>
      </w:tr>
      <w:tr w:rsidR="006A4109" w:rsidRPr="007507A8" w:rsidTr="00E930B2">
        <w:trPr>
          <w:trHeight w:val="300"/>
        </w:trPr>
        <w:tc>
          <w:tcPr>
            <w:tcW w:w="3276" w:type="dxa"/>
            <w:tcBorders>
              <w:top w:val="single" w:sz="4" w:space="0" w:color="auto"/>
              <w:left w:val="nil"/>
              <w:bottom w:val="single" w:sz="4" w:space="0" w:color="auto"/>
              <w:right w:val="nil"/>
            </w:tcBorders>
            <w:shd w:val="clear" w:color="auto" w:fill="auto"/>
            <w:noWrap/>
            <w:vAlign w:val="center"/>
            <w:hideMark/>
          </w:tcPr>
          <w:p w:rsidR="006A4109" w:rsidRPr="007507A8" w:rsidRDefault="006A4109" w:rsidP="00E930B2">
            <w:pPr>
              <w:rPr>
                <w:rFonts w:eastAsia="Times New Roman" w:cs="Arial"/>
                <w:color w:val="000000"/>
                <w:sz w:val="20"/>
                <w:szCs w:val="20"/>
                <w:lang w:eastAsia="ca-ES"/>
              </w:rPr>
            </w:pPr>
            <w:r w:rsidRPr="007507A8">
              <w:rPr>
                <w:rFonts w:eastAsia="Times New Roman" w:cs="Arial"/>
                <w:color w:val="000000"/>
                <w:sz w:val="20"/>
                <w:szCs w:val="20"/>
                <w:lang w:eastAsia="ca-ES"/>
              </w:rPr>
              <w:t>Interns formats</w:t>
            </w:r>
          </w:p>
        </w:tc>
        <w:tc>
          <w:tcPr>
            <w:tcW w:w="1417" w:type="dxa"/>
            <w:tcBorders>
              <w:top w:val="single" w:sz="4" w:space="0" w:color="auto"/>
              <w:left w:val="nil"/>
              <w:bottom w:val="single" w:sz="4" w:space="0" w:color="auto"/>
              <w:right w:val="nil"/>
            </w:tcBorders>
            <w:shd w:val="clear" w:color="auto" w:fill="auto"/>
            <w:noWrap/>
            <w:vAlign w:val="center"/>
            <w:hideMark/>
          </w:tcPr>
          <w:p w:rsidR="006A4109" w:rsidRPr="007507A8" w:rsidRDefault="006A4109" w:rsidP="00E930B2">
            <w:pPr>
              <w:jc w:val="right"/>
              <w:rPr>
                <w:rFonts w:eastAsia="Times New Roman" w:cs="Arial"/>
                <w:color w:val="000000"/>
                <w:sz w:val="20"/>
                <w:szCs w:val="20"/>
                <w:lang w:eastAsia="ca-ES"/>
              </w:rPr>
            </w:pPr>
            <w:r w:rsidRPr="007507A8">
              <w:rPr>
                <w:rFonts w:eastAsia="Times New Roman" w:cs="Arial"/>
                <w:color w:val="000000"/>
                <w:sz w:val="20"/>
                <w:szCs w:val="20"/>
                <w:lang w:eastAsia="ca-ES"/>
              </w:rPr>
              <w:t>2.686</w:t>
            </w:r>
          </w:p>
        </w:tc>
        <w:tc>
          <w:tcPr>
            <w:tcW w:w="1418" w:type="dxa"/>
            <w:tcBorders>
              <w:top w:val="single" w:sz="4" w:space="0" w:color="auto"/>
              <w:left w:val="nil"/>
              <w:bottom w:val="single" w:sz="4" w:space="0" w:color="auto"/>
              <w:right w:val="nil"/>
            </w:tcBorders>
            <w:shd w:val="clear" w:color="auto" w:fill="auto"/>
            <w:noWrap/>
            <w:vAlign w:val="center"/>
            <w:hideMark/>
          </w:tcPr>
          <w:p w:rsidR="006A4109" w:rsidRPr="007507A8" w:rsidRDefault="006A4109" w:rsidP="00E930B2">
            <w:pPr>
              <w:jc w:val="right"/>
              <w:rPr>
                <w:rFonts w:eastAsia="Times New Roman" w:cs="Arial"/>
                <w:color w:val="000000"/>
                <w:sz w:val="20"/>
                <w:szCs w:val="20"/>
                <w:lang w:eastAsia="ca-ES"/>
              </w:rPr>
            </w:pPr>
            <w:r w:rsidRPr="007507A8">
              <w:rPr>
                <w:rFonts w:eastAsia="Times New Roman" w:cs="Arial"/>
                <w:color w:val="000000"/>
                <w:sz w:val="20"/>
                <w:szCs w:val="20"/>
                <w:lang w:eastAsia="ca-ES"/>
              </w:rPr>
              <w:t>2.886</w:t>
            </w:r>
          </w:p>
        </w:tc>
        <w:tc>
          <w:tcPr>
            <w:tcW w:w="1417" w:type="dxa"/>
            <w:tcBorders>
              <w:top w:val="single" w:sz="4" w:space="0" w:color="auto"/>
              <w:left w:val="nil"/>
              <w:bottom w:val="single" w:sz="4" w:space="0" w:color="auto"/>
              <w:right w:val="nil"/>
            </w:tcBorders>
            <w:shd w:val="clear" w:color="auto" w:fill="auto"/>
            <w:noWrap/>
            <w:vAlign w:val="center"/>
            <w:hideMark/>
          </w:tcPr>
          <w:p w:rsidR="006A4109" w:rsidRPr="007507A8" w:rsidRDefault="006A4109" w:rsidP="00E930B2">
            <w:pPr>
              <w:jc w:val="right"/>
              <w:rPr>
                <w:rFonts w:eastAsia="Times New Roman" w:cs="Arial"/>
                <w:color w:val="000000"/>
                <w:sz w:val="20"/>
                <w:szCs w:val="20"/>
                <w:lang w:eastAsia="ca-ES"/>
              </w:rPr>
            </w:pPr>
            <w:r w:rsidRPr="007507A8">
              <w:rPr>
                <w:rFonts w:eastAsia="Times New Roman" w:cs="Arial"/>
                <w:color w:val="000000"/>
                <w:sz w:val="20"/>
                <w:szCs w:val="20"/>
                <w:lang w:eastAsia="ca-ES"/>
              </w:rPr>
              <w:t>3.095</w:t>
            </w:r>
          </w:p>
        </w:tc>
        <w:tc>
          <w:tcPr>
            <w:tcW w:w="1418" w:type="dxa"/>
            <w:tcBorders>
              <w:top w:val="single" w:sz="4" w:space="0" w:color="auto"/>
              <w:left w:val="nil"/>
              <w:bottom w:val="single" w:sz="4" w:space="0" w:color="auto"/>
              <w:right w:val="nil"/>
            </w:tcBorders>
            <w:shd w:val="clear" w:color="auto" w:fill="auto"/>
            <w:noWrap/>
            <w:vAlign w:val="center"/>
            <w:hideMark/>
          </w:tcPr>
          <w:p w:rsidR="006A4109" w:rsidRPr="007507A8" w:rsidRDefault="006A4109" w:rsidP="00E930B2">
            <w:pPr>
              <w:jc w:val="right"/>
              <w:rPr>
                <w:rFonts w:eastAsia="Times New Roman" w:cs="Arial"/>
                <w:color w:val="000000"/>
                <w:sz w:val="20"/>
                <w:szCs w:val="20"/>
                <w:lang w:eastAsia="ca-ES"/>
              </w:rPr>
            </w:pPr>
            <w:r w:rsidRPr="007507A8">
              <w:rPr>
                <w:rFonts w:eastAsia="Times New Roman" w:cs="Arial"/>
                <w:color w:val="000000"/>
                <w:sz w:val="20"/>
                <w:szCs w:val="20"/>
                <w:lang w:eastAsia="ca-ES"/>
              </w:rPr>
              <w:t>3.013</w:t>
            </w:r>
          </w:p>
        </w:tc>
      </w:tr>
      <w:tr w:rsidR="006A4109" w:rsidRPr="007507A8" w:rsidTr="00E930B2">
        <w:trPr>
          <w:trHeight w:val="300"/>
        </w:trPr>
        <w:tc>
          <w:tcPr>
            <w:tcW w:w="3276" w:type="dxa"/>
            <w:tcBorders>
              <w:top w:val="single" w:sz="4" w:space="0" w:color="auto"/>
              <w:left w:val="nil"/>
              <w:bottom w:val="single" w:sz="4" w:space="0" w:color="auto"/>
              <w:right w:val="nil"/>
            </w:tcBorders>
            <w:shd w:val="clear" w:color="auto" w:fill="auto"/>
            <w:noWrap/>
            <w:vAlign w:val="center"/>
            <w:hideMark/>
          </w:tcPr>
          <w:p w:rsidR="006A4109" w:rsidRPr="007507A8" w:rsidRDefault="006A4109" w:rsidP="00E930B2">
            <w:pPr>
              <w:rPr>
                <w:rFonts w:eastAsia="Times New Roman" w:cs="Arial"/>
                <w:color w:val="000000"/>
                <w:sz w:val="20"/>
                <w:szCs w:val="20"/>
                <w:lang w:eastAsia="ca-ES"/>
              </w:rPr>
            </w:pPr>
            <w:r w:rsidRPr="007507A8">
              <w:rPr>
                <w:rFonts w:eastAsia="Times New Roman" w:cs="Arial"/>
                <w:color w:val="000000"/>
                <w:sz w:val="20"/>
                <w:szCs w:val="20"/>
                <w:lang w:eastAsia="ca-ES"/>
              </w:rPr>
              <w:t>No</w:t>
            </w:r>
            <w:r>
              <w:rPr>
                <w:rFonts w:eastAsia="Times New Roman" w:cs="Arial"/>
                <w:color w:val="000000"/>
                <w:sz w:val="20"/>
                <w:szCs w:val="20"/>
                <w:lang w:eastAsia="ca-ES"/>
              </w:rPr>
              <w:t>mbre</w:t>
            </w:r>
            <w:r w:rsidRPr="007507A8">
              <w:rPr>
                <w:rFonts w:eastAsia="Times New Roman" w:cs="Arial"/>
                <w:color w:val="000000"/>
                <w:sz w:val="20"/>
                <w:szCs w:val="20"/>
                <w:lang w:eastAsia="ca-ES"/>
              </w:rPr>
              <w:t xml:space="preserve"> de cursos</w:t>
            </w:r>
          </w:p>
        </w:tc>
        <w:tc>
          <w:tcPr>
            <w:tcW w:w="1417" w:type="dxa"/>
            <w:tcBorders>
              <w:top w:val="single" w:sz="4" w:space="0" w:color="auto"/>
              <w:left w:val="nil"/>
              <w:bottom w:val="single" w:sz="4" w:space="0" w:color="auto"/>
              <w:right w:val="nil"/>
            </w:tcBorders>
            <w:shd w:val="clear" w:color="auto" w:fill="auto"/>
            <w:noWrap/>
            <w:vAlign w:val="center"/>
            <w:hideMark/>
          </w:tcPr>
          <w:p w:rsidR="006A4109" w:rsidRPr="007507A8" w:rsidRDefault="006A4109" w:rsidP="00E930B2">
            <w:pPr>
              <w:jc w:val="right"/>
              <w:rPr>
                <w:rFonts w:eastAsia="Times New Roman" w:cs="Arial"/>
                <w:color w:val="000000"/>
                <w:sz w:val="20"/>
                <w:szCs w:val="20"/>
                <w:lang w:eastAsia="ca-ES"/>
              </w:rPr>
            </w:pPr>
            <w:r w:rsidRPr="007507A8">
              <w:rPr>
                <w:rFonts w:eastAsia="Times New Roman" w:cs="Arial"/>
                <w:color w:val="000000"/>
                <w:sz w:val="20"/>
                <w:szCs w:val="20"/>
                <w:lang w:eastAsia="ca-ES"/>
              </w:rPr>
              <w:t>209</w:t>
            </w:r>
          </w:p>
        </w:tc>
        <w:tc>
          <w:tcPr>
            <w:tcW w:w="1418" w:type="dxa"/>
            <w:tcBorders>
              <w:top w:val="single" w:sz="4" w:space="0" w:color="auto"/>
              <w:left w:val="nil"/>
              <w:bottom w:val="single" w:sz="4" w:space="0" w:color="auto"/>
              <w:right w:val="nil"/>
            </w:tcBorders>
            <w:shd w:val="clear" w:color="auto" w:fill="auto"/>
            <w:noWrap/>
            <w:vAlign w:val="center"/>
            <w:hideMark/>
          </w:tcPr>
          <w:p w:rsidR="006A4109" w:rsidRPr="007507A8" w:rsidRDefault="006A4109" w:rsidP="00E930B2">
            <w:pPr>
              <w:jc w:val="right"/>
              <w:rPr>
                <w:rFonts w:eastAsia="Times New Roman" w:cs="Arial"/>
                <w:color w:val="000000"/>
                <w:sz w:val="20"/>
                <w:szCs w:val="20"/>
                <w:lang w:eastAsia="ca-ES"/>
              </w:rPr>
            </w:pPr>
            <w:r w:rsidRPr="007507A8">
              <w:rPr>
                <w:rFonts w:eastAsia="Times New Roman" w:cs="Arial"/>
                <w:color w:val="000000"/>
                <w:sz w:val="20"/>
                <w:szCs w:val="20"/>
                <w:lang w:eastAsia="ca-ES"/>
              </w:rPr>
              <w:t>235</w:t>
            </w:r>
          </w:p>
        </w:tc>
        <w:tc>
          <w:tcPr>
            <w:tcW w:w="1417" w:type="dxa"/>
            <w:tcBorders>
              <w:top w:val="single" w:sz="4" w:space="0" w:color="auto"/>
              <w:left w:val="nil"/>
              <w:bottom w:val="single" w:sz="4" w:space="0" w:color="auto"/>
              <w:right w:val="nil"/>
            </w:tcBorders>
            <w:shd w:val="clear" w:color="auto" w:fill="auto"/>
            <w:noWrap/>
            <w:vAlign w:val="center"/>
            <w:hideMark/>
          </w:tcPr>
          <w:p w:rsidR="006A4109" w:rsidRPr="007507A8" w:rsidRDefault="006A4109" w:rsidP="00E930B2">
            <w:pPr>
              <w:jc w:val="right"/>
              <w:rPr>
                <w:rFonts w:eastAsia="Times New Roman" w:cs="Arial"/>
                <w:color w:val="000000"/>
                <w:sz w:val="20"/>
                <w:szCs w:val="20"/>
                <w:lang w:eastAsia="ca-ES"/>
              </w:rPr>
            </w:pPr>
            <w:r w:rsidRPr="007507A8">
              <w:rPr>
                <w:rFonts w:eastAsia="Times New Roman" w:cs="Arial"/>
                <w:color w:val="000000"/>
                <w:sz w:val="20"/>
                <w:szCs w:val="20"/>
                <w:lang w:eastAsia="ca-ES"/>
              </w:rPr>
              <w:t>252</w:t>
            </w:r>
          </w:p>
        </w:tc>
        <w:tc>
          <w:tcPr>
            <w:tcW w:w="1418" w:type="dxa"/>
            <w:tcBorders>
              <w:top w:val="single" w:sz="4" w:space="0" w:color="auto"/>
              <w:left w:val="nil"/>
              <w:bottom w:val="single" w:sz="4" w:space="0" w:color="auto"/>
              <w:right w:val="nil"/>
            </w:tcBorders>
            <w:shd w:val="clear" w:color="auto" w:fill="auto"/>
            <w:noWrap/>
            <w:vAlign w:val="center"/>
            <w:hideMark/>
          </w:tcPr>
          <w:p w:rsidR="006A4109" w:rsidRPr="007507A8" w:rsidRDefault="006A4109" w:rsidP="00E930B2">
            <w:pPr>
              <w:jc w:val="right"/>
              <w:rPr>
                <w:rFonts w:eastAsia="Times New Roman" w:cs="Arial"/>
                <w:color w:val="000000"/>
                <w:sz w:val="20"/>
                <w:szCs w:val="20"/>
                <w:lang w:eastAsia="ca-ES"/>
              </w:rPr>
            </w:pPr>
            <w:r w:rsidRPr="007507A8">
              <w:rPr>
                <w:rFonts w:eastAsia="Times New Roman" w:cs="Arial"/>
                <w:color w:val="000000"/>
                <w:sz w:val="20"/>
                <w:szCs w:val="20"/>
                <w:lang w:eastAsia="ca-ES"/>
              </w:rPr>
              <w:t>232</w:t>
            </w:r>
          </w:p>
        </w:tc>
      </w:tr>
      <w:tr w:rsidR="006A4109" w:rsidRPr="007507A8" w:rsidTr="00E930B2">
        <w:trPr>
          <w:trHeight w:val="300"/>
        </w:trPr>
        <w:tc>
          <w:tcPr>
            <w:tcW w:w="3276" w:type="dxa"/>
            <w:tcBorders>
              <w:top w:val="single" w:sz="4" w:space="0" w:color="auto"/>
              <w:left w:val="nil"/>
              <w:bottom w:val="single" w:sz="12" w:space="0" w:color="auto"/>
              <w:right w:val="nil"/>
            </w:tcBorders>
            <w:shd w:val="clear" w:color="auto" w:fill="auto"/>
            <w:noWrap/>
            <w:vAlign w:val="center"/>
            <w:hideMark/>
          </w:tcPr>
          <w:p w:rsidR="006A4109" w:rsidRPr="007507A8" w:rsidRDefault="006A4109" w:rsidP="00E930B2">
            <w:pPr>
              <w:rPr>
                <w:rFonts w:eastAsia="Times New Roman" w:cs="Arial"/>
                <w:color w:val="000000"/>
                <w:sz w:val="20"/>
                <w:szCs w:val="20"/>
                <w:lang w:eastAsia="ca-ES"/>
              </w:rPr>
            </w:pPr>
            <w:r>
              <w:rPr>
                <w:rFonts w:eastAsia="Times New Roman" w:cs="Arial"/>
                <w:color w:val="000000"/>
                <w:sz w:val="20"/>
                <w:szCs w:val="20"/>
                <w:lang w:eastAsia="ca-ES"/>
              </w:rPr>
              <w:t>N</w:t>
            </w:r>
            <w:r w:rsidRPr="007507A8">
              <w:rPr>
                <w:rFonts w:eastAsia="Times New Roman" w:cs="Arial"/>
                <w:color w:val="000000"/>
                <w:sz w:val="20"/>
                <w:szCs w:val="20"/>
                <w:lang w:eastAsia="ca-ES"/>
              </w:rPr>
              <w:t>o</w:t>
            </w:r>
            <w:r>
              <w:rPr>
                <w:rFonts w:eastAsia="Times New Roman" w:cs="Arial"/>
                <w:color w:val="000000"/>
                <w:sz w:val="20"/>
                <w:szCs w:val="20"/>
                <w:lang w:eastAsia="ca-ES"/>
              </w:rPr>
              <w:t>mbre</w:t>
            </w:r>
            <w:r w:rsidRPr="007507A8">
              <w:rPr>
                <w:rFonts w:eastAsia="Times New Roman" w:cs="Arial"/>
                <w:color w:val="000000"/>
                <w:sz w:val="20"/>
                <w:szCs w:val="20"/>
                <w:lang w:eastAsia="ca-ES"/>
              </w:rPr>
              <w:t xml:space="preserve"> d'</w:t>
            </w:r>
            <w:r>
              <w:rPr>
                <w:rFonts w:eastAsia="Times New Roman" w:cs="Arial"/>
                <w:color w:val="000000"/>
                <w:sz w:val="20"/>
                <w:szCs w:val="20"/>
                <w:lang w:eastAsia="ca-ES"/>
              </w:rPr>
              <w:t>a</w:t>
            </w:r>
            <w:r w:rsidRPr="007507A8">
              <w:rPr>
                <w:rFonts w:eastAsia="Times New Roman" w:cs="Arial"/>
                <w:color w:val="000000"/>
                <w:sz w:val="20"/>
                <w:szCs w:val="20"/>
                <w:lang w:eastAsia="ca-ES"/>
              </w:rPr>
              <w:t>creditacions</w:t>
            </w:r>
          </w:p>
        </w:tc>
        <w:tc>
          <w:tcPr>
            <w:tcW w:w="1417" w:type="dxa"/>
            <w:tcBorders>
              <w:top w:val="single" w:sz="4" w:space="0" w:color="auto"/>
              <w:left w:val="nil"/>
              <w:bottom w:val="single" w:sz="12" w:space="0" w:color="auto"/>
              <w:right w:val="nil"/>
            </w:tcBorders>
            <w:shd w:val="clear" w:color="auto" w:fill="auto"/>
            <w:noWrap/>
            <w:vAlign w:val="center"/>
            <w:hideMark/>
          </w:tcPr>
          <w:p w:rsidR="006A4109" w:rsidRPr="007507A8" w:rsidRDefault="006A4109" w:rsidP="00E930B2">
            <w:pPr>
              <w:jc w:val="right"/>
              <w:rPr>
                <w:rFonts w:eastAsia="Times New Roman" w:cs="Arial"/>
                <w:color w:val="000000"/>
                <w:sz w:val="20"/>
                <w:szCs w:val="20"/>
                <w:lang w:eastAsia="ca-ES"/>
              </w:rPr>
            </w:pPr>
            <w:r w:rsidRPr="007507A8">
              <w:rPr>
                <w:rFonts w:eastAsia="Times New Roman" w:cs="Arial"/>
                <w:color w:val="000000"/>
                <w:sz w:val="20"/>
                <w:szCs w:val="20"/>
                <w:lang w:eastAsia="ca-ES"/>
              </w:rPr>
              <w:t>1.844</w:t>
            </w:r>
          </w:p>
        </w:tc>
        <w:tc>
          <w:tcPr>
            <w:tcW w:w="1418" w:type="dxa"/>
            <w:tcBorders>
              <w:top w:val="single" w:sz="4" w:space="0" w:color="auto"/>
              <w:left w:val="nil"/>
              <w:bottom w:val="single" w:sz="12" w:space="0" w:color="auto"/>
              <w:right w:val="nil"/>
            </w:tcBorders>
            <w:shd w:val="clear" w:color="auto" w:fill="auto"/>
            <w:noWrap/>
            <w:vAlign w:val="center"/>
            <w:hideMark/>
          </w:tcPr>
          <w:p w:rsidR="006A4109" w:rsidRPr="007507A8" w:rsidRDefault="006A4109" w:rsidP="00E930B2">
            <w:pPr>
              <w:jc w:val="right"/>
              <w:rPr>
                <w:rFonts w:eastAsia="Times New Roman" w:cs="Arial"/>
                <w:color w:val="000000"/>
                <w:sz w:val="20"/>
                <w:szCs w:val="20"/>
                <w:lang w:eastAsia="ca-ES"/>
              </w:rPr>
            </w:pPr>
            <w:r w:rsidRPr="007507A8">
              <w:rPr>
                <w:rFonts w:eastAsia="Times New Roman" w:cs="Arial"/>
                <w:color w:val="000000"/>
                <w:sz w:val="20"/>
                <w:szCs w:val="20"/>
                <w:lang w:eastAsia="ca-ES"/>
              </w:rPr>
              <w:t>2.240</w:t>
            </w:r>
          </w:p>
        </w:tc>
        <w:tc>
          <w:tcPr>
            <w:tcW w:w="1417" w:type="dxa"/>
            <w:tcBorders>
              <w:top w:val="single" w:sz="4" w:space="0" w:color="auto"/>
              <w:left w:val="nil"/>
              <w:bottom w:val="single" w:sz="12" w:space="0" w:color="auto"/>
              <w:right w:val="nil"/>
            </w:tcBorders>
            <w:shd w:val="clear" w:color="auto" w:fill="auto"/>
            <w:noWrap/>
            <w:vAlign w:val="center"/>
            <w:hideMark/>
          </w:tcPr>
          <w:p w:rsidR="006A4109" w:rsidRPr="007507A8" w:rsidRDefault="006A4109" w:rsidP="00E930B2">
            <w:pPr>
              <w:jc w:val="right"/>
              <w:rPr>
                <w:rFonts w:eastAsia="Times New Roman" w:cs="Arial"/>
                <w:color w:val="000000"/>
                <w:sz w:val="20"/>
                <w:szCs w:val="20"/>
                <w:lang w:eastAsia="ca-ES"/>
              </w:rPr>
            </w:pPr>
            <w:r w:rsidRPr="007507A8">
              <w:rPr>
                <w:rFonts w:eastAsia="Times New Roman" w:cs="Arial"/>
                <w:color w:val="000000"/>
                <w:sz w:val="20"/>
                <w:szCs w:val="20"/>
                <w:lang w:eastAsia="ca-ES"/>
              </w:rPr>
              <w:t>2.059</w:t>
            </w:r>
          </w:p>
        </w:tc>
        <w:tc>
          <w:tcPr>
            <w:tcW w:w="1418" w:type="dxa"/>
            <w:tcBorders>
              <w:top w:val="single" w:sz="4" w:space="0" w:color="auto"/>
              <w:left w:val="nil"/>
              <w:bottom w:val="single" w:sz="12" w:space="0" w:color="auto"/>
              <w:right w:val="nil"/>
            </w:tcBorders>
            <w:shd w:val="clear" w:color="auto" w:fill="auto"/>
            <w:noWrap/>
            <w:vAlign w:val="center"/>
            <w:hideMark/>
          </w:tcPr>
          <w:p w:rsidR="006A4109" w:rsidRPr="007507A8" w:rsidRDefault="006A4109" w:rsidP="00E930B2">
            <w:pPr>
              <w:jc w:val="right"/>
              <w:rPr>
                <w:rFonts w:eastAsia="Times New Roman" w:cs="Arial"/>
                <w:color w:val="000000"/>
                <w:sz w:val="20"/>
                <w:szCs w:val="20"/>
                <w:lang w:eastAsia="ca-ES"/>
              </w:rPr>
            </w:pPr>
            <w:r w:rsidRPr="007507A8">
              <w:rPr>
                <w:rFonts w:eastAsia="Times New Roman" w:cs="Arial"/>
                <w:color w:val="000000"/>
                <w:sz w:val="20"/>
                <w:szCs w:val="20"/>
                <w:lang w:eastAsia="ca-ES"/>
              </w:rPr>
              <w:t>2.545</w:t>
            </w:r>
          </w:p>
        </w:tc>
      </w:tr>
    </w:tbl>
    <w:p w:rsidR="006A4109" w:rsidRPr="007507A8" w:rsidRDefault="006A4109" w:rsidP="00E930B2">
      <w:pPr>
        <w:rPr>
          <w:rFonts w:cs="Arial"/>
        </w:rPr>
      </w:pPr>
    </w:p>
    <w:p w:rsidR="006A4109" w:rsidRPr="007507A8" w:rsidRDefault="006A4109" w:rsidP="00E930B2">
      <w:pPr>
        <w:rPr>
          <w:rFonts w:cs="Arial"/>
        </w:rPr>
      </w:pPr>
      <w:r w:rsidRPr="007507A8">
        <w:rPr>
          <w:rFonts w:cs="Arial"/>
        </w:rPr>
        <w:t>Es detecta la necessitat de certificar i acreditar la formació professional per a l’ocupació que s’imparteix en els centres penitenciaris i educatius de justícia juvenil de Catalunya, amb l’objectiu que tingui una vàlua i reconeixement tant e</w:t>
      </w:r>
      <w:r>
        <w:rPr>
          <w:rFonts w:cs="Arial"/>
        </w:rPr>
        <w:t>n e</w:t>
      </w:r>
      <w:r w:rsidRPr="007507A8">
        <w:rPr>
          <w:rFonts w:cs="Arial"/>
        </w:rPr>
        <w:t xml:space="preserve">l context productiu català, com arreu del territori nacional. </w:t>
      </w:r>
    </w:p>
    <w:p w:rsidR="006A4109" w:rsidRDefault="006A4109" w:rsidP="00E930B2">
      <w:pPr>
        <w:spacing w:before="0"/>
        <w:jc w:val="left"/>
        <w:rPr>
          <w:rFonts w:cs="Arial"/>
          <w:u w:val="single"/>
        </w:rPr>
      </w:pPr>
    </w:p>
    <w:p w:rsidR="006A4109" w:rsidRPr="007507A8" w:rsidRDefault="006A4109" w:rsidP="00E930B2">
      <w:pPr>
        <w:rPr>
          <w:rFonts w:cs="Arial"/>
        </w:rPr>
      </w:pPr>
      <w:r w:rsidRPr="007507A8">
        <w:rPr>
          <w:rFonts w:cs="Arial"/>
        </w:rPr>
        <w:t>Especialitats d’accions formatives destinades a l’activitat del CIRE</w:t>
      </w:r>
    </w:p>
    <w:tbl>
      <w:tblPr>
        <w:tblW w:w="0" w:type="auto"/>
        <w:tblInd w:w="70" w:type="dxa"/>
        <w:tblCellMar>
          <w:left w:w="70" w:type="dxa"/>
          <w:right w:w="70" w:type="dxa"/>
        </w:tblCellMar>
        <w:tblLook w:val="04A0" w:firstRow="1" w:lastRow="0" w:firstColumn="1" w:lastColumn="0" w:noHBand="0" w:noVBand="1"/>
      </w:tblPr>
      <w:tblGrid>
        <w:gridCol w:w="1624"/>
        <w:gridCol w:w="575"/>
        <w:gridCol w:w="538"/>
        <w:gridCol w:w="509"/>
        <w:gridCol w:w="610"/>
        <w:gridCol w:w="545"/>
        <w:gridCol w:w="545"/>
        <w:gridCol w:w="582"/>
        <w:gridCol w:w="575"/>
        <w:gridCol w:w="762"/>
        <w:gridCol w:w="596"/>
        <w:gridCol w:w="466"/>
        <w:gridCol w:w="524"/>
        <w:gridCol w:w="690"/>
      </w:tblGrid>
      <w:tr w:rsidR="006A4109" w:rsidRPr="00664FF0" w:rsidTr="00E930B2">
        <w:trPr>
          <w:trHeight w:val="675"/>
        </w:trPr>
        <w:tc>
          <w:tcPr>
            <w:tcW w:w="1962" w:type="dxa"/>
            <w:tcBorders>
              <w:bottom w:val="single" w:sz="12" w:space="0" w:color="auto"/>
            </w:tcBorders>
            <w:shd w:val="clear" w:color="auto" w:fill="D9D9D9" w:themeFill="background1" w:themeFillShade="D9"/>
            <w:vAlign w:val="center"/>
            <w:hideMark/>
          </w:tcPr>
          <w:p w:rsidR="006A4109" w:rsidRPr="00664FF0" w:rsidRDefault="006A4109" w:rsidP="00E930B2">
            <w:pPr>
              <w:rPr>
                <w:rFonts w:eastAsiaTheme="minorEastAsia" w:cs="Arial"/>
                <w:b/>
                <w:sz w:val="16"/>
                <w:szCs w:val="16"/>
              </w:rPr>
            </w:pPr>
            <w:r w:rsidRPr="00664FF0">
              <w:rPr>
                <w:rFonts w:eastAsiaTheme="minorEastAsia" w:cs="Arial"/>
                <w:b/>
                <w:sz w:val="16"/>
                <w:szCs w:val="16"/>
              </w:rPr>
              <w:t>Formació relacionada</w:t>
            </w:r>
            <w:r>
              <w:rPr>
                <w:rFonts w:eastAsiaTheme="minorEastAsia" w:cs="Arial"/>
                <w:b/>
                <w:sz w:val="16"/>
                <w:szCs w:val="16"/>
              </w:rPr>
              <w:t xml:space="preserve"> </w:t>
            </w:r>
            <w:r w:rsidRPr="00664FF0">
              <w:rPr>
                <w:rFonts w:eastAsiaTheme="minorEastAsia" w:cs="Arial"/>
                <w:b/>
                <w:sz w:val="16"/>
                <w:szCs w:val="16"/>
              </w:rPr>
              <w:t xml:space="preserve">amb l’activitat </w:t>
            </w:r>
            <w:r>
              <w:rPr>
                <w:rFonts w:eastAsiaTheme="minorEastAsia" w:cs="Arial"/>
                <w:b/>
                <w:sz w:val="16"/>
                <w:szCs w:val="16"/>
              </w:rPr>
              <w:t xml:space="preserve">del </w:t>
            </w:r>
            <w:r w:rsidRPr="00664FF0">
              <w:rPr>
                <w:rFonts w:eastAsiaTheme="minorEastAsia" w:cs="Arial"/>
                <w:b/>
                <w:sz w:val="16"/>
                <w:szCs w:val="16"/>
              </w:rPr>
              <w:t>CIRE</w:t>
            </w:r>
          </w:p>
        </w:tc>
        <w:tc>
          <w:tcPr>
            <w:tcW w:w="0" w:type="auto"/>
            <w:tcBorders>
              <w:bottom w:val="single" w:sz="12" w:space="0" w:color="auto"/>
            </w:tcBorders>
            <w:shd w:val="clear" w:color="auto" w:fill="D9D9D9" w:themeFill="background1" w:themeFillShade="D9"/>
            <w:vAlign w:val="center"/>
            <w:hideMark/>
          </w:tcPr>
          <w:p w:rsidR="006A4109" w:rsidRPr="00664FF0" w:rsidRDefault="006A4109" w:rsidP="00E930B2">
            <w:pPr>
              <w:rPr>
                <w:rFonts w:eastAsiaTheme="minorEastAsia" w:cs="Arial"/>
                <w:b/>
                <w:sz w:val="16"/>
                <w:szCs w:val="16"/>
              </w:rPr>
            </w:pPr>
            <w:r w:rsidRPr="00664FF0">
              <w:rPr>
                <w:rFonts w:eastAsiaTheme="minorEastAsia" w:cs="Arial"/>
                <w:b/>
                <w:sz w:val="16"/>
                <w:szCs w:val="16"/>
              </w:rPr>
              <w:t>CP Homes</w:t>
            </w:r>
          </w:p>
        </w:tc>
        <w:tc>
          <w:tcPr>
            <w:tcW w:w="0" w:type="auto"/>
            <w:tcBorders>
              <w:bottom w:val="single" w:sz="12" w:space="0" w:color="auto"/>
            </w:tcBorders>
            <w:shd w:val="clear" w:color="auto" w:fill="D9D9D9" w:themeFill="background1" w:themeFillShade="D9"/>
            <w:vAlign w:val="center"/>
            <w:hideMark/>
          </w:tcPr>
          <w:p w:rsidR="006A4109" w:rsidRPr="00664FF0" w:rsidRDefault="006A4109" w:rsidP="00E930B2">
            <w:pPr>
              <w:rPr>
                <w:rFonts w:eastAsiaTheme="minorEastAsia" w:cs="Arial"/>
                <w:b/>
                <w:sz w:val="16"/>
                <w:szCs w:val="16"/>
              </w:rPr>
            </w:pPr>
            <w:r w:rsidRPr="00664FF0">
              <w:rPr>
                <w:rFonts w:eastAsiaTheme="minorEastAsia" w:cs="Arial"/>
                <w:b/>
                <w:sz w:val="16"/>
                <w:szCs w:val="16"/>
              </w:rPr>
              <w:t>CP Dones</w:t>
            </w:r>
          </w:p>
        </w:tc>
        <w:tc>
          <w:tcPr>
            <w:tcW w:w="0" w:type="auto"/>
            <w:tcBorders>
              <w:bottom w:val="single" w:sz="12" w:space="0" w:color="auto"/>
            </w:tcBorders>
            <w:shd w:val="clear" w:color="auto" w:fill="D9D9D9" w:themeFill="background1" w:themeFillShade="D9"/>
            <w:vAlign w:val="center"/>
            <w:hideMark/>
          </w:tcPr>
          <w:p w:rsidR="006A4109" w:rsidRPr="00664FF0" w:rsidRDefault="006A4109" w:rsidP="00E930B2">
            <w:pPr>
              <w:rPr>
                <w:rFonts w:eastAsiaTheme="minorEastAsia" w:cs="Arial"/>
                <w:b/>
                <w:sz w:val="16"/>
                <w:szCs w:val="16"/>
              </w:rPr>
            </w:pPr>
            <w:r w:rsidRPr="00664FF0">
              <w:rPr>
                <w:rFonts w:eastAsiaTheme="minorEastAsia" w:cs="Arial"/>
                <w:b/>
                <w:sz w:val="16"/>
                <w:szCs w:val="16"/>
              </w:rPr>
              <w:t xml:space="preserve">CP Joves </w:t>
            </w:r>
            <w:r w:rsidRPr="00664FF0">
              <w:rPr>
                <w:rFonts w:eastAsiaTheme="minorEastAsia" w:cs="Arial"/>
                <w:b/>
                <w:sz w:val="16"/>
                <w:szCs w:val="16"/>
              </w:rPr>
              <w:lastRenderedPageBreak/>
              <w:t>QC</w:t>
            </w:r>
          </w:p>
        </w:tc>
        <w:tc>
          <w:tcPr>
            <w:tcW w:w="0" w:type="auto"/>
            <w:tcBorders>
              <w:bottom w:val="single" w:sz="12" w:space="0" w:color="auto"/>
            </w:tcBorders>
            <w:shd w:val="clear" w:color="auto" w:fill="D9D9D9" w:themeFill="background1" w:themeFillShade="D9"/>
            <w:vAlign w:val="center"/>
            <w:hideMark/>
          </w:tcPr>
          <w:p w:rsidR="006A4109" w:rsidRPr="00664FF0" w:rsidRDefault="006A4109" w:rsidP="00E930B2">
            <w:pPr>
              <w:rPr>
                <w:rFonts w:eastAsiaTheme="minorEastAsia" w:cs="Arial"/>
                <w:b/>
                <w:sz w:val="16"/>
                <w:szCs w:val="16"/>
              </w:rPr>
            </w:pPr>
            <w:r w:rsidRPr="00664FF0">
              <w:rPr>
                <w:rFonts w:eastAsiaTheme="minorEastAsia" w:cs="Arial"/>
                <w:b/>
                <w:sz w:val="16"/>
                <w:szCs w:val="16"/>
              </w:rPr>
              <w:lastRenderedPageBreak/>
              <w:t>CP Quatre Cami</w:t>
            </w:r>
            <w:r w:rsidRPr="00664FF0">
              <w:rPr>
                <w:rFonts w:eastAsiaTheme="minorEastAsia" w:cs="Arial"/>
                <w:b/>
                <w:sz w:val="16"/>
                <w:szCs w:val="16"/>
              </w:rPr>
              <w:lastRenderedPageBreak/>
              <w:t>ns</w:t>
            </w:r>
          </w:p>
        </w:tc>
        <w:tc>
          <w:tcPr>
            <w:tcW w:w="0" w:type="auto"/>
            <w:tcBorders>
              <w:bottom w:val="single" w:sz="12" w:space="0" w:color="auto"/>
            </w:tcBorders>
            <w:shd w:val="clear" w:color="auto" w:fill="D9D9D9" w:themeFill="background1" w:themeFillShade="D9"/>
            <w:vAlign w:val="center"/>
            <w:hideMark/>
          </w:tcPr>
          <w:p w:rsidR="006A4109" w:rsidRPr="00664FF0" w:rsidRDefault="006A4109" w:rsidP="00E930B2">
            <w:pPr>
              <w:rPr>
                <w:rFonts w:eastAsiaTheme="minorEastAsia" w:cs="Arial"/>
                <w:b/>
                <w:sz w:val="16"/>
                <w:szCs w:val="16"/>
              </w:rPr>
            </w:pPr>
            <w:r w:rsidRPr="00664FF0">
              <w:rPr>
                <w:rFonts w:eastAsiaTheme="minorEastAsia" w:cs="Arial"/>
                <w:b/>
                <w:sz w:val="16"/>
                <w:szCs w:val="16"/>
              </w:rPr>
              <w:lastRenderedPageBreak/>
              <w:t>CP Brians 1</w:t>
            </w:r>
          </w:p>
        </w:tc>
        <w:tc>
          <w:tcPr>
            <w:tcW w:w="0" w:type="auto"/>
            <w:tcBorders>
              <w:bottom w:val="single" w:sz="12" w:space="0" w:color="auto"/>
            </w:tcBorders>
            <w:shd w:val="clear" w:color="auto" w:fill="D9D9D9" w:themeFill="background1" w:themeFillShade="D9"/>
            <w:vAlign w:val="center"/>
            <w:hideMark/>
          </w:tcPr>
          <w:p w:rsidR="006A4109" w:rsidRPr="00664FF0" w:rsidRDefault="006A4109" w:rsidP="00E930B2">
            <w:pPr>
              <w:rPr>
                <w:rFonts w:eastAsiaTheme="minorEastAsia" w:cs="Arial"/>
                <w:b/>
                <w:sz w:val="16"/>
                <w:szCs w:val="16"/>
              </w:rPr>
            </w:pPr>
            <w:r w:rsidRPr="00664FF0">
              <w:rPr>
                <w:rFonts w:eastAsiaTheme="minorEastAsia" w:cs="Arial"/>
                <w:b/>
                <w:sz w:val="16"/>
                <w:szCs w:val="16"/>
              </w:rPr>
              <w:t>CP Brians 2</w:t>
            </w:r>
          </w:p>
        </w:tc>
        <w:tc>
          <w:tcPr>
            <w:tcW w:w="0" w:type="auto"/>
            <w:tcBorders>
              <w:bottom w:val="single" w:sz="12" w:space="0" w:color="auto"/>
            </w:tcBorders>
            <w:shd w:val="clear" w:color="auto" w:fill="D9D9D9" w:themeFill="background1" w:themeFillShade="D9"/>
            <w:vAlign w:val="center"/>
            <w:hideMark/>
          </w:tcPr>
          <w:p w:rsidR="006A4109" w:rsidRPr="00664FF0" w:rsidRDefault="006A4109" w:rsidP="00E930B2">
            <w:pPr>
              <w:rPr>
                <w:rFonts w:eastAsiaTheme="minorEastAsia" w:cs="Arial"/>
                <w:b/>
                <w:sz w:val="16"/>
                <w:szCs w:val="16"/>
              </w:rPr>
            </w:pPr>
            <w:r w:rsidRPr="00664FF0">
              <w:rPr>
                <w:rFonts w:eastAsiaTheme="minorEastAsia" w:cs="Arial"/>
                <w:b/>
                <w:sz w:val="16"/>
                <w:szCs w:val="16"/>
              </w:rPr>
              <w:t>CP Ponent</w:t>
            </w:r>
          </w:p>
        </w:tc>
        <w:tc>
          <w:tcPr>
            <w:tcW w:w="0" w:type="auto"/>
            <w:tcBorders>
              <w:bottom w:val="single" w:sz="12" w:space="0" w:color="auto"/>
            </w:tcBorders>
            <w:shd w:val="clear" w:color="auto" w:fill="D9D9D9" w:themeFill="background1" w:themeFillShade="D9"/>
            <w:vAlign w:val="center"/>
            <w:hideMark/>
          </w:tcPr>
          <w:p w:rsidR="006A4109" w:rsidRPr="00664FF0" w:rsidRDefault="006A4109" w:rsidP="00E930B2">
            <w:pPr>
              <w:rPr>
                <w:rFonts w:eastAsiaTheme="minorEastAsia" w:cs="Arial"/>
                <w:b/>
                <w:sz w:val="16"/>
                <w:szCs w:val="16"/>
              </w:rPr>
            </w:pPr>
            <w:r w:rsidRPr="00664FF0">
              <w:rPr>
                <w:rFonts w:eastAsiaTheme="minorEastAsia" w:cs="Arial"/>
                <w:b/>
                <w:sz w:val="16"/>
                <w:szCs w:val="16"/>
              </w:rPr>
              <w:t>CP Raimat</w:t>
            </w:r>
          </w:p>
        </w:tc>
        <w:tc>
          <w:tcPr>
            <w:tcW w:w="0" w:type="auto"/>
            <w:tcBorders>
              <w:bottom w:val="single" w:sz="12" w:space="0" w:color="auto"/>
            </w:tcBorders>
            <w:shd w:val="clear" w:color="auto" w:fill="D9D9D9" w:themeFill="background1" w:themeFillShade="D9"/>
            <w:vAlign w:val="center"/>
            <w:hideMark/>
          </w:tcPr>
          <w:p w:rsidR="006A4109" w:rsidRPr="00664FF0" w:rsidRDefault="006A4109" w:rsidP="00E930B2">
            <w:pPr>
              <w:rPr>
                <w:rFonts w:eastAsiaTheme="minorEastAsia" w:cs="Arial"/>
                <w:b/>
                <w:sz w:val="16"/>
                <w:szCs w:val="16"/>
              </w:rPr>
            </w:pPr>
            <w:r w:rsidRPr="00664FF0">
              <w:rPr>
                <w:rFonts w:eastAsiaTheme="minorEastAsia" w:cs="Arial"/>
                <w:b/>
                <w:sz w:val="16"/>
                <w:szCs w:val="16"/>
              </w:rPr>
              <w:t>CP Lledoners</w:t>
            </w:r>
          </w:p>
        </w:tc>
        <w:tc>
          <w:tcPr>
            <w:tcW w:w="0" w:type="auto"/>
            <w:tcBorders>
              <w:bottom w:val="single" w:sz="12" w:space="0" w:color="auto"/>
            </w:tcBorders>
            <w:shd w:val="clear" w:color="auto" w:fill="D9D9D9" w:themeFill="background1" w:themeFillShade="D9"/>
            <w:vAlign w:val="center"/>
            <w:hideMark/>
          </w:tcPr>
          <w:p w:rsidR="006A4109" w:rsidRPr="00664FF0" w:rsidRDefault="006A4109" w:rsidP="00E930B2">
            <w:pPr>
              <w:rPr>
                <w:rFonts w:eastAsiaTheme="minorEastAsia" w:cs="Arial"/>
                <w:b/>
                <w:sz w:val="16"/>
                <w:szCs w:val="16"/>
              </w:rPr>
            </w:pPr>
            <w:r w:rsidRPr="00664FF0">
              <w:rPr>
                <w:rFonts w:eastAsiaTheme="minorEastAsia" w:cs="Arial"/>
                <w:b/>
                <w:sz w:val="16"/>
                <w:szCs w:val="16"/>
              </w:rPr>
              <w:t>CP Puig de les Bass</w:t>
            </w:r>
            <w:r w:rsidRPr="00664FF0">
              <w:rPr>
                <w:rFonts w:eastAsiaTheme="minorEastAsia" w:cs="Arial"/>
                <w:b/>
                <w:sz w:val="16"/>
                <w:szCs w:val="16"/>
              </w:rPr>
              <w:lastRenderedPageBreak/>
              <w:t>es</w:t>
            </w:r>
          </w:p>
        </w:tc>
        <w:tc>
          <w:tcPr>
            <w:tcW w:w="0" w:type="auto"/>
            <w:tcBorders>
              <w:bottom w:val="single" w:sz="12" w:space="0" w:color="auto"/>
            </w:tcBorders>
            <w:shd w:val="clear" w:color="auto" w:fill="D9D9D9" w:themeFill="background1" w:themeFillShade="D9"/>
            <w:vAlign w:val="center"/>
            <w:hideMark/>
          </w:tcPr>
          <w:p w:rsidR="006A4109" w:rsidRPr="00664FF0" w:rsidRDefault="006A4109" w:rsidP="00E930B2">
            <w:pPr>
              <w:rPr>
                <w:rFonts w:eastAsiaTheme="minorEastAsia" w:cs="Arial"/>
                <w:b/>
                <w:sz w:val="16"/>
                <w:szCs w:val="16"/>
              </w:rPr>
            </w:pPr>
            <w:r w:rsidRPr="00664FF0">
              <w:rPr>
                <w:rFonts w:eastAsiaTheme="minorEastAsia" w:cs="Arial"/>
                <w:b/>
                <w:sz w:val="16"/>
                <w:szCs w:val="16"/>
              </w:rPr>
              <w:lastRenderedPageBreak/>
              <w:t>CP Mas  Enri</w:t>
            </w:r>
            <w:r w:rsidRPr="00664FF0">
              <w:rPr>
                <w:rFonts w:eastAsiaTheme="minorEastAsia" w:cs="Arial"/>
                <w:b/>
                <w:sz w:val="16"/>
                <w:szCs w:val="16"/>
              </w:rPr>
              <w:lastRenderedPageBreak/>
              <w:t>c</w:t>
            </w:r>
          </w:p>
        </w:tc>
        <w:tc>
          <w:tcPr>
            <w:tcW w:w="0" w:type="auto"/>
            <w:tcBorders>
              <w:bottom w:val="single" w:sz="12" w:space="0" w:color="auto"/>
            </w:tcBorders>
            <w:shd w:val="clear" w:color="auto" w:fill="D9D9D9" w:themeFill="background1" w:themeFillShade="D9"/>
            <w:vAlign w:val="center"/>
            <w:hideMark/>
          </w:tcPr>
          <w:p w:rsidR="006A4109" w:rsidRPr="00664FF0" w:rsidRDefault="006A4109" w:rsidP="00E930B2">
            <w:pPr>
              <w:rPr>
                <w:rFonts w:eastAsiaTheme="minorEastAsia" w:cs="Arial"/>
                <w:b/>
                <w:sz w:val="16"/>
                <w:szCs w:val="16"/>
              </w:rPr>
            </w:pPr>
            <w:r w:rsidRPr="00664FF0">
              <w:rPr>
                <w:rFonts w:eastAsiaTheme="minorEastAsia" w:cs="Arial"/>
                <w:b/>
                <w:sz w:val="16"/>
                <w:szCs w:val="16"/>
              </w:rPr>
              <w:lastRenderedPageBreak/>
              <w:t>CE  Alzina</w:t>
            </w:r>
          </w:p>
        </w:tc>
        <w:tc>
          <w:tcPr>
            <w:tcW w:w="0" w:type="auto"/>
            <w:tcBorders>
              <w:bottom w:val="single" w:sz="12" w:space="0" w:color="auto"/>
            </w:tcBorders>
            <w:shd w:val="clear" w:color="auto" w:fill="D9D9D9" w:themeFill="background1" w:themeFillShade="D9"/>
            <w:vAlign w:val="center"/>
            <w:hideMark/>
          </w:tcPr>
          <w:p w:rsidR="006A4109" w:rsidRPr="00664FF0" w:rsidRDefault="006A4109" w:rsidP="00E930B2">
            <w:pPr>
              <w:rPr>
                <w:rFonts w:eastAsiaTheme="minorEastAsia" w:cs="Arial"/>
                <w:b/>
                <w:sz w:val="16"/>
                <w:szCs w:val="16"/>
              </w:rPr>
            </w:pPr>
            <w:r w:rsidRPr="00664FF0">
              <w:rPr>
                <w:rFonts w:eastAsiaTheme="minorEastAsia" w:cs="Arial"/>
                <w:b/>
                <w:sz w:val="16"/>
                <w:szCs w:val="16"/>
              </w:rPr>
              <w:t>A l’exterior</w:t>
            </w:r>
          </w:p>
        </w:tc>
      </w:tr>
      <w:tr w:rsidR="006A4109" w:rsidRPr="00664FF0" w:rsidTr="00E930B2">
        <w:trPr>
          <w:trHeight w:val="300"/>
        </w:trPr>
        <w:tc>
          <w:tcPr>
            <w:tcW w:w="1962" w:type="dxa"/>
            <w:tcBorders>
              <w:top w:val="single" w:sz="12" w:space="0" w:color="auto"/>
              <w:bottom w:val="single" w:sz="4" w:space="0" w:color="auto"/>
            </w:tcBorders>
            <w:shd w:val="clear" w:color="auto" w:fill="auto"/>
            <w:noWrap/>
            <w:vAlign w:val="center"/>
            <w:hideMark/>
          </w:tcPr>
          <w:p w:rsidR="006A4109" w:rsidRPr="00664FF0" w:rsidRDefault="006A4109" w:rsidP="00E930B2">
            <w:pPr>
              <w:rPr>
                <w:rFonts w:eastAsiaTheme="minorEastAsia" w:cs="Arial"/>
                <w:sz w:val="16"/>
                <w:szCs w:val="16"/>
              </w:rPr>
            </w:pPr>
            <w:r w:rsidRPr="00664FF0">
              <w:rPr>
                <w:rFonts w:eastAsiaTheme="minorEastAsia" w:cs="Arial"/>
                <w:sz w:val="16"/>
                <w:szCs w:val="16"/>
              </w:rPr>
              <w:lastRenderedPageBreak/>
              <w:t>Botiga</w:t>
            </w:r>
          </w:p>
        </w:tc>
        <w:tc>
          <w:tcPr>
            <w:tcW w:w="0" w:type="auto"/>
            <w:tcBorders>
              <w:top w:val="single" w:sz="12" w:space="0" w:color="auto"/>
              <w:bottom w:val="single" w:sz="4" w:space="0" w:color="auto"/>
            </w:tcBorders>
            <w:shd w:val="clear" w:color="auto" w:fill="auto"/>
            <w:vAlign w:val="center"/>
            <w:hideMark/>
          </w:tcPr>
          <w:p w:rsidR="006A4109" w:rsidRPr="00664FF0" w:rsidRDefault="006A4109" w:rsidP="00E930B2">
            <w:pPr>
              <w:rPr>
                <w:rFonts w:eastAsiaTheme="minorEastAsia" w:cs="Arial"/>
                <w:sz w:val="16"/>
                <w:szCs w:val="16"/>
              </w:rPr>
            </w:pPr>
            <w:r w:rsidRPr="00664FF0">
              <w:rPr>
                <w:rFonts w:eastAsiaTheme="minorEastAsia" w:cs="Arial"/>
                <w:sz w:val="16"/>
                <w:szCs w:val="16"/>
              </w:rPr>
              <w:t> </w:t>
            </w:r>
          </w:p>
        </w:tc>
        <w:tc>
          <w:tcPr>
            <w:tcW w:w="0" w:type="auto"/>
            <w:tcBorders>
              <w:top w:val="single" w:sz="12" w:space="0" w:color="auto"/>
              <w:bottom w:val="single" w:sz="4" w:space="0" w:color="auto"/>
            </w:tcBorders>
            <w:shd w:val="clear" w:color="auto" w:fill="auto"/>
            <w:vAlign w:val="center"/>
            <w:hideMark/>
          </w:tcPr>
          <w:p w:rsidR="006A4109" w:rsidRPr="00664FF0" w:rsidRDefault="006A4109" w:rsidP="00E930B2">
            <w:pPr>
              <w:rPr>
                <w:rFonts w:eastAsiaTheme="minorEastAsia" w:cs="Arial"/>
                <w:sz w:val="16"/>
                <w:szCs w:val="16"/>
              </w:rPr>
            </w:pPr>
            <w:r w:rsidRPr="00664FF0">
              <w:rPr>
                <w:rFonts w:eastAsiaTheme="minorEastAsia" w:cs="Arial"/>
                <w:sz w:val="16"/>
                <w:szCs w:val="16"/>
              </w:rPr>
              <w:t>√</w:t>
            </w:r>
          </w:p>
        </w:tc>
        <w:tc>
          <w:tcPr>
            <w:tcW w:w="0" w:type="auto"/>
            <w:tcBorders>
              <w:top w:val="single" w:sz="12" w:space="0" w:color="auto"/>
              <w:bottom w:val="single" w:sz="4" w:space="0" w:color="auto"/>
            </w:tcBorders>
            <w:shd w:val="clear" w:color="auto" w:fill="auto"/>
            <w:vAlign w:val="center"/>
            <w:hideMark/>
          </w:tcPr>
          <w:p w:rsidR="006A4109" w:rsidRPr="00664FF0" w:rsidRDefault="006A4109" w:rsidP="00E930B2">
            <w:pPr>
              <w:rPr>
                <w:rFonts w:eastAsiaTheme="minorEastAsia" w:cs="Arial"/>
                <w:sz w:val="16"/>
                <w:szCs w:val="16"/>
              </w:rPr>
            </w:pPr>
            <w:r w:rsidRPr="00664FF0">
              <w:rPr>
                <w:rFonts w:eastAsiaTheme="minorEastAsia" w:cs="Arial"/>
                <w:sz w:val="16"/>
                <w:szCs w:val="16"/>
              </w:rPr>
              <w:t> </w:t>
            </w:r>
          </w:p>
        </w:tc>
        <w:tc>
          <w:tcPr>
            <w:tcW w:w="0" w:type="auto"/>
            <w:tcBorders>
              <w:top w:val="single" w:sz="12" w:space="0" w:color="auto"/>
              <w:bottom w:val="single" w:sz="4" w:space="0" w:color="auto"/>
            </w:tcBorders>
            <w:shd w:val="clear" w:color="auto" w:fill="auto"/>
            <w:vAlign w:val="center"/>
            <w:hideMark/>
          </w:tcPr>
          <w:p w:rsidR="006A4109" w:rsidRPr="00664FF0" w:rsidRDefault="006A4109" w:rsidP="00E930B2">
            <w:pPr>
              <w:rPr>
                <w:rFonts w:eastAsiaTheme="minorEastAsia" w:cs="Arial"/>
                <w:sz w:val="16"/>
                <w:szCs w:val="16"/>
              </w:rPr>
            </w:pPr>
            <w:r w:rsidRPr="00664FF0">
              <w:rPr>
                <w:rFonts w:eastAsiaTheme="minorEastAsia" w:cs="Arial"/>
                <w:sz w:val="16"/>
                <w:szCs w:val="16"/>
              </w:rPr>
              <w:t> </w:t>
            </w:r>
          </w:p>
        </w:tc>
        <w:tc>
          <w:tcPr>
            <w:tcW w:w="0" w:type="auto"/>
            <w:tcBorders>
              <w:top w:val="single" w:sz="12" w:space="0" w:color="auto"/>
              <w:bottom w:val="single" w:sz="4" w:space="0" w:color="auto"/>
            </w:tcBorders>
            <w:shd w:val="clear" w:color="auto" w:fill="auto"/>
            <w:vAlign w:val="center"/>
            <w:hideMark/>
          </w:tcPr>
          <w:p w:rsidR="006A4109" w:rsidRPr="00664FF0" w:rsidRDefault="006A4109" w:rsidP="00E930B2">
            <w:pPr>
              <w:rPr>
                <w:rFonts w:eastAsiaTheme="minorEastAsia" w:cs="Arial"/>
                <w:sz w:val="16"/>
                <w:szCs w:val="16"/>
              </w:rPr>
            </w:pPr>
            <w:r w:rsidRPr="00664FF0">
              <w:rPr>
                <w:rFonts w:eastAsiaTheme="minorEastAsia" w:cs="Arial"/>
                <w:sz w:val="16"/>
                <w:szCs w:val="16"/>
              </w:rPr>
              <w:t>√</w:t>
            </w:r>
          </w:p>
        </w:tc>
        <w:tc>
          <w:tcPr>
            <w:tcW w:w="0" w:type="auto"/>
            <w:tcBorders>
              <w:top w:val="single" w:sz="12" w:space="0" w:color="auto"/>
              <w:bottom w:val="single" w:sz="4" w:space="0" w:color="auto"/>
            </w:tcBorders>
            <w:shd w:val="clear" w:color="auto" w:fill="auto"/>
            <w:vAlign w:val="center"/>
            <w:hideMark/>
          </w:tcPr>
          <w:p w:rsidR="006A4109" w:rsidRPr="00664FF0" w:rsidRDefault="006A4109" w:rsidP="00E930B2">
            <w:pPr>
              <w:rPr>
                <w:rFonts w:eastAsiaTheme="minorEastAsia" w:cs="Arial"/>
                <w:sz w:val="16"/>
                <w:szCs w:val="16"/>
              </w:rPr>
            </w:pPr>
            <w:r w:rsidRPr="00664FF0">
              <w:rPr>
                <w:rFonts w:eastAsiaTheme="minorEastAsia" w:cs="Arial"/>
                <w:sz w:val="16"/>
                <w:szCs w:val="16"/>
              </w:rPr>
              <w:t>√</w:t>
            </w:r>
          </w:p>
        </w:tc>
        <w:tc>
          <w:tcPr>
            <w:tcW w:w="0" w:type="auto"/>
            <w:tcBorders>
              <w:top w:val="single" w:sz="12" w:space="0" w:color="auto"/>
              <w:bottom w:val="single" w:sz="4" w:space="0" w:color="auto"/>
            </w:tcBorders>
            <w:shd w:val="clear" w:color="auto" w:fill="auto"/>
            <w:vAlign w:val="center"/>
            <w:hideMark/>
          </w:tcPr>
          <w:p w:rsidR="006A4109" w:rsidRPr="00664FF0" w:rsidRDefault="006A4109" w:rsidP="00E930B2">
            <w:pPr>
              <w:rPr>
                <w:rFonts w:eastAsiaTheme="minorEastAsia" w:cs="Arial"/>
                <w:sz w:val="16"/>
                <w:szCs w:val="16"/>
              </w:rPr>
            </w:pPr>
            <w:r w:rsidRPr="00664FF0">
              <w:rPr>
                <w:rFonts w:eastAsiaTheme="minorEastAsia" w:cs="Arial"/>
                <w:sz w:val="16"/>
                <w:szCs w:val="16"/>
              </w:rPr>
              <w:t>√</w:t>
            </w:r>
          </w:p>
        </w:tc>
        <w:tc>
          <w:tcPr>
            <w:tcW w:w="0" w:type="auto"/>
            <w:tcBorders>
              <w:top w:val="single" w:sz="12" w:space="0" w:color="auto"/>
              <w:bottom w:val="single" w:sz="4" w:space="0" w:color="auto"/>
            </w:tcBorders>
            <w:shd w:val="clear" w:color="auto" w:fill="auto"/>
            <w:vAlign w:val="center"/>
            <w:hideMark/>
          </w:tcPr>
          <w:p w:rsidR="006A4109" w:rsidRPr="00664FF0" w:rsidRDefault="006A4109" w:rsidP="00E930B2">
            <w:pPr>
              <w:rPr>
                <w:rFonts w:eastAsiaTheme="minorEastAsia" w:cs="Arial"/>
                <w:sz w:val="16"/>
                <w:szCs w:val="16"/>
              </w:rPr>
            </w:pPr>
            <w:r w:rsidRPr="00664FF0">
              <w:rPr>
                <w:rFonts w:eastAsiaTheme="minorEastAsia" w:cs="Arial"/>
                <w:sz w:val="16"/>
                <w:szCs w:val="16"/>
              </w:rPr>
              <w:t> </w:t>
            </w:r>
          </w:p>
        </w:tc>
        <w:tc>
          <w:tcPr>
            <w:tcW w:w="0" w:type="auto"/>
            <w:tcBorders>
              <w:top w:val="single" w:sz="12" w:space="0" w:color="auto"/>
              <w:bottom w:val="single" w:sz="4" w:space="0" w:color="auto"/>
            </w:tcBorders>
            <w:shd w:val="clear" w:color="auto" w:fill="auto"/>
            <w:vAlign w:val="center"/>
            <w:hideMark/>
          </w:tcPr>
          <w:p w:rsidR="006A4109" w:rsidRPr="00664FF0" w:rsidRDefault="006A4109" w:rsidP="00E930B2">
            <w:pPr>
              <w:rPr>
                <w:rFonts w:eastAsiaTheme="minorEastAsia" w:cs="Arial"/>
                <w:sz w:val="16"/>
                <w:szCs w:val="16"/>
              </w:rPr>
            </w:pPr>
            <w:r w:rsidRPr="00664FF0">
              <w:rPr>
                <w:rFonts w:eastAsiaTheme="minorEastAsia" w:cs="Arial"/>
                <w:sz w:val="16"/>
                <w:szCs w:val="16"/>
              </w:rPr>
              <w:t>√</w:t>
            </w:r>
          </w:p>
        </w:tc>
        <w:tc>
          <w:tcPr>
            <w:tcW w:w="0" w:type="auto"/>
            <w:tcBorders>
              <w:top w:val="single" w:sz="12" w:space="0" w:color="auto"/>
              <w:bottom w:val="single" w:sz="4" w:space="0" w:color="auto"/>
            </w:tcBorders>
            <w:shd w:val="clear" w:color="auto" w:fill="auto"/>
            <w:vAlign w:val="center"/>
            <w:hideMark/>
          </w:tcPr>
          <w:p w:rsidR="006A4109" w:rsidRPr="00664FF0" w:rsidRDefault="006A4109" w:rsidP="00E930B2">
            <w:pPr>
              <w:rPr>
                <w:rFonts w:eastAsiaTheme="minorEastAsia" w:cs="Arial"/>
                <w:sz w:val="16"/>
                <w:szCs w:val="16"/>
              </w:rPr>
            </w:pPr>
            <w:r w:rsidRPr="00664FF0">
              <w:rPr>
                <w:rFonts w:eastAsiaTheme="minorEastAsia" w:cs="Arial"/>
                <w:sz w:val="16"/>
                <w:szCs w:val="16"/>
              </w:rPr>
              <w:t>√</w:t>
            </w:r>
          </w:p>
        </w:tc>
        <w:tc>
          <w:tcPr>
            <w:tcW w:w="0" w:type="auto"/>
            <w:tcBorders>
              <w:top w:val="single" w:sz="12" w:space="0" w:color="auto"/>
              <w:bottom w:val="single" w:sz="4" w:space="0" w:color="auto"/>
            </w:tcBorders>
            <w:shd w:val="clear" w:color="auto" w:fill="auto"/>
            <w:vAlign w:val="center"/>
            <w:hideMark/>
          </w:tcPr>
          <w:p w:rsidR="006A4109" w:rsidRPr="00664FF0" w:rsidRDefault="006A4109" w:rsidP="00E930B2">
            <w:pPr>
              <w:rPr>
                <w:rFonts w:eastAsiaTheme="minorEastAsia" w:cs="Arial"/>
                <w:sz w:val="16"/>
                <w:szCs w:val="16"/>
              </w:rPr>
            </w:pPr>
            <w:r w:rsidRPr="00664FF0">
              <w:rPr>
                <w:rFonts w:eastAsiaTheme="minorEastAsia" w:cs="Arial"/>
                <w:sz w:val="16"/>
                <w:szCs w:val="16"/>
              </w:rPr>
              <w:t>√</w:t>
            </w:r>
          </w:p>
        </w:tc>
        <w:tc>
          <w:tcPr>
            <w:tcW w:w="0" w:type="auto"/>
            <w:tcBorders>
              <w:top w:val="single" w:sz="12" w:space="0" w:color="auto"/>
              <w:bottom w:val="single" w:sz="4" w:space="0" w:color="auto"/>
            </w:tcBorders>
            <w:shd w:val="clear" w:color="auto" w:fill="auto"/>
            <w:vAlign w:val="center"/>
            <w:hideMark/>
          </w:tcPr>
          <w:p w:rsidR="006A4109" w:rsidRPr="00664FF0" w:rsidRDefault="006A4109" w:rsidP="00E930B2">
            <w:pPr>
              <w:rPr>
                <w:rFonts w:eastAsiaTheme="minorEastAsia" w:cs="Arial"/>
                <w:sz w:val="16"/>
                <w:szCs w:val="16"/>
              </w:rPr>
            </w:pPr>
            <w:r w:rsidRPr="00664FF0">
              <w:rPr>
                <w:rFonts w:eastAsiaTheme="minorEastAsia" w:cs="Arial"/>
                <w:sz w:val="16"/>
                <w:szCs w:val="16"/>
              </w:rPr>
              <w:t> </w:t>
            </w:r>
          </w:p>
        </w:tc>
        <w:tc>
          <w:tcPr>
            <w:tcW w:w="0" w:type="auto"/>
            <w:tcBorders>
              <w:top w:val="single" w:sz="12" w:space="0" w:color="auto"/>
              <w:bottom w:val="single" w:sz="4" w:space="0" w:color="auto"/>
            </w:tcBorders>
            <w:shd w:val="clear" w:color="auto" w:fill="auto"/>
            <w:vAlign w:val="center"/>
            <w:hideMark/>
          </w:tcPr>
          <w:p w:rsidR="006A4109" w:rsidRPr="00664FF0" w:rsidRDefault="006A4109" w:rsidP="00E930B2">
            <w:pPr>
              <w:rPr>
                <w:rFonts w:eastAsiaTheme="minorEastAsia" w:cs="Arial"/>
                <w:sz w:val="16"/>
                <w:szCs w:val="16"/>
              </w:rPr>
            </w:pPr>
            <w:r w:rsidRPr="00664FF0">
              <w:rPr>
                <w:rFonts w:eastAsiaTheme="minorEastAsia" w:cs="Arial"/>
                <w:sz w:val="16"/>
                <w:szCs w:val="16"/>
              </w:rPr>
              <w:t> </w:t>
            </w:r>
          </w:p>
        </w:tc>
      </w:tr>
      <w:tr w:rsidR="006A4109" w:rsidRPr="00664FF0" w:rsidTr="00E930B2">
        <w:trPr>
          <w:trHeight w:val="300"/>
        </w:trPr>
        <w:tc>
          <w:tcPr>
            <w:tcW w:w="1962" w:type="dxa"/>
            <w:tcBorders>
              <w:top w:val="single" w:sz="4" w:space="0" w:color="auto"/>
              <w:bottom w:val="single" w:sz="4" w:space="0" w:color="auto"/>
            </w:tcBorders>
            <w:shd w:val="clear" w:color="auto" w:fill="auto"/>
            <w:noWrap/>
            <w:vAlign w:val="center"/>
            <w:hideMark/>
          </w:tcPr>
          <w:p w:rsidR="006A4109" w:rsidRPr="00664FF0" w:rsidRDefault="006A4109" w:rsidP="00E930B2">
            <w:pPr>
              <w:rPr>
                <w:rFonts w:eastAsiaTheme="minorEastAsia" w:cs="Arial"/>
                <w:sz w:val="16"/>
                <w:szCs w:val="16"/>
              </w:rPr>
            </w:pPr>
            <w:r w:rsidRPr="00664FF0">
              <w:rPr>
                <w:rFonts w:eastAsiaTheme="minorEastAsia" w:cs="Arial"/>
                <w:sz w:val="16"/>
                <w:szCs w:val="16"/>
              </w:rPr>
              <w:t>Bugaderia</w:t>
            </w:r>
          </w:p>
        </w:tc>
        <w:tc>
          <w:tcPr>
            <w:tcW w:w="0" w:type="auto"/>
            <w:tcBorders>
              <w:top w:val="single" w:sz="4" w:space="0" w:color="auto"/>
              <w:bottom w:val="single" w:sz="4" w:space="0" w:color="auto"/>
            </w:tcBorders>
            <w:shd w:val="clear" w:color="auto" w:fill="auto"/>
            <w:vAlign w:val="center"/>
            <w:hideMark/>
          </w:tcPr>
          <w:p w:rsidR="006A4109" w:rsidRPr="00664FF0" w:rsidRDefault="006A4109" w:rsidP="00E930B2">
            <w:pPr>
              <w:rPr>
                <w:rFonts w:eastAsiaTheme="minorEastAsia" w:cs="Arial"/>
                <w:sz w:val="16"/>
                <w:szCs w:val="16"/>
              </w:rPr>
            </w:pPr>
            <w:r w:rsidRPr="00664FF0">
              <w:rPr>
                <w:rFonts w:eastAsiaTheme="minorEastAsia" w:cs="Arial"/>
                <w:sz w:val="16"/>
                <w:szCs w:val="16"/>
              </w:rPr>
              <w:t> </w:t>
            </w:r>
          </w:p>
        </w:tc>
        <w:tc>
          <w:tcPr>
            <w:tcW w:w="0" w:type="auto"/>
            <w:tcBorders>
              <w:top w:val="single" w:sz="4" w:space="0" w:color="auto"/>
              <w:bottom w:val="single" w:sz="4" w:space="0" w:color="auto"/>
            </w:tcBorders>
            <w:shd w:val="clear" w:color="auto" w:fill="auto"/>
            <w:vAlign w:val="center"/>
            <w:hideMark/>
          </w:tcPr>
          <w:p w:rsidR="006A4109" w:rsidRPr="00664FF0" w:rsidRDefault="006A4109" w:rsidP="00E930B2">
            <w:pPr>
              <w:rPr>
                <w:rFonts w:eastAsiaTheme="minorEastAsia" w:cs="Arial"/>
                <w:sz w:val="16"/>
                <w:szCs w:val="16"/>
              </w:rPr>
            </w:pPr>
            <w:r w:rsidRPr="00664FF0">
              <w:rPr>
                <w:rFonts w:eastAsiaTheme="minorEastAsia" w:cs="Arial"/>
                <w:sz w:val="16"/>
                <w:szCs w:val="16"/>
              </w:rPr>
              <w:t>√</w:t>
            </w:r>
          </w:p>
        </w:tc>
        <w:tc>
          <w:tcPr>
            <w:tcW w:w="0" w:type="auto"/>
            <w:tcBorders>
              <w:top w:val="single" w:sz="4" w:space="0" w:color="auto"/>
              <w:bottom w:val="single" w:sz="4" w:space="0" w:color="auto"/>
            </w:tcBorders>
            <w:shd w:val="clear" w:color="auto" w:fill="auto"/>
            <w:vAlign w:val="center"/>
            <w:hideMark/>
          </w:tcPr>
          <w:p w:rsidR="006A4109" w:rsidRPr="00664FF0" w:rsidRDefault="006A4109" w:rsidP="00E930B2">
            <w:pPr>
              <w:rPr>
                <w:rFonts w:eastAsiaTheme="minorEastAsia" w:cs="Arial"/>
                <w:sz w:val="16"/>
                <w:szCs w:val="16"/>
              </w:rPr>
            </w:pPr>
            <w:r w:rsidRPr="00664FF0">
              <w:rPr>
                <w:rFonts w:eastAsiaTheme="minorEastAsia" w:cs="Arial"/>
                <w:sz w:val="16"/>
                <w:szCs w:val="16"/>
              </w:rPr>
              <w:t>√</w:t>
            </w:r>
          </w:p>
        </w:tc>
        <w:tc>
          <w:tcPr>
            <w:tcW w:w="0" w:type="auto"/>
            <w:tcBorders>
              <w:top w:val="single" w:sz="4" w:space="0" w:color="auto"/>
              <w:bottom w:val="single" w:sz="4" w:space="0" w:color="auto"/>
            </w:tcBorders>
            <w:shd w:val="clear" w:color="auto" w:fill="auto"/>
            <w:vAlign w:val="center"/>
            <w:hideMark/>
          </w:tcPr>
          <w:p w:rsidR="006A4109" w:rsidRPr="00664FF0" w:rsidRDefault="006A4109" w:rsidP="00E930B2">
            <w:pPr>
              <w:rPr>
                <w:rFonts w:eastAsiaTheme="minorEastAsia" w:cs="Arial"/>
                <w:sz w:val="16"/>
                <w:szCs w:val="16"/>
              </w:rPr>
            </w:pPr>
            <w:r w:rsidRPr="00664FF0">
              <w:rPr>
                <w:rFonts w:eastAsiaTheme="minorEastAsia" w:cs="Arial"/>
                <w:sz w:val="16"/>
                <w:szCs w:val="16"/>
              </w:rPr>
              <w:t> </w:t>
            </w:r>
          </w:p>
        </w:tc>
        <w:tc>
          <w:tcPr>
            <w:tcW w:w="0" w:type="auto"/>
            <w:tcBorders>
              <w:top w:val="single" w:sz="4" w:space="0" w:color="auto"/>
              <w:bottom w:val="single" w:sz="4" w:space="0" w:color="auto"/>
            </w:tcBorders>
            <w:shd w:val="clear" w:color="auto" w:fill="auto"/>
            <w:vAlign w:val="center"/>
            <w:hideMark/>
          </w:tcPr>
          <w:p w:rsidR="006A4109" w:rsidRPr="00664FF0" w:rsidRDefault="006A4109" w:rsidP="00E930B2">
            <w:pPr>
              <w:rPr>
                <w:rFonts w:eastAsiaTheme="minorEastAsia" w:cs="Arial"/>
                <w:sz w:val="16"/>
                <w:szCs w:val="16"/>
              </w:rPr>
            </w:pPr>
            <w:r w:rsidRPr="00664FF0">
              <w:rPr>
                <w:rFonts w:eastAsiaTheme="minorEastAsia" w:cs="Arial"/>
                <w:sz w:val="16"/>
                <w:szCs w:val="16"/>
              </w:rPr>
              <w:t> </w:t>
            </w:r>
          </w:p>
        </w:tc>
        <w:tc>
          <w:tcPr>
            <w:tcW w:w="0" w:type="auto"/>
            <w:tcBorders>
              <w:top w:val="single" w:sz="4" w:space="0" w:color="auto"/>
              <w:bottom w:val="single" w:sz="4" w:space="0" w:color="auto"/>
            </w:tcBorders>
            <w:shd w:val="clear" w:color="auto" w:fill="auto"/>
            <w:vAlign w:val="center"/>
            <w:hideMark/>
          </w:tcPr>
          <w:p w:rsidR="006A4109" w:rsidRPr="00664FF0" w:rsidRDefault="006A4109" w:rsidP="00E930B2">
            <w:pPr>
              <w:rPr>
                <w:rFonts w:eastAsiaTheme="minorEastAsia" w:cs="Arial"/>
                <w:sz w:val="16"/>
                <w:szCs w:val="16"/>
              </w:rPr>
            </w:pPr>
            <w:r w:rsidRPr="00664FF0">
              <w:rPr>
                <w:rFonts w:eastAsiaTheme="minorEastAsia" w:cs="Arial"/>
                <w:sz w:val="16"/>
                <w:szCs w:val="16"/>
              </w:rPr>
              <w:t>√</w:t>
            </w:r>
          </w:p>
        </w:tc>
        <w:tc>
          <w:tcPr>
            <w:tcW w:w="0" w:type="auto"/>
            <w:tcBorders>
              <w:top w:val="single" w:sz="4" w:space="0" w:color="auto"/>
              <w:bottom w:val="single" w:sz="4" w:space="0" w:color="auto"/>
            </w:tcBorders>
            <w:shd w:val="clear" w:color="auto" w:fill="auto"/>
            <w:vAlign w:val="center"/>
            <w:hideMark/>
          </w:tcPr>
          <w:p w:rsidR="006A4109" w:rsidRPr="00664FF0" w:rsidRDefault="006A4109" w:rsidP="00E930B2">
            <w:pPr>
              <w:rPr>
                <w:rFonts w:eastAsiaTheme="minorEastAsia" w:cs="Arial"/>
                <w:sz w:val="16"/>
                <w:szCs w:val="16"/>
              </w:rPr>
            </w:pPr>
            <w:r w:rsidRPr="00664FF0">
              <w:rPr>
                <w:rFonts w:eastAsiaTheme="minorEastAsia" w:cs="Arial"/>
                <w:sz w:val="16"/>
                <w:szCs w:val="16"/>
              </w:rPr>
              <w:t> </w:t>
            </w:r>
          </w:p>
        </w:tc>
        <w:tc>
          <w:tcPr>
            <w:tcW w:w="0" w:type="auto"/>
            <w:tcBorders>
              <w:top w:val="single" w:sz="4" w:space="0" w:color="auto"/>
              <w:bottom w:val="single" w:sz="4" w:space="0" w:color="auto"/>
            </w:tcBorders>
            <w:shd w:val="clear" w:color="auto" w:fill="auto"/>
            <w:vAlign w:val="center"/>
            <w:hideMark/>
          </w:tcPr>
          <w:p w:rsidR="006A4109" w:rsidRPr="00664FF0" w:rsidRDefault="006A4109" w:rsidP="00E930B2">
            <w:pPr>
              <w:rPr>
                <w:rFonts w:eastAsiaTheme="minorEastAsia" w:cs="Arial"/>
                <w:sz w:val="16"/>
                <w:szCs w:val="16"/>
              </w:rPr>
            </w:pPr>
            <w:r w:rsidRPr="00664FF0">
              <w:rPr>
                <w:rFonts w:eastAsiaTheme="minorEastAsia" w:cs="Arial"/>
                <w:sz w:val="16"/>
                <w:szCs w:val="16"/>
              </w:rPr>
              <w:t> </w:t>
            </w:r>
          </w:p>
        </w:tc>
        <w:tc>
          <w:tcPr>
            <w:tcW w:w="0" w:type="auto"/>
            <w:tcBorders>
              <w:top w:val="single" w:sz="4" w:space="0" w:color="auto"/>
              <w:bottom w:val="single" w:sz="4" w:space="0" w:color="auto"/>
            </w:tcBorders>
            <w:shd w:val="clear" w:color="auto" w:fill="auto"/>
            <w:vAlign w:val="center"/>
            <w:hideMark/>
          </w:tcPr>
          <w:p w:rsidR="006A4109" w:rsidRPr="00664FF0" w:rsidRDefault="006A4109" w:rsidP="00E930B2">
            <w:pPr>
              <w:rPr>
                <w:rFonts w:eastAsiaTheme="minorEastAsia" w:cs="Arial"/>
                <w:sz w:val="16"/>
                <w:szCs w:val="16"/>
              </w:rPr>
            </w:pPr>
            <w:r w:rsidRPr="00664FF0">
              <w:rPr>
                <w:rFonts w:eastAsiaTheme="minorEastAsia" w:cs="Arial"/>
                <w:sz w:val="16"/>
                <w:szCs w:val="16"/>
              </w:rPr>
              <w:t>√</w:t>
            </w:r>
          </w:p>
        </w:tc>
        <w:tc>
          <w:tcPr>
            <w:tcW w:w="0" w:type="auto"/>
            <w:tcBorders>
              <w:top w:val="single" w:sz="4" w:space="0" w:color="auto"/>
              <w:bottom w:val="single" w:sz="4" w:space="0" w:color="auto"/>
            </w:tcBorders>
            <w:shd w:val="clear" w:color="auto" w:fill="auto"/>
            <w:vAlign w:val="center"/>
            <w:hideMark/>
          </w:tcPr>
          <w:p w:rsidR="006A4109" w:rsidRPr="00664FF0" w:rsidRDefault="006A4109" w:rsidP="00E930B2">
            <w:pPr>
              <w:rPr>
                <w:rFonts w:eastAsiaTheme="minorEastAsia" w:cs="Arial"/>
                <w:sz w:val="16"/>
                <w:szCs w:val="16"/>
              </w:rPr>
            </w:pPr>
            <w:r w:rsidRPr="00664FF0">
              <w:rPr>
                <w:rFonts w:eastAsiaTheme="minorEastAsia" w:cs="Arial"/>
                <w:sz w:val="16"/>
                <w:szCs w:val="16"/>
              </w:rPr>
              <w:t>√</w:t>
            </w:r>
          </w:p>
        </w:tc>
        <w:tc>
          <w:tcPr>
            <w:tcW w:w="0" w:type="auto"/>
            <w:tcBorders>
              <w:top w:val="single" w:sz="4" w:space="0" w:color="auto"/>
              <w:bottom w:val="single" w:sz="4" w:space="0" w:color="auto"/>
            </w:tcBorders>
            <w:shd w:val="clear" w:color="auto" w:fill="auto"/>
            <w:vAlign w:val="center"/>
            <w:hideMark/>
          </w:tcPr>
          <w:p w:rsidR="006A4109" w:rsidRPr="00664FF0" w:rsidRDefault="006A4109" w:rsidP="00E930B2">
            <w:pPr>
              <w:rPr>
                <w:rFonts w:eastAsiaTheme="minorEastAsia" w:cs="Arial"/>
                <w:sz w:val="16"/>
                <w:szCs w:val="16"/>
              </w:rPr>
            </w:pPr>
            <w:r w:rsidRPr="00664FF0">
              <w:rPr>
                <w:rFonts w:eastAsiaTheme="minorEastAsia" w:cs="Arial"/>
                <w:sz w:val="16"/>
                <w:szCs w:val="16"/>
              </w:rPr>
              <w:t>√</w:t>
            </w:r>
          </w:p>
        </w:tc>
        <w:tc>
          <w:tcPr>
            <w:tcW w:w="0" w:type="auto"/>
            <w:tcBorders>
              <w:top w:val="single" w:sz="4" w:space="0" w:color="auto"/>
              <w:bottom w:val="single" w:sz="4" w:space="0" w:color="auto"/>
            </w:tcBorders>
            <w:shd w:val="clear" w:color="auto" w:fill="auto"/>
            <w:vAlign w:val="center"/>
            <w:hideMark/>
          </w:tcPr>
          <w:p w:rsidR="006A4109" w:rsidRPr="00664FF0" w:rsidRDefault="006A4109" w:rsidP="00E930B2">
            <w:pPr>
              <w:rPr>
                <w:rFonts w:eastAsiaTheme="minorEastAsia" w:cs="Arial"/>
                <w:sz w:val="16"/>
                <w:szCs w:val="16"/>
              </w:rPr>
            </w:pPr>
            <w:r w:rsidRPr="00664FF0">
              <w:rPr>
                <w:rFonts w:eastAsiaTheme="minorEastAsia" w:cs="Arial"/>
                <w:sz w:val="16"/>
                <w:szCs w:val="16"/>
              </w:rPr>
              <w:t> </w:t>
            </w:r>
          </w:p>
        </w:tc>
        <w:tc>
          <w:tcPr>
            <w:tcW w:w="0" w:type="auto"/>
            <w:tcBorders>
              <w:top w:val="single" w:sz="4" w:space="0" w:color="auto"/>
              <w:bottom w:val="single" w:sz="4" w:space="0" w:color="auto"/>
            </w:tcBorders>
            <w:shd w:val="clear" w:color="auto" w:fill="auto"/>
            <w:vAlign w:val="center"/>
            <w:hideMark/>
          </w:tcPr>
          <w:p w:rsidR="006A4109" w:rsidRPr="00664FF0" w:rsidRDefault="006A4109" w:rsidP="00E930B2">
            <w:pPr>
              <w:rPr>
                <w:rFonts w:eastAsiaTheme="minorEastAsia" w:cs="Arial"/>
                <w:sz w:val="16"/>
                <w:szCs w:val="16"/>
              </w:rPr>
            </w:pPr>
            <w:r w:rsidRPr="00664FF0">
              <w:rPr>
                <w:rFonts w:eastAsiaTheme="minorEastAsia" w:cs="Arial"/>
                <w:sz w:val="16"/>
                <w:szCs w:val="16"/>
              </w:rPr>
              <w:t> </w:t>
            </w:r>
          </w:p>
        </w:tc>
      </w:tr>
      <w:tr w:rsidR="006A4109" w:rsidRPr="00664FF0" w:rsidTr="00E930B2">
        <w:trPr>
          <w:trHeight w:val="300"/>
        </w:trPr>
        <w:tc>
          <w:tcPr>
            <w:tcW w:w="1962" w:type="dxa"/>
            <w:tcBorders>
              <w:top w:val="single" w:sz="4" w:space="0" w:color="auto"/>
              <w:bottom w:val="single" w:sz="4" w:space="0" w:color="auto"/>
            </w:tcBorders>
            <w:shd w:val="clear" w:color="auto" w:fill="auto"/>
            <w:noWrap/>
            <w:vAlign w:val="center"/>
            <w:hideMark/>
          </w:tcPr>
          <w:p w:rsidR="006A4109" w:rsidRPr="00664FF0" w:rsidRDefault="006A4109" w:rsidP="00E930B2">
            <w:pPr>
              <w:rPr>
                <w:rFonts w:eastAsiaTheme="minorEastAsia" w:cs="Arial"/>
                <w:sz w:val="16"/>
                <w:szCs w:val="16"/>
              </w:rPr>
            </w:pPr>
            <w:r w:rsidRPr="00664FF0">
              <w:rPr>
                <w:rFonts w:eastAsiaTheme="minorEastAsia" w:cs="Arial"/>
                <w:sz w:val="16"/>
                <w:szCs w:val="16"/>
              </w:rPr>
              <w:t>Carretons</w:t>
            </w:r>
          </w:p>
        </w:tc>
        <w:tc>
          <w:tcPr>
            <w:tcW w:w="0" w:type="auto"/>
            <w:tcBorders>
              <w:top w:val="single" w:sz="4" w:space="0" w:color="auto"/>
              <w:bottom w:val="single" w:sz="4" w:space="0" w:color="auto"/>
            </w:tcBorders>
            <w:shd w:val="clear" w:color="auto" w:fill="auto"/>
            <w:vAlign w:val="center"/>
            <w:hideMark/>
          </w:tcPr>
          <w:p w:rsidR="006A4109" w:rsidRPr="00664FF0" w:rsidRDefault="006A4109" w:rsidP="00E930B2">
            <w:pPr>
              <w:rPr>
                <w:rFonts w:eastAsiaTheme="minorEastAsia" w:cs="Arial"/>
                <w:sz w:val="16"/>
                <w:szCs w:val="16"/>
              </w:rPr>
            </w:pPr>
            <w:r w:rsidRPr="00664FF0">
              <w:rPr>
                <w:rFonts w:eastAsiaTheme="minorEastAsia" w:cs="Arial"/>
                <w:sz w:val="16"/>
                <w:szCs w:val="16"/>
              </w:rPr>
              <w:t>√</w:t>
            </w:r>
          </w:p>
        </w:tc>
        <w:tc>
          <w:tcPr>
            <w:tcW w:w="0" w:type="auto"/>
            <w:tcBorders>
              <w:top w:val="single" w:sz="4" w:space="0" w:color="auto"/>
              <w:bottom w:val="single" w:sz="4" w:space="0" w:color="auto"/>
            </w:tcBorders>
            <w:shd w:val="clear" w:color="auto" w:fill="auto"/>
            <w:vAlign w:val="center"/>
            <w:hideMark/>
          </w:tcPr>
          <w:p w:rsidR="006A4109" w:rsidRPr="00664FF0" w:rsidRDefault="006A4109" w:rsidP="00E930B2">
            <w:pPr>
              <w:rPr>
                <w:rFonts w:eastAsiaTheme="minorEastAsia" w:cs="Arial"/>
                <w:sz w:val="16"/>
                <w:szCs w:val="16"/>
              </w:rPr>
            </w:pPr>
            <w:r w:rsidRPr="00664FF0">
              <w:rPr>
                <w:rFonts w:eastAsiaTheme="minorEastAsia" w:cs="Arial"/>
                <w:sz w:val="16"/>
                <w:szCs w:val="16"/>
              </w:rPr>
              <w:t> </w:t>
            </w:r>
          </w:p>
        </w:tc>
        <w:tc>
          <w:tcPr>
            <w:tcW w:w="0" w:type="auto"/>
            <w:tcBorders>
              <w:top w:val="single" w:sz="4" w:space="0" w:color="auto"/>
              <w:bottom w:val="single" w:sz="4" w:space="0" w:color="auto"/>
            </w:tcBorders>
            <w:shd w:val="clear" w:color="auto" w:fill="auto"/>
            <w:vAlign w:val="center"/>
            <w:hideMark/>
          </w:tcPr>
          <w:p w:rsidR="006A4109" w:rsidRPr="00664FF0" w:rsidRDefault="006A4109" w:rsidP="00E930B2">
            <w:pPr>
              <w:rPr>
                <w:rFonts w:eastAsiaTheme="minorEastAsia" w:cs="Arial"/>
                <w:sz w:val="16"/>
                <w:szCs w:val="16"/>
              </w:rPr>
            </w:pPr>
            <w:r w:rsidRPr="00664FF0">
              <w:rPr>
                <w:rFonts w:eastAsiaTheme="minorEastAsia" w:cs="Arial"/>
                <w:sz w:val="16"/>
                <w:szCs w:val="16"/>
              </w:rPr>
              <w:t>√</w:t>
            </w:r>
          </w:p>
        </w:tc>
        <w:tc>
          <w:tcPr>
            <w:tcW w:w="0" w:type="auto"/>
            <w:tcBorders>
              <w:top w:val="single" w:sz="4" w:space="0" w:color="auto"/>
              <w:bottom w:val="single" w:sz="4" w:space="0" w:color="auto"/>
            </w:tcBorders>
            <w:shd w:val="clear" w:color="auto" w:fill="auto"/>
            <w:vAlign w:val="center"/>
            <w:hideMark/>
          </w:tcPr>
          <w:p w:rsidR="006A4109" w:rsidRPr="00664FF0" w:rsidRDefault="006A4109" w:rsidP="00E930B2">
            <w:pPr>
              <w:rPr>
                <w:rFonts w:eastAsiaTheme="minorEastAsia" w:cs="Arial"/>
                <w:sz w:val="16"/>
                <w:szCs w:val="16"/>
              </w:rPr>
            </w:pPr>
            <w:r w:rsidRPr="00664FF0">
              <w:rPr>
                <w:rFonts w:eastAsiaTheme="minorEastAsia" w:cs="Arial"/>
                <w:sz w:val="16"/>
                <w:szCs w:val="16"/>
              </w:rPr>
              <w:t>√</w:t>
            </w:r>
          </w:p>
        </w:tc>
        <w:tc>
          <w:tcPr>
            <w:tcW w:w="0" w:type="auto"/>
            <w:tcBorders>
              <w:top w:val="single" w:sz="4" w:space="0" w:color="auto"/>
              <w:bottom w:val="single" w:sz="4" w:space="0" w:color="auto"/>
            </w:tcBorders>
            <w:shd w:val="clear" w:color="auto" w:fill="auto"/>
            <w:vAlign w:val="center"/>
            <w:hideMark/>
          </w:tcPr>
          <w:p w:rsidR="006A4109" w:rsidRPr="00664FF0" w:rsidRDefault="006A4109" w:rsidP="00E930B2">
            <w:pPr>
              <w:rPr>
                <w:rFonts w:eastAsiaTheme="minorEastAsia" w:cs="Arial"/>
                <w:sz w:val="16"/>
                <w:szCs w:val="16"/>
              </w:rPr>
            </w:pPr>
            <w:r w:rsidRPr="00664FF0">
              <w:rPr>
                <w:rFonts w:eastAsiaTheme="minorEastAsia" w:cs="Arial"/>
                <w:sz w:val="16"/>
                <w:szCs w:val="16"/>
              </w:rPr>
              <w:t>√</w:t>
            </w:r>
          </w:p>
        </w:tc>
        <w:tc>
          <w:tcPr>
            <w:tcW w:w="0" w:type="auto"/>
            <w:tcBorders>
              <w:top w:val="single" w:sz="4" w:space="0" w:color="auto"/>
              <w:bottom w:val="single" w:sz="4" w:space="0" w:color="auto"/>
            </w:tcBorders>
            <w:shd w:val="clear" w:color="auto" w:fill="auto"/>
            <w:vAlign w:val="center"/>
            <w:hideMark/>
          </w:tcPr>
          <w:p w:rsidR="006A4109" w:rsidRPr="00664FF0" w:rsidRDefault="006A4109" w:rsidP="00E930B2">
            <w:pPr>
              <w:rPr>
                <w:rFonts w:eastAsiaTheme="minorEastAsia" w:cs="Arial"/>
                <w:sz w:val="16"/>
                <w:szCs w:val="16"/>
              </w:rPr>
            </w:pPr>
            <w:r w:rsidRPr="00664FF0">
              <w:rPr>
                <w:rFonts w:eastAsiaTheme="minorEastAsia" w:cs="Arial"/>
                <w:sz w:val="16"/>
                <w:szCs w:val="16"/>
              </w:rPr>
              <w:t>√</w:t>
            </w:r>
          </w:p>
        </w:tc>
        <w:tc>
          <w:tcPr>
            <w:tcW w:w="0" w:type="auto"/>
            <w:tcBorders>
              <w:top w:val="single" w:sz="4" w:space="0" w:color="auto"/>
              <w:bottom w:val="single" w:sz="4" w:space="0" w:color="auto"/>
            </w:tcBorders>
            <w:shd w:val="clear" w:color="auto" w:fill="auto"/>
            <w:vAlign w:val="center"/>
            <w:hideMark/>
          </w:tcPr>
          <w:p w:rsidR="006A4109" w:rsidRPr="00664FF0" w:rsidRDefault="006A4109" w:rsidP="00E930B2">
            <w:pPr>
              <w:rPr>
                <w:rFonts w:eastAsiaTheme="minorEastAsia" w:cs="Arial"/>
                <w:sz w:val="16"/>
                <w:szCs w:val="16"/>
              </w:rPr>
            </w:pPr>
            <w:r w:rsidRPr="00664FF0">
              <w:rPr>
                <w:rFonts w:eastAsiaTheme="minorEastAsia" w:cs="Arial"/>
                <w:sz w:val="16"/>
                <w:szCs w:val="16"/>
              </w:rPr>
              <w:t>√</w:t>
            </w:r>
          </w:p>
        </w:tc>
        <w:tc>
          <w:tcPr>
            <w:tcW w:w="0" w:type="auto"/>
            <w:tcBorders>
              <w:top w:val="single" w:sz="4" w:space="0" w:color="auto"/>
              <w:bottom w:val="single" w:sz="4" w:space="0" w:color="auto"/>
            </w:tcBorders>
            <w:shd w:val="clear" w:color="auto" w:fill="auto"/>
            <w:vAlign w:val="center"/>
            <w:hideMark/>
          </w:tcPr>
          <w:p w:rsidR="006A4109" w:rsidRPr="00664FF0" w:rsidRDefault="006A4109" w:rsidP="00E930B2">
            <w:pPr>
              <w:rPr>
                <w:rFonts w:eastAsiaTheme="minorEastAsia" w:cs="Arial"/>
                <w:sz w:val="16"/>
                <w:szCs w:val="16"/>
              </w:rPr>
            </w:pPr>
            <w:r w:rsidRPr="00664FF0">
              <w:rPr>
                <w:rFonts w:eastAsiaTheme="minorEastAsia" w:cs="Arial"/>
                <w:sz w:val="16"/>
                <w:szCs w:val="16"/>
              </w:rPr>
              <w:t>√</w:t>
            </w:r>
          </w:p>
        </w:tc>
        <w:tc>
          <w:tcPr>
            <w:tcW w:w="0" w:type="auto"/>
            <w:tcBorders>
              <w:top w:val="single" w:sz="4" w:space="0" w:color="auto"/>
              <w:bottom w:val="single" w:sz="4" w:space="0" w:color="auto"/>
            </w:tcBorders>
            <w:shd w:val="clear" w:color="auto" w:fill="auto"/>
            <w:vAlign w:val="center"/>
            <w:hideMark/>
          </w:tcPr>
          <w:p w:rsidR="006A4109" w:rsidRPr="00664FF0" w:rsidRDefault="006A4109" w:rsidP="00E930B2">
            <w:pPr>
              <w:rPr>
                <w:rFonts w:eastAsiaTheme="minorEastAsia" w:cs="Arial"/>
                <w:sz w:val="16"/>
                <w:szCs w:val="16"/>
              </w:rPr>
            </w:pPr>
            <w:r w:rsidRPr="00664FF0">
              <w:rPr>
                <w:rFonts w:eastAsiaTheme="minorEastAsia" w:cs="Arial"/>
                <w:sz w:val="16"/>
                <w:szCs w:val="16"/>
              </w:rPr>
              <w:t>√</w:t>
            </w:r>
          </w:p>
        </w:tc>
        <w:tc>
          <w:tcPr>
            <w:tcW w:w="0" w:type="auto"/>
            <w:tcBorders>
              <w:top w:val="single" w:sz="4" w:space="0" w:color="auto"/>
              <w:bottom w:val="single" w:sz="4" w:space="0" w:color="auto"/>
            </w:tcBorders>
            <w:shd w:val="clear" w:color="auto" w:fill="auto"/>
            <w:vAlign w:val="center"/>
            <w:hideMark/>
          </w:tcPr>
          <w:p w:rsidR="006A4109" w:rsidRPr="00664FF0" w:rsidRDefault="006A4109" w:rsidP="00E930B2">
            <w:pPr>
              <w:rPr>
                <w:rFonts w:eastAsiaTheme="minorEastAsia" w:cs="Arial"/>
                <w:sz w:val="16"/>
                <w:szCs w:val="16"/>
              </w:rPr>
            </w:pPr>
            <w:r w:rsidRPr="00664FF0">
              <w:rPr>
                <w:rFonts w:eastAsiaTheme="minorEastAsia" w:cs="Arial"/>
                <w:sz w:val="16"/>
                <w:szCs w:val="16"/>
              </w:rPr>
              <w:t>√</w:t>
            </w:r>
          </w:p>
        </w:tc>
        <w:tc>
          <w:tcPr>
            <w:tcW w:w="0" w:type="auto"/>
            <w:tcBorders>
              <w:top w:val="single" w:sz="4" w:space="0" w:color="auto"/>
              <w:bottom w:val="single" w:sz="4" w:space="0" w:color="auto"/>
            </w:tcBorders>
            <w:shd w:val="clear" w:color="auto" w:fill="auto"/>
            <w:vAlign w:val="center"/>
            <w:hideMark/>
          </w:tcPr>
          <w:p w:rsidR="006A4109" w:rsidRPr="00664FF0" w:rsidRDefault="006A4109" w:rsidP="00E930B2">
            <w:pPr>
              <w:rPr>
                <w:rFonts w:eastAsiaTheme="minorEastAsia" w:cs="Arial"/>
                <w:sz w:val="16"/>
                <w:szCs w:val="16"/>
              </w:rPr>
            </w:pPr>
            <w:r w:rsidRPr="00664FF0">
              <w:rPr>
                <w:rFonts w:eastAsiaTheme="minorEastAsia" w:cs="Arial"/>
                <w:sz w:val="16"/>
                <w:szCs w:val="16"/>
              </w:rPr>
              <w:t>√</w:t>
            </w:r>
          </w:p>
        </w:tc>
        <w:tc>
          <w:tcPr>
            <w:tcW w:w="0" w:type="auto"/>
            <w:tcBorders>
              <w:top w:val="single" w:sz="4" w:space="0" w:color="auto"/>
              <w:bottom w:val="single" w:sz="4" w:space="0" w:color="auto"/>
            </w:tcBorders>
            <w:shd w:val="clear" w:color="auto" w:fill="auto"/>
            <w:vAlign w:val="center"/>
            <w:hideMark/>
          </w:tcPr>
          <w:p w:rsidR="006A4109" w:rsidRPr="00664FF0" w:rsidRDefault="006A4109" w:rsidP="00E930B2">
            <w:pPr>
              <w:rPr>
                <w:rFonts w:eastAsiaTheme="minorEastAsia" w:cs="Arial"/>
                <w:sz w:val="16"/>
                <w:szCs w:val="16"/>
              </w:rPr>
            </w:pPr>
            <w:r w:rsidRPr="00664FF0">
              <w:rPr>
                <w:rFonts w:eastAsiaTheme="minorEastAsia" w:cs="Arial"/>
                <w:sz w:val="16"/>
                <w:szCs w:val="16"/>
              </w:rPr>
              <w:t>√</w:t>
            </w:r>
          </w:p>
        </w:tc>
        <w:tc>
          <w:tcPr>
            <w:tcW w:w="0" w:type="auto"/>
            <w:tcBorders>
              <w:top w:val="single" w:sz="4" w:space="0" w:color="auto"/>
              <w:bottom w:val="single" w:sz="4" w:space="0" w:color="auto"/>
            </w:tcBorders>
            <w:shd w:val="clear" w:color="auto" w:fill="auto"/>
            <w:vAlign w:val="center"/>
            <w:hideMark/>
          </w:tcPr>
          <w:p w:rsidR="006A4109" w:rsidRPr="00664FF0" w:rsidRDefault="006A4109" w:rsidP="00E930B2">
            <w:pPr>
              <w:rPr>
                <w:rFonts w:eastAsiaTheme="minorEastAsia" w:cs="Arial"/>
                <w:sz w:val="16"/>
                <w:szCs w:val="16"/>
              </w:rPr>
            </w:pPr>
            <w:r w:rsidRPr="00664FF0">
              <w:rPr>
                <w:rFonts w:eastAsiaTheme="minorEastAsia" w:cs="Arial"/>
                <w:sz w:val="16"/>
                <w:szCs w:val="16"/>
              </w:rPr>
              <w:t> </w:t>
            </w:r>
          </w:p>
        </w:tc>
      </w:tr>
      <w:tr w:rsidR="006A4109" w:rsidRPr="00664FF0" w:rsidTr="00E930B2">
        <w:trPr>
          <w:trHeight w:val="300"/>
        </w:trPr>
        <w:tc>
          <w:tcPr>
            <w:tcW w:w="1962" w:type="dxa"/>
            <w:tcBorders>
              <w:top w:val="single" w:sz="4" w:space="0" w:color="auto"/>
              <w:bottom w:val="single" w:sz="4" w:space="0" w:color="auto"/>
            </w:tcBorders>
            <w:shd w:val="clear" w:color="auto" w:fill="auto"/>
            <w:noWrap/>
            <w:vAlign w:val="center"/>
            <w:hideMark/>
          </w:tcPr>
          <w:p w:rsidR="006A4109" w:rsidRPr="00664FF0" w:rsidRDefault="006A4109" w:rsidP="00E930B2">
            <w:pPr>
              <w:rPr>
                <w:rFonts w:eastAsiaTheme="minorEastAsia" w:cs="Arial"/>
                <w:sz w:val="16"/>
                <w:szCs w:val="16"/>
              </w:rPr>
            </w:pPr>
            <w:r w:rsidRPr="00664FF0">
              <w:rPr>
                <w:rFonts w:eastAsiaTheme="minorEastAsia" w:cs="Arial"/>
                <w:sz w:val="16"/>
                <w:szCs w:val="16"/>
              </w:rPr>
              <w:t>Confecció</w:t>
            </w:r>
          </w:p>
        </w:tc>
        <w:tc>
          <w:tcPr>
            <w:tcW w:w="0" w:type="auto"/>
            <w:tcBorders>
              <w:top w:val="single" w:sz="4" w:space="0" w:color="auto"/>
              <w:bottom w:val="single" w:sz="4" w:space="0" w:color="auto"/>
            </w:tcBorders>
            <w:shd w:val="clear" w:color="auto" w:fill="auto"/>
            <w:vAlign w:val="center"/>
            <w:hideMark/>
          </w:tcPr>
          <w:p w:rsidR="006A4109" w:rsidRPr="00664FF0" w:rsidRDefault="006A4109" w:rsidP="00E930B2">
            <w:pPr>
              <w:rPr>
                <w:rFonts w:eastAsiaTheme="minorEastAsia" w:cs="Arial"/>
                <w:sz w:val="16"/>
                <w:szCs w:val="16"/>
              </w:rPr>
            </w:pPr>
            <w:r w:rsidRPr="00664FF0">
              <w:rPr>
                <w:rFonts w:eastAsiaTheme="minorEastAsia" w:cs="Arial"/>
                <w:sz w:val="16"/>
                <w:szCs w:val="16"/>
              </w:rPr>
              <w:t> </w:t>
            </w:r>
          </w:p>
        </w:tc>
        <w:tc>
          <w:tcPr>
            <w:tcW w:w="0" w:type="auto"/>
            <w:tcBorders>
              <w:top w:val="single" w:sz="4" w:space="0" w:color="auto"/>
              <w:bottom w:val="single" w:sz="4" w:space="0" w:color="auto"/>
            </w:tcBorders>
            <w:shd w:val="clear" w:color="auto" w:fill="auto"/>
            <w:vAlign w:val="center"/>
            <w:hideMark/>
          </w:tcPr>
          <w:p w:rsidR="006A4109" w:rsidRPr="00664FF0" w:rsidRDefault="006A4109" w:rsidP="00E930B2">
            <w:pPr>
              <w:rPr>
                <w:rFonts w:eastAsiaTheme="minorEastAsia" w:cs="Arial"/>
                <w:sz w:val="16"/>
                <w:szCs w:val="16"/>
              </w:rPr>
            </w:pPr>
            <w:r w:rsidRPr="00664FF0">
              <w:rPr>
                <w:rFonts w:eastAsiaTheme="minorEastAsia" w:cs="Arial"/>
                <w:sz w:val="16"/>
                <w:szCs w:val="16"/>
              </w:rPr>
              <w:t> </w:t>
            </w:r>
          </w:p>
        </w:tc>
        <w:tc>
          <w:tcPr>
            <w:tcW w:w="0" w:type="auto"/>
            <w:tcBorders>
              <w:top w:val="single" w:sz="4" w:space="0" w:color="auto"/>
              <w:bottom w:val="single" w:sz="4" w:space="0" w:color="auto"/>
            </w:tcBorders>
            <w:shd w:val="clear" w:color="auto" w:fill="auto"/>
            <w:vAlign w:val="center"/>
            <w:hideMark/>
          </w:tcPr>
          <w:p w:rsidR="006A4109" w:rsidRPr="00664FF0" w:rsidRDefault="006A4109" w:rsidP="00E930B2">
            <w:pPr>
              <w:rPr>
                <w:rFonts w:eastAsiaTheme="minorEastAsia" w:cs="Arial"/>
                <w:sz w:val="16"/>
                <w:szCs w:val="16"/>
              </w:rPr>
            </w:pPr>
            <w:r w:rsidRPr="00664FF0">
              <w:rPr>
                <w:rFonts w:eastAsiaTheme="minorEastAsia" w:cs="Arial"/>
                <w:sz w:val="16"/>
                <w:szCs w:val="16"/>
              </w:rPr>
              <w:t> </w:t>
            </w:r>
          </w:p>
        </w:tc>
        <w:tc>
          <w:tcPr>
            <w:tcW w:w="0" w:type="auto"/>
            <w:tcBorders>
              <w:top w:val="single" w:sz="4" w:space="0" w:color="auto"/>
              <w:bottom w:val="single" w:sz="4" w:space="0" w:color="auto"/>
            </w:tcBorders>
            <w:shd w:val="clear" w:color="auto" w:fill="auto"/>
            <w:vAlign w:val="center"/>
            <w:hideMark/>
          </w:tcPr>
          <w:p w:rsidR="006A4109" w:rsidRPr="00664FF0" w:rsidRDefault="006A4109" w:rsidP="00E930B2">
            <w:pPr>
              <w:rPr>
                <w:rFonts w:eastAsiaTheme="minorEastAsia" w:cs="Arial"/>
                <w:sz w:val="16"/>
                <w:szCs w:val="16"/>
              </w:rPr>
            </w:pPr>
            <w:r w:rsidRPr="00664FF0">
              <w:rPr>
                <w:rFonts w:eastAsiaTheme="minorEastAsia" w:cs="Arial"/>
                <w:sz w:val="16"/>
                <w:szCs w:val="16"/>
              </w:rPr>
              <w:t> </w:t>
            </w:r>
          </w:p>
        </w:tc>
        <w:tc>
          <w:tcPr>
            <w:tcW w:w="0" w:type="auto"/>
            <w:tcBorders>
              <w:top w:val="single" w:sz="4" w:space="0" w:color="auto"/>
              <w:bottom w:val="single" w:sz="4" w:space="0" w:color="auto"/>
            </w:tcBorders>
            <w:shd w:val="clear" w:color="auto" w:fill="auto"/>
            <w:vAlign w:val="center"/>
            <w:hideMark/>
          </w:tcPr>
          <w:p w:rsidR="006A4109" w:rsidRPr="00664FF0" w:rsidRDefault="006A4109" w:rsidP="00E930B2">
            <w:pPr>
              <w:rPr>
                <w:rFonts w:eastAsiaTheme="minorEastAsia" w:cs="Arial"/>
                <w:sz w:val="16"/>
                <w:szCs w:val="16"/>
              </w:rPr>
            </w:pPr>
            <w:r w:rsidRPr="00664FF0">
              <w:rPr>
                <w:rFonts w:eastAsiaTheme="minorEastAsia" w:cs="Arial"/>
                <w:sz w:val="16"/>
                <w:szCs w:val="16"/>
              </w:rPr>
              <w:t> </w:t>
            </w:r>
          </w:p>
        </w:tc>
        <w:tc>
          <w:tcPr>
            <w:tcW w:w="0" w:type="auto"/>
            <w:tcBorders>
              <w:top w:val="single" w:sz="4" w:space="0" w:color="auto"/>
              <w:bottom w:val="single" w:sz="4" w:space="0" w:color="auto"/>
            </w:tcBorders>
            <w:shd w:val="clear" w:color="auto" w:fill="auto"/>
            <w:vAlign w:val="center"/>
            <w:hideMark/>
          </w:tcPr>
          <w:p w:rsidR="006A4109" w:rsidRPr="00664FF0" w:rsidRDefault="006A4109" w:rsidP="00E930B2">
            <w:pPr>
              <w:rPr>
                <w:rFonts w:eastAsiaTheme="minorEastAsia" w:cs="Arial"/>
                <w:sz w:val="16"/>
                <w:szCs w:val="16"/>
              </w:rPr>
            </w:pPr>
            <w:r w:rsidRPr="00664FF0">
              <w:rPr>
                <w:rFonts w:eastAsiaTheme="minorEastAsia" w:cs="Arial"/>
                <w:sz w:val="16"/>
                <w:szCs w:val="16"/>
              </w:rPr>
              <w:t> </w:t>
            </w:r>
          </w:p>
        </w:tc>
        <w:tc>
          <w:tcPr>
            <w:tcW w:w="0" w:type="auto"/>
            <w:tcBorders>
              <w:top w:val="single" w:sz="4" w:space="0" w:color="auto"/>
              <w:bottom w:val="single" w:sz="4" w:space="0" w:color="auto"/>
            </w:tcBorders>
            <w:shd w:val="clear" w:color="auto" w:fill="auto"/>
            <w:vAlign w:val="center"/>
            <w:hideMark/>
          </w:tcPr>
          <w:p w:rsidR="006A4109" w:rsidRPr="00664FF0" w:rsidRDefault="006A4109" w:rsidP="00E930B2">
            <w:pPr>
              <w:rPr>
                <w:rFonts w:eastAsiaTheme="minorEastAsia" w:cs="Arial"/>
                <w:sz w:val="16"/>
                <w:szCs w:val="16"/>
              </w:rPr>
            </w:pPr>
            <w:r w:rsidRPr="00664FF0">
              <w:rPr>
                <w:rFonts w:eastAsiaTheme="minorEastAsia" w:cs="Arial"/>
                <w:sz w:val="16"/>
                <w:szCs w:val="16"/>
              </w:rPr>
              <w:t> </w:t>
            </w:r>
          </w:p>
        </w:tc>
        <w:tc>
          <w:tcPr>
            <w:tcW w:w="0" w:type="auto"/>
            <w:tcBorders>
              <w:top w:val="single" w:sz="4" w:space="0" w:color="auto"/>
              <w:bottom w:val="single" w:sz="4" w:space="0" w:color="auto"/>
            </w:tcBorders>
            <w:shd w:val="clear" w:color="auto" w:fill="auto"/>
            <w:vAlign w:val="center"/>
            <w:hideMark/>
          </w:tcPr>
          <w:p w:rsidR="006A4109" w:rsidRPr="00664FF0" w:rsidRDefault="006A4109" w:rsidP="00E930B2">
            <w:pPr>
              <w:rPr>
                <w:rFonts w:eastAsiaTheme="minorEastAsia" w:cs="Arial"/>
                <w:sz w:val="16"/>
                <w:szCs w:val="16"/>
              </w:rPr>
            </w:pPr>
            <w:r w:rsidRPr="00664FF0">
              <w:rPr>
                <w:rFonts w:eastAsiaTheme="minorEastAsia" w:cs="Arial"/>
                <w:sz w:val="16"/>
                <w:szCs w:val="16"/>
              </w:rPr>
              <w:t> </w:t>
            </w:r>
          </w:p>
        </w:tc>
        <w:tc>
          <w:tcPr>
            <w:tcW w:w="0" w:type="auto"/>
            <w:tcBorders>
              <w:top w:val="single" w:sz="4" w:space="0" w:color="auto"/>
              <w:bottom w:val="single" w:sz="4" w:space="0" w:color="auto"/>
            </w:tcBorders>
            <w:shd w:val="clear" w:color="auto" w:fill="auto"/>
            <w:vAlign w:val="center"/>
            <w:hideMark/>
          </w:tcPr>
          <w:p w:rsidR="006A4109" w:rsidRPr="00664FF0" w:rsidRDefault="006A4109" w:rsidP="00E930B2">
            <w:pPr>
              <w:rPr>
                <w:rFonts w:eastAsiaTheme="minorEastAsia" w:cs="Arial"/>
                <w:sz w:val="16"/>
                <w:szCs w:val="16"/>
              </w:rPr>
            </w:pPr>
            <w:r w:rsidRPr="00664FF0">
              <w:rPr>
                <w:rFonts w:eastAsiaTheme="minorEastAsia" w:cs="Arial"/>
                <w:sz w:val="16"/>
                <w:szCs w:val="16"/>
              </w:rPr>
              <w:t> </w:t>
            </w:r>
          </w:p>
        </w:tc>
        <w:tc>
          <w:tcPr>
            <w:tcW w:w="0" w:type="auto"/>
            <w:tcBorders>
              <w:top w:val="single" w:sz="4" w:space="0" w:color="auto"/>
              <w:bottom w:val="single" w:sz="4" w:space="0" w:color="auto"/>
            </w:tcBorders>
            <w:shd w:val="clear" w:color="auto" w:fill="auto"/>
            <w:vAlign w:val="center"/>
            <w:hideMark/>
          </w:tcPr>
          <w:p w:rsidR="006A4109" w:rsidRPr="00664FF0" w:rsidRDefault="006A4109" w:rsidP="00E930B2">
            <w:pPr>
              <w:rPr>
                <w:rFonts w:eastAsiaTheme="minorEastAsia" w:cs="Arial"/>
                <w:sz w:val="16"/>
                <w:szCs w:val="16"/>
              </w:rPr>
            </w:pPr>
            <w:r w:rsidRPr="00664FF0">
              <w:rPr>
                <w:rFonts w:eastAsiaTheme="minorEastAsia" w:cs="Arial"/>
                <w:sz w:val="16"/>
                <w:szCs w:val="16"/>
              </w:rPr>
              <w:t> </w:t>
            </w:r>
          </w:p>
        </w:tc>
        <w:tc>
          <w:tcPr>
            <w:tcW w:w="0" w:type="auto"/>
            <w:tcBorders>
              <w:top w:val="single" w:sz="4" w:space="0" w:color="auto"/>
              <w:bottom w:val="single" w:sz="4" w:space="0" w:color="auto"/>
            </w:tcBorders>
            <w:shd w:val="clear" w:color="auto" w:fill="auto"/>
            <w:vAlign w:val="center"/>
            <w:hideMark/>
          </w:tcPr>
          <w:p w:rsidR="006A4109" w:rsidRPr="00664FF0" w:rsidRDefault="006A4109" w:rsidP="00E930B2">
            <w:pPr>
              <w:rPr>
                <w:rFonts w:eastAsiaTheme="minorEastAsia" w:cs="Arial"/>
                <w:sz w:val="16"/>
                <w:szCs w:val="16"/>
              </w:rPr>
            </w:pPr>
            <w:r w:rsidRPr="00664FF0">
              <w:rPr>
                <w:rFonts w:eastAsiaTheme="minorEastAsia" w:cs="Arial"/>
                <w:sz w:val="16"/>
                <w:szCs w:val="16"/>
              </w:rPr>
              <w:t> </w:t>
            </w:r>
          </w:p>
        </w:tc>
        <w:tc>
          <w:tcPr>
            <w:tcW w:w="0" w:type="auto"/>
            <w:tcBorders>
              <w:top w:val="single" w:sz="4" w:space="0" w:color="auto"/>
              <w:bottom w:val="single" w:sz="4" w:space="0" w:color="auto"/>
            </w:tcBorders>
            <w:shd w:val="clear" w:color="auto" w:fill="auto"/>
            <w:vAlign w:val="center"/>
            <w:hideMark/>
          </w:tcPr>
          <w:p w:rsidR="006A4109" w:rsidRPr="00664FF0" w:rsidRDefault="006A4109" w:rsidP="00E930B2">
            <w:pPr>
              <w:rPr>
                <w:rFonts w:eastAsiaTheme="minorEastAsia" w:cs="Arial"/>
                <w:sz w:val="16"/>
                <w:szCs w:val="16"/>
              </w:rPr>
            </w:pPr>
            <w:r w:rsidRPr="00664FF0">
              <w:rPr>
                <w:rFonts w:eastAsiaTheme="minorEastAsia" w:cs="Arial"/>
                <w:sz w:val="16"/>
                <w:szCs w:val="16"/>
              </w:rPr>
              <w:t> </w:t>
            </w:r>
          </w:p>
        </w:tc>
        <w:tc>
          <w:tcPr>
            <w:tcW w:w="0" w:type="auto"/>
            <w:tcBorders>
              <w:top w:val="single" w:sz="4" w:space="0" w:color="auto"/>
              <w:bottom w:val="single" w:sz="4" w:space="0" w:color="auto"/>
            </w:tcBorders>
            <w:shd w:val="clear" w:color="auto" w:fill="auto"/>
            <w:vAlign w:val="center"/>
            <w:hideMark/>
          </w:tcPr>
          <w:p w:rsidR="006A4109" w:rsidRPr="00664FF0" w:rsidRDefault="006A4109" w:rsidP="00E930B2">
            <w:pPr>
              <w:rPr>
                <w:rFonts w:eastAsiaTheme="minorEastAsia" w:cs="Arial"/>
                <w:sz w:val="16"/>
                <w:szCs w:val="16"/>
              </w:rPr>
            </w:pPr>
            <w:r w:rsidRPr="00664FF0">
              <w:rPr>
                <w:rFonts w:eastAsiaTheme="minorEastAsia" w:cs="Arial"/>
                <w:sz w:val="16"/>
                <w:szCs w:val="16"/>
              </w:rPr>
              <w:t> </w:t>
            </w:r>
          </w:p>
        </w:tc>
      </w:tr>
      <w:tr w:rsidR="006A4109" w:rsidRPr="00664FF0" w:rsidTr="00E930B2">
        <w:trPr>
          <w:trHeight w:val="300"/>
        </w:trPr>
        <w:tc>
          <w:tcPr>
            <w:tcW w:w="1962" w:type="dxa"/>
            <w:tcBorders>
              <w:top w:val="single" w:sz="4" w:space="0" w:color="auto"/>
              <w:bottom w:val="single" w:sz="4" w:space="0" w:color="auto"/>
            </w:tcBorders>
            <w:shd w:val="clear" w:color="auto" w:fill="auto"/>
            <w:noWrap/>
            <w:vAlign w:val="center"/>
            <w:hideMark/>
          </w:tcPr>
          <w:p w:rsidR="006A4109" w:rsidRPr="00664FF0" w:rsidRDefault="006A4109" w:rsidP="00E930B2">
            <w:pPr>
              <w:rPr>
                <w:rFonts w:eastAsiaTheme="minorEastAsia" w:cs="Arial"/>
                <w:sz w:val="16"/>
                <w:szCs w:val="16"/>
              </w:rPr>
            </w:pPr>
            <w:r w:rsidRPr="00664FF0">
              <w:rPr>
                <w:rFonts w:eastAsiaTheme="minorEastAsia" w:cs="Arial"/>
                <w:sz w:val="16"/>
                <w:szCs w:val="16"/>
              </w:rPr>
              <w:t>Cuina bàsica</w:t>
            </w:r>
          </w:p>
        </w:tc>
        <w:tc>
          <w:tcPr>
            <w:tcW w:w="0" w:type="auto"/>
            <w:tcBorders>
              <w:top w:val="single" w:sz="4" w:space="0" w:color="auto"/>
              <w:bottom w:val="single" w:sz="4" w:space="0" w:color="auto"/>
            </w:tcBorders>
            <w:shd w:val="clear" w:color="auto" w:fill="auto"/>
            <w:vAlign w:val="center"/>
            <w:hideMark/>
          </w:tcPr>
          <w:p w:rsidR="006A4109" w:rsidRPr="00664FF0" w:rsidRDefault="006A4109" w:rsidP="00E930B2">
            <w:pPr>
              <w:rPr>
                <w:rFonts w:eastAsiaTheme="minorEastAsia" w:cs="Arial"/>
                <w:sz w:val="16"/>
                <w:szCs w:val="16"/>
              </w:rPr>
            </w:pPr>
            <w:r w:rsidRPr="00664FF0">
              <w:rPr>
                <w:rFonts w:eastAsiaTheme="minorEastAsia" w:cs="Arial"/>
                <w:sz w:val="16"/>
                <w:szCs w:val="16"/>
              </w:rPr>
              <w:t>√</w:t>
            </w:r>
          </w:p>
        </w:tc>
        <w:tc>
          <w:tcPr>
            <w:tcW w:w="0" w:type="auto"/>
            <w:tcBorders>
              <w:top w:val="single" w:sz="4" w:space="0" w:color="auto"/>
              <w:bottom w:val="single" w:sz="4" w:space="0" w:color="auto"/>
            </w:tcBorders>
            <w:shd w:val="clear" w:color="auto" w:fill="auto"/>
            <w:vAlign w:val="center"/>
            <w:hideMark/>
          </w:tcPr>
          <w:p w:rsidR="006A4109" w:rsidRPr="00664FF0" w:rsidRDefault="006A4109" w:rsidP="00E930B2">
            <w:pPr>
              <w:rPr>
                <w:rFonts w:eastAsiaTheme="minorEastAsia" w:cs="Arial"/>
                <w:sz w:val="16"/>
                <w:szCs w:val="16"/>
              </w:rPr>
            </w:pPr>
            <w:r w:rsidRPr="00664FF0">
              <w:rPr>
                <w:rFonts w:eastAsiaTheme="minorEastAsia" w:cs="Arial"/>
                <w:sz w:val="16"/>
                <w:szCs w:val="16"/>
              </w:rPr>
              <w:t>√</w:t>
            </w:r>
          </w:p>
        </w:tc>
        <w:tc>
          <w:tcPr>
            <w:tcW w:w="0" w:type="auto"/>
            <w:tcBorders>
              <w:top w:val="single" w:sz="4" w:space="0" w:color="auto"/>
              <w:bottom w:val="single" w:sz="4" w:space="0" w:color="auto"/>
            </w:tcBorders>
            <w:shd w:val="clear" w:color="auto" w:fill="auto"/>
            <w:vAlign w:val="center"/>
            <w:hideMark/>
          </w:tcPr>
          <w:p w:rsidR="006A4109" w:rsidRPr="00664FF0" w:rsidRDefault="006A4109" w:rsidP="00E930B2">
            <w:pPr>
              <w:rPr>
                <w:rFonts w:eastAsiaTheme="minorEastAsia" w:cs="Arial"/>
                <w:sz w:val="16"/>
                <w:szCs w:val="16"/>
              </w:rPr>
            </w:pPr>
            <w:r w:rsidRPr="00664FF0">
              <w:rPr>
                <w:rFonts w:eastAsiaTheme="minorEastAsia" w:cs="Arial"/>
                <w:sz w:val="16"/>
                <w:szCs w:val="16"/>
              </w:rPr>
              <w:t>√</w:t>
            </w:r>
          </w:p>
        </w:tc>
        <w:tc>
          <w:tcPr>
            <w:tcW w:w="0" w:type="auto"/>
            <w:tcBorders>
              <w:top w:val="single" w:sz="4" w:space="0" w:color="auto"/>
              <w:bottom w:val="single" w:sz="4" w:space="0" w:color="auto"/>
            </w:tcBorders>
            <w:shd w:val="clear" w:color="auto" w:fill="auto"/>
            <w:vAlign w:val="center"/>
            <w:hideMark/>
          </w:tcPr>
          <w:p w:rsidR="006A4109" w:rsidRPr="00664FF0" w:rsidRDefault="006A4109" w:rsidP="00E930B2">
            <w:pPr>
              <w:rPr>
                <w:rFonts w:eastAsiaTheme="minorEastAsia" w:cs="Arial"/>
                <w:sz w:val="16"/>
                <w:szCs w:val="16"/>
              </w:rPr>
            </w:pPr>
            <w:r w:rsidRPr="00664FF0">
              <w:rPr>
                <w:rFonts w:eastAsiaTheme="minorEastAsia" w:cs="Arial"/>
                <w:sz w:val="16"/>
                <w:szCs w:val="16"/>
              </w:rPr>
              <w:t>√</w:t>
            </w:r>
          </w:p>
        </w:tc>
        <w:tc>
          <w:tcPr>
            <w:tcW w:w="0" w:type="auto"/>
            <w:tcBorders>
              <w:top w:val="single" w:sz="4" w:space="0" w:color="auto"/>
              <w:bottom w:val="single" w:sz="4" w:space="0" w:color="auto"/>
            </w:tcBorders>
            <w:shd w:val="clear" w:color="auto" w:fill="auto"/>
            <w:vAlign w:val="center"/>
            <w:hideMark/>
          </w:tcPr>
          <w:p w:rsidR="006A4109" w:rsidRPr="00664FF0" w:rsidRDefault="006A4109" w:rsidP="00E930B2">
            <w:pPr>
              <w:rPr>
                <w:rFonts w:eastAsiaTheme="minorEastAsia" w:cs="Arial"/>
                <w:sz w:val="16"/>
                <w:szCs w:val="16"/>
              </w:rPr>
            </w:pPr>
            <w:r w:rsidRPr="00664FF0">
              <w:rPr>
                <w:rFonts w:eastAsiaTheme="minorEastAsia" w:cs="Arial"/>
                <w:sz w:val="16"/>
                <w:szCs w:val="16"/>
              </w:rPr>
              <w:t>√</w:t>
            </w:r>
          </w:p>
        </w:tc>
        <w:tc>
          <w:tcPr>
            <w:tcW w:w="0" w:type="auto"/>
            <w:tcBorders>
              <w:top w:val="single" w:sz="4" w:space="0" w:color="auto"/>
              <w:bottom w:val="single" w:sz="4" w:space="0" w:color="auto"/>
            </w:tcBorders>
            <w:shd w:val="clear" w:color="auto" w:fill="auto"/>
            <w:vAlign w:val="center"/>
            <w:hideMark/>
          </w:tcPr>
          <w:p w:rsidR="006A4109" w:rsidRPr="00664FF0" w:rsidRDefault="006A4109" w:rsidP="00E930B2">
            <w:pPr>
              <w:rPr>
                <w:rFonts w:eastAsiaTheme="minorEastAsia" w:cs="Arial"/>
                <w:sz w:val="16"/>
                <w:szCs w:val="16"/>
              </w:rPr>
            </w:pPr>
            <w:r w:rsidRPr="00664FF0">
              <w:rPr>
                <w:rFonts w:eastAsiaTheme="minorEastAsia" w:cs="Arial"/>
                <w:sz w:val="16"/>
                <w:szCs w:val="16"/>
              </w:rPr>
              <w:t>√</w:t>
            </w:r>
          </w:p>
        </w:tc>
        <w:tc>
          <w:tcPr>
            <w:tcW w:w="0" w:type="auto"/>
            <w:tcBorders>
              <w:top w:val="single" w:sz="4" w:space="0" w:color="auto"/>
              <w:bottom w:val="single" w:sz="4" w:space="0" w:color="auto"/>
            </w:tcBorders>
            <w:shd w:val="clear" w:color="auto" w:fill="auto"/>
            <w:vAlign w:val="center"/>
            <w:hideMark/>
          </w:tcPr>
          <w:p w:rsidR="006A4109" w:rsidRPr="00664FF0" w:rsidRDefault="006A4109" w:rsidP="00E930B2">
            <w:pPr>
              <w:rPr>
                <w:rFonts w:eastAsiaTheme="minorEastAsia" w:cs="Arial"/>
                <w:sz w:val="16"/>
                <w:szCs w:val="16"/>
              </w:rPr>
            </w:pPr>
            <w:r w:rsidRPr="00664FF0">
              <w:rPr>
                <w:rFonts w:eastAsiaTheme="minorEastAsia" w:cs="Arial"/>
                <w:sz w:val="16"/>
                <w:szCs w:val="16"/>
              </w:rPr>
              <w:t>√</w:t>
            </w:r>
          </w:p>
        </w:tc>
        <w:tc>
          <w:tcPr>
            <w:tcW w:w="0" w:type="auto"/>
            <w:tcBorders>
              <w:top w:val="single" w:sz="4" w:space="0" w:color="auto"/>
              <w:bottom w:val="single" w:sz="4" w:space="0" w:color="auto"/>
            </w:tcBorders>
            <w:shd w:val="clear" w:color="auto" w:fill="auto"/>
            <w:vAlign w:val="center"/>
            <w:hideMark/>
          </w:tcPr>
          <w:p w:rsidR="006A4109" w:rsidRPr="00664FF0" w:rsidRDefault="006A4109" w:rsidP="00E930B2">
            <w:pPr>
              <w:rPr>
                <w:rFonts w:eastAsiaTheme="minorEastAsia" w:cs="Arial"/>
                <w:sz w:val="16"/>
                <w:szCs w:val="16"/>
              </w:rPr>
            </w:pPr>
            <w:r w:rsidRPr="00664FF0">
              <w:rPr>
                <w:rFonts w:eastAsiaTheme="minorEastAsia" w:cs="Arial"/>
                <w:sz w:val="16"/>
                <w:szCs w:val="16"/>
              </w:rPr>
              <w:t> </w:t>
            </w:r>
          </w:p>
        </w:tc>
        <w:tc>
          <w:tcPr>
            <w:tcW w:w="0" w:type="auto"/>
            <w:tcBorders>
              <w:top w:val="single" w:sz="4" w:space="0" w:color="auto"/>
              <w:bottom w:val="single" w:sz="4" w:space="0" w:color="auto"/>
            </w:tcBorders>
            <w:shd w:val="clear" w:color="auto" w:fill="auto"/>
            <w:vAlign w:val="center"/>
            <w:hideMark/>
          </w:tcPr>
          <w:p w:rsidR="006A4109" w:rsidRPr="00664FF0" w:rsidRDefault="006A4109" w:rsidP="00E930B2">
            <w:pPr>
              <w:rPr>
                <w:rFonts w:eastAsiaTheme="minorEastAsia" w:cs="Arial"/>
                <w:sz w:val="16"/>
                <w:szCs w:val="16"/>
              </w:rPr>
            </w:pPr>
            <w:r w:rsidRPr="00664FF0">
              <w:rPr>
                <w:rFonts w:eastAsiaTheme="minorEastAsia" w:cs="Arial"/>
                <w:sz w:val="16"/>
                <w:szCs w:val="16"/>
              </w:rPr>
              <w:t>√</w:t>
            </w:r>
          </w:p>
        </w:tc>
        <w:tc>
          <w:tcPr>
            <w:tcW w:w="0" w:type="auto"/>
            <w:tcBorders>
              <w:top w:val="single" w:sz="4" w:space="0" w:color="auto"/>
              <w:bottom w:val="single" w:sz="4" w:space="0" w:color="auto"/>
            </w:tcBorders>
            <w:shd w:val="clear" w:color="auto" w:fill="auto"/>
            <w:vAlign w:val="center"/>
            <w:hideMark/>
          </w:tcPr>
          <w:p w:rsidR="006A4109" w:rsidRPr="00664FF0" w:rsidRDefault="006A4109" w:rsidP="00E930B2">
            <w:pPr>
              <w:rPr>
                <w:rFonts w:eastAsiaTheme="minorEastAsia" w:cs="Arial"/>
                <w:sz w:val="16"/>
                <w:szCs w:val="16"/>
              </w:rPr>
            </w:pPr>
            <w:r w:rsidRPr="00664FF0">
              <w:rPr>
                <w:rFonts w:eastAsiaTheme="minorEastAsia" w:cs="Arial"/>
                <w:sz w:val="16"/>
                <w:szCs w:val="16"/>
              </w:rPr>
              <w:t>√</w:t>
            </w:r>
          </w:p>
        </w:tc>
        <w:tc>
          <w:tcPr>
            <w:tcW w:w="0" w:type="auto"/>
            <w:tcBorders>
              <w:top w:val="single" w:sz="4" w:space="0" w:color="auto"/>
              <w:bottom w:val="single" w:sz="4" w:space="0" w:color="auto"/>
            </w:tcBorders>
            <w:shd w:val="clear" w:color="auto" w:fill="auto"/>
            <w:vAlign w:val="center"/>
            <w:hideMark/>
          </w:tcPr>
          <w:p w:rsidR="006A4109" w:rsidRPr="00664FF0" w:rsidRDefault="006A4109" w:rsidP="00E930B2">
            <w:pPr>
              <w:rPr>
                <w:rFonts w:eastAsiaTheme="minorEastAsia" w:cs="Arial"/>
                <w:sz w:val="16"/>
                <w:szCs w:val="16"/>
              </w:rPr>
            </w:pPr>
            <w:r w:rsidRPr="00664FF0">
              <w:rPr>
                <w:rFonts w:eastAsiaTheme="minorEastAsia" w:cs="Arial"/>
                <w:sz w:val="16"/>
                <w:szCs w:val="16"/>
              </w:rPr>
              <w:t>√</w:t>
            </w:r>
          </w:p>
        </w:tc>
        <w:tc>
          <w:tcPr>
            <w:tcW w:w="0" w:type="auto"/>
            <w:tcBorders>
              <w:top w:val="single" w:sz="4" w:space="0" w:color="auto"/>
              <w:bottom w:val="single" w:sz="4" w:space="0" w:color="auto"/>
            </w:tcBorders>
            <w:shd w:val="clear" w:color="auto" w:fill="auto"/>
            <w:vAlign w:val="center"/>
            <w:hideMark/>
          </w:tcPr>
          <w:p w:rsidR="006A4109" w:rsidRPr="00664FF0" w:rsidRDefault="006A4109" w:rsidP="00E930B2">
            <w:pPr>
              <w:rPr>
                <w:rFonts w:eastAsiaTheme="minorEastAsia" w:cs="Arial"/>
                <w:sz w:val="16"/>
                <w:szCs w:val="16"/>
              </w:rPr>
            </w:pPr>
            <w:r w:rsidRPr="00664FF0">
              <w:rPr>
                <w:rFonts w:eastAsiaTheme="minorEastAsia" w:cs="Arial"/>
                <w:sz w:val="16"/>
                <w:szCs w:val="16"/>
              </w:rPr>
              <w:t> </w:t>
            </w:r>
          </w:p>
        </w:tc>
        <w:tc>
          <w:tcPr>
            <w:tcW w:w="0" w:type="auto"/>
            <w:tcBorders>
              <w:top w:val="single" w:sz="4" w:space="0" w:color="auto"/>
              <w:bottom w:val="single" w:sz="4" w:space="0" w:color="auto"/>
            </w:tcBorders>
            <w:shd w:val="clear" w:color="auto" w:fill="auto"/>
            <w:vAlign w:val="center"/>
            <w:hideMark/>
          </w:tcPr>
          <w:p w:rsidR="006A4109" w:rsidRPr="00664FF0" w:rsidRDefault="006A4109" w:rsidP="00E930B2">
            <w:pPr>
              <w:rPr>
                <w:rFonts w:eastAsiaTheme="minorEastAsia" w:cs="Arial"/>
                <w:sz w:val="16"/>
                <w:szCs w:val="16"/>
              </w:rPr>
            </w:pPr>
            <w:r w:rsidRPr="00664FF0">
              <w:rPr>
                <w:rFonts w:eastAsiaTheme="minorEastAsia" w:cs="Arial"/>
                <w:sz w:val="16"/>
                <w:szCs w:val="16"/>
              </w:rPr>
              <w:t> </w:t>
            </w:r>
          </w:p>
        </w:tc>
      </w:tr>
      <w:tr w:rsidR="006A4109" w:rsidRPr="00664FF0" w:rsidTr="00E930B2">
        <w:trPr>
          <w:trHeight w:val="248"/>
        </w:trPr>
        <w:tc>
          <w:tcPr>
            <w:tcW w:w="1962" w:type="dxa"/>
            <w:tcBorders>
              <w:top w:val="single" w:sz="4" w:space="0" w:color="auto"/>
              <w:bottom w:val="single" w:sz="4" w:space="0" w:color="auto"/>
            </w:tcBorders>
            <w:shd w:val="clear" w:color="auto" w:fill="auto"/>
            <w:noWrap/>
            <w:vAlign w:val="center"/>
            <w:hideMark/>
          </w:tcPr>
          <w:p w:rsidR="006A4109" w:rsidRPr="00664FF0" w:rsidRDefault="006A4109" w:rsidP="00E930B2">
            <w:pPr>
              <w:rPr>
                <w:rFonts w:eastAsiaTheme="minorEastAsia" w:cs="Arial"/>
                <w:sz w:val="16"/>
                <w:szCs w:val="16"/>
              </w:rPr>
            </w:pPr>
            <w:r w:rsidRPr="00664FF0">
              <w:rPr>
                <w:rFonts w:eastAsiaTheme="minorEastAsia" w:cs="Arial"/>
                <w:sz w:val="16"/>
                <w:szCs w:val="16"/>
              </w:rPr>
              <w:t xml:space="preserve">Cuina </w:t>
            </w:r>
            <w:r>
              <w:rPr>
                <w:rFonts w:eastAsiaTheme="minorEastAsia" w:cs="Arial"/>
                <w:sz w:val="16"/>
                <w:szCs w:val="16"/>
              </w:rPr>
              <w:t>a</w:t>
            </w:r>
            <w:r w:rsidRPr="00664FF0">
              <w:rPr>
                <w:rFonts w:eastAsiaTheme="minorEastAsia" w:cs="Arial"/>
                <w:sz w:val="16"/>
                <w:szCs w:val="16"/>
              </w:rPr>
              <w:t>profundiment</w:t>
            </w:r>
          </w:p>
        </w:tc>
        <w:tc>
          <w:tcPr>
            <w:tcW w:w="0" w:type="auto"/>
            <w:tcBorders>
              <w:top w:val="single" w:sz="4" w:space="0" w:color="auto"/>
              <w:bottom w:val="single" w:sz="4" w:space="0" w:color="auto"/>
            </w:tcBorders>
            <w:shd w:val="clear" w:color="auto" w:fill="auto"/>
            <w:vAlign w:val="center"/>
            <w:hideMark/>
          </w:tcPr>
          <w:p w:rsidR="006A4109" w:rsidRPr="00664FF0" w:rsidRDefault="006A4109" w:rsidP="00E930B2">
            <w:pPr>
              <w:rPr>
                <w:rFonts w:eastAsiaTheme="minorEastAsia" w:cs="Arial"/>
                <w:sz w:val="16"/>
                <w:szCs w:val="16"/>
              </w:rPr>
            </w:pPr>
            <w:r w:rsidRPr="00664FF0">
              <w:rPr>
                <w:rFonts w:eastAsiaTheme="minorEastAsia" w:cs="Arial"/>
                <w:sz w:val="16"/>
                <w:szCs w:val="16"/>
              </w:rPr>
              <w:t> </w:t>
            </w:r>
          </w:p>
        </w:tc>
        <w:tc>
          <w:tcPr>
            <w:tcW w:w="0" w:type="auto"/>
            <w:tcBorders>
              <w:top w:val="single" w:sz="4" w:space="0" w:color="auto"/>
              <w:bottom w:val="single" w:sz="4" w:space="0" w:color="auto"/>
            </w:tcBorders>
            <w:shd w:val="clear" w:color="auto" w:fill="auto"/>
            <w:vAlign w:val="center"/>
            <w:hideMark/>
          </w:tcPr>
          <w:p w:rsidR="006A4109" w:rsidRPr="00664FF0" w:rsidRDefault="006A4109" w:rsidP="00E930B2">
            <w:pPr>
              <w:rPr>
                <w:rFonts w:eastAsiaTheme="minorEastAsia" w:cs="Arial"/>
                <w:sz w:val="16"/>
                <w:szCs w:val="16"/>
              </w:rPr>
            </w:pPr>
            <w:r w:rsidRPr="00664FF0">
              <w:rPr>
                <w:rFonts w:eastAsiaTheme="minorEastAsia" w:cs="Arial"/>
                <w:sz w:val="16"/>
                <w:szCs w:val="16"/>
              </w:rPr>
              <w:t>√</w:t>
            </w:r>
          </w:p>
        </w:tc>
        <w:tc>
          <w:tcPr>
            <w:tcW w:w="0" w:type="auto"/>
            <w:tcBorders>
              <w:top w:val="single" w:sz="4" w:space="0" w:color="auto"/>
              <w:bottom w:val="single" w:sz="4" w:space="0" w:color="auto"/>
            </w:tcBorders>
            <w:shd w:val="clear" w:color="auto" w:fill="auto"/>
            <w:vAlign w:val="center"/>
            <w:hideMark/>
          </w:tcPr>
          <w:p w:rsidR="006A4109" w:rsidRPr="00664FF0" w:rsidRDefault="006A4109" w:rsidP="00E930B2">
            <w:pPr>
              <w:rPr>
                <w:rFonts w:eastAsiaTheme="minorEastAsia" w:cs="Arial"/>
                <w:sz w:val="16"/>
                <w:szCs w:val="16"/>
              </w:rPr>
            </w:pPr>
            <w:r w:rsidRPr="00664FF0">
              <w:rPr>
                <w:rFonts w:eastAsiaTheme="minorEastAsia" w:cs="Arial"/>
                <w:sz w:val="16"/>
                <w:szCs w:val="16"/>
              </w:rPr>
              <w:t>√</w:t>
            </w:r>
          </w:p>
        </w:tc>
        <w:tc>
          <w:tcPr>
            <w:tcW w:w="0" w:type="auto"/>
            <w:tcBorders>
              <w:top w:val="single" w:sz="4" w:space="0" w:color="auto"/>
              <w:bottom w:val="single" w:sz="4" w:space="0" w:color="auto"/>
            </w:tcBorders>
            <w:shd w:val="clear" w:color="auto" w:fill="auto"/>
            <w:vAlign w:val="center"/>
            <w:hideMark/>
          </w:tcPr>
          <w:p w:rsidR="006A4109" w:rsidRPr="00664FF0" w:rsidRDefault="006A4109" w:rsidP="00E930B2">
            <w:pPr>
              <w:rPr>
                <w:rFonts w:eastAsiaTheme="minorEastAsia" w:cs="Arial"/>
                <w:sz w:val="16"/>
                <w:szCs w:val="16"/>
              </w:rPr>
            </w:pPr>
            <w:r w:rsidRPr="00664FF0">
              <w:rPr>
                <w:rFonts w:eastAsiaTheme="minorEastAsia" w:cs="Arial"/>
                <w:sz w:val="16"/>
                <w:szCs w:val="16"/>
              </w:rPr>
              <w:t>√</w:t>
            </w:r>
          </w:p>
        </w:tc>
        <w:tc>
          <w:tcPr>
            <w:tcW w:w="0" w:type="auto"/>
            <w:tcBorders>
              <w:top w:val="single" w:sz="4" w:space="0" w:color="auto"/>
              <w:bottom w:val="single" w:sz="4" w:space="0" w:color="auto"/>
            </w:tcBorders>
            <w:shd w:val="clear" w:color="auto" w:fill="auto"/>
            <w:vAlign w:val="center"/>
            <w:hideMark/>
          </w:tcPr>
          <w:p w:rsidR="006A4109" w:rsidRPr="00664FF0" w:rsidRDefault="006A4109" w:rsidP="00E930B2">
            <w:pPr>
              <w:rPr>
                <w:rFonts w:eastAsiaTheme="minorEastAsia" w:cs="Arial"/>
                <w:sz w:val="16"/>
                <w:szCs w:val="16"/>
              </w:rPr>
            </w:pPr>
            <w:r w:rsidRPr="00664FF0">
              <w:rPr>
                <w:rFonts w:eastAsiaTheme="minorEastAsia" w:cs="Arial"/>
                <w:sz w:val="16"/>
                <w:szCs w:val="16"/>
              </w:rPr>
              <w:t> </w:t>
            </w:r>
          </w:p>
        </w:tc>
        <w:tc>
          <w:tcPr>
            <w:tcW w:w="0" w:type="auto"/>
            <w:tcBorders>
              <w:top w:val="single" w:sz="4" w:space="0" w:color="auto"/>
              <w:bottom w:val="single" w:sz="4" w:space="0" w:color="auto"/>
            </w:tcBorders>
            <w:shd w:val="clear" w:color="auto" w:fill="auto"/>
            <w:vAlign w:val="center"/>
            <w:hideMark/>
          </w:tcPr>
          <w:p w:rsidR="006A4109" w:rsidRPr="00664FF0" w:rsidRDefault="006A4109" w:rsidP="00E930B2">
            <w:pPr>
              <w:rPr>
                <w:rFonts w:eastAsiaTheme="minorEastAsia" w:cs="Arial"/>
                <w:sz w:val="16"/>
                <w:szCs w:val="16"/>
              </w:rPr>
            </w:pPr>
            <w:r w:rsidRPr="00664FF0">
              <w:rPr>
                <w:rFonts w:eastAsiaTheme="minorEastAsia" w:cs="Arial"/>
                <w:sz w:val="16"/>
                <w:szCs w:val="16"/>
              </w:rPr>
              <w:t>√</w:t>
            </w:r>
          </w:p>
        </w:tc>
        <w:tc>
          <w:tcPr>
            <w:tcW w:w="0" w:type="auto"/>
            <w:tcBorders>
              <w:top w:val="single" w:sz="4" w:space="0" w:color="auto"/>
              <w:bottom w:val="single" w:sz="4" w:space="0" w:color="auto"/>
            </w:tcBorders>
            <w:shd w:val="clear" w:color="auto" w:fill="auto"/>
            <w:vAlign w:val="center"/>
            <w:hideMark/>
          </w:tcPr>
          <w:p w:rsidR="006A4109" w:rsidRPr="00664FF0" w:rsidRDefault="006A4109" w:rsidP="00E930B2">
            <w:pPr>
              <w:rPr>
                <w:rFonts w:eastAsiaTheme="minorEastAsia" w:cs="Arial"/>
                <w:sz w:val="16"/>
                <w:szCs w:val="16"/>
              </w:rPr>
            </w:pPr>
            <w:r w:rsidRPr="00664FF0">
              <w:rPr>
                <w:rFonts w:eastAsiaTheme="minorEastAsia" w:cs="Arial"/>
                <w:sz w:val="16"/>
                <w:szCs w:val="16"/>
              </w:rPr>
              <w:t>√</w:t>
            </w:r>
          </w:p>
        </w:tc>
        <w:tc>
          <w:tcPr>
            <w:tcW w:w="0" w:type="auto"/>
            <w:tcBorders>
              <w:top w:val="single" w:sz="4" w:space="0" w:color="auto"/>
              <w:bottom w:val="single" w:sz="4" w:space="0" w:color="auto"/>
            </w:tcBorders>
            <w:shd w:val="clear" w:color="auto" w:fill="auto"/>
            <w:vAlign w:val="center"/>
            <w:hideMark/>
          </w:tcPr>
          <w:p w:rsidR="006A4109" w:rsidRPr="00664FF0" w:rsidRDefault="006A4109" w:rsidP="00E930B2">
            <w:pPr>
              <w:rPr>
                <w:rFonts w:eastAsiaTheme="minorEastAsia" w:cs="Arial"/>
                <w:sz w:val="16"/>
                <w:szCs w:val="16"/>
              </w:rPr>
            </w:pPr>
            <w:r w:rsidRPr="00664FF0">
              <w:rPr>
                <w:rFonts w:eastAsiaTheme="minorEastAsia" w:cs="Arial"/>
                <w:sz w:val="16"/>
                <w:szCs w:val="16"/>
              </w:rPr>
              <w:t> </w:t>
            </w:r>
          </w:p>
        </w:tc>
        <w:tc>
          <w:tcPr>
            <w:tcW w:w="0" w:type="auto"/>
            <w:tcBorders>
              <w:top w:val="single" w:sz="4" w:space="0" w:color="auto"/>
              <w:bottom w:val="single" w:sz="4" w:space="0" w:color="auto"/>
            </w:tcBorders>
            <w:shd w:val="clear" w:color="auto" w:fill="auto"/>
            <w:vAlign w:val="center"/>
            <w:hideMark/>
          </w:tcPr>
          <w:p w:rsidR="006A4109" w:rsidRPr="00664FF0" w:rsidRDefault="006A4109" w:rsidP="00E930B2">
            <w:pPr>
              <w:rPr>
                <w:rFonts w:eastAsiaTheme="minorEastAsia" w:cs="Arial"/>
                <w:sz w:val="16"/>
                <w:szCs w:val="16"/>
              </w:rPr>
            </w:pPr>
            <w:r w:rsidRPr="00664FF0">
              <w:rPr>
                <w:rFonts w:eastAsiaTheme="minorEastAsia" w:cs="Arial"/>
                <w:sz w:val="16"/>
                <w:szCs w:val="16"/>
              </w:rPr>
              <w:t>√</w:t>
            </w:r>
          </w:p>
        </w:tc>
        <w:tc>
          <w:tcPr>
            <w:tcW w:w="0" w:type="auto"/>
            <w:tcBorders>
              <w:top w:val="single" w:sz="4" w:space="0" w:color="auto"/>
              <w:bottom w:val="single" w:sz="4" w:space="0" w:color="auto"/>
            </w:tcBorders>
            <w:shd w:val="clear" w:color="auto" w:fill="auto"/>
            <w:vAlign w:val="center"/>
            <w:hideMark/>
          </w:tcPr>
          <w:p w:rsidR="006A4109" w:rsidRPr="00664FF0" w:rsidRDefault="006A4109" w:rsidP="00E930B2">
            <w:pPr>
              <w:rPr>
                <w:rFonts w:eastAsiaTheme="minorEastAsia" w:cs="Arial"/>
                <w:sz w:val="16"/>
                <w:szCs w:val="16"/>
              </w:rPr>
            </w:pPr>
            <w:r w:rsidRPr="00664FF0">
              <w:rPr>
                <w:rFonts w:eastAsiaTheme="minorEastAsia" w:cs="Arial"/>
                <w:sz w:val="16"/>
                <w:szCs w:val="16"/>
              </w:rPr>
              <w:t>√</w:t>
            </w:r>
          </w:p>
        </w:tc>
        <w:tc>
          <w:tcPr>
            <w:tcW w:w="0" w:type="auto"/>
            <w:tcBorders>
              <w:top w:val="single" w:sz="4" w:space="0" w:color="auto"/>
              <w:bottom w:val="single" w:sz="4" w:space="0" w:color="auto"/>
            </w:tcBorders>
            <w:shd w:val="clear" w:color="auto" w:fill="auto"/>
            <w:vAlign w:val="center"/>
            <w:hideMark/>
          </w:tcPr>
          <w:p w:rsidR="006A4109" w:rsidRPr="00664FF0" w:rsidRDefault="006A4109" w:rsidP="00E930B2">
            <w:pPr>
              <w:rPr>
                <w:rFonts w:eastAsiaTheme="minorEastAsia" w:cs="Arial"/>
                <w:sz w:val="16"/>
                <w:szCs w:val="16"/>
              </w:rPr>
            </w:pPr>
            <w:r w:rsidRPr="00664FF0">
              <w:rPr>
                <w:rFonts w:eastAsiaTheme="minorEastAsia" w:cs="Arial"/>
                <w:sz w:val="16"/>
                <w:szCs w:val="16"/>
              </w:rPr>
              <w:t>√</w:t>
            </w:r>
          </w:p>
        </w:tc>
        <w:tc>
          <w:tcPr>
            <w:tcW w:w="0" w:type="auto"/>
            <w:tcBorders>
              <w:top w:val="single" w:sz="4" w:space="0" w:color="auto"/>
              <w:bottom w:val="single" w:sz="4" w:space="0" w:color="auto"/>
            </w:tcBorders>
            <w:shd w:val="clear" w:color="auto" w:fill="auto"/>
            <w:vAlign w:val="center"/>
            <w:hideMark/>
          </w:tcPr>
          <w:p w:rsidR="006A4109" w:rsidRPr="00664FF0" w:rsidRDefault="006A4109" w:rsidP="00E930B2">
            <w:pPr>
              <w:rPr>
                <w:rFonts w:eastAsiaTheme="minorEastAsia" w:cs="Arial"/>
                <w:sz w:val="16"/>
                <w:szCs w:val="16"/>
              </w:rPr>
            </w:pPr>
            <w:r w:rsidRPr="00664FF0">
              <w:rPr>
                <w:rFonts w:eastAsiaTheme="minorEastAsia" w:cs="Arial"/>
                <w:sz w:val="16"/>
                <w:szCs w:val="16"/>
              </w:rPr>
              <w:t> </w:t>
            </w:r>
          </w:p>
        </w:tc>
        <w:tc>
          <w:tcPr>
            <w:tcW w:w="0" w:type="auto"/>
            <w:tcBorders>
              <w:top w:val="single" w:sz="4" w:space="0" w:color="auto"/>
              <w:bottom w:val="single" w:sz="4" w:space="0" w:color="auto"/>
            </w:tcBorders>
            <w:shd w:val="clear" w:color="auto" w:fill="auto"/>
            <w:vAlign w:val="center"/>
            <w:hideMark/>
          </w:tcPr>
          <w:p w:rsidR="006A4109" w:rsidRPr="00664FF0" w:rsidRDefault="006A4109" w:rsidP="00E930B2">
            <w:pPr>
              <w:rPr>
                <w:rFonts w:eastAsiaTheme="minorEastAsia" w:cs="Arial"/>
                <w:sz w:val="16"/>
                <w:szCs w:val="16"/>
              </w:rPr>
            </w:pPr>
            <w:r w:rsidRPr="00664FF0">
              <w:rPr>
                <w:rFonts w:eastAsiaTheme="minorEastAsia" w:cs="Arial"/>
                <w:sz w:val="16"/>
                <w:szCs w:val="16"/>
              </w:rPr>
              <w:t> </w:t>
            </w:r>
          </w:p>
        </w:tc>
      </w:tr>
      <w:tr w:rsidR="006A4109" w:rsidRPr="00664FF0" w:rsidTr="00E930B2">
        <w:trPr>
          <w:trHeight w:val="300"/>
        </w:trPr>
        <w:tc>
          <w:tcPr>
            <w:tcW w:w="1962" w:type="dxa"/>
            <w:tcBorders>
              <w:top w:val="single" w:sz="4" w:space="0" w:color="auto"/>
              <w:bottom w:val="single" w:sz="4" w:space="0" w:color="auto"/>
            </w:tcBorders>
            <w:shd w:val="clear" w:color="auto" w:fill="auto"/>
            <w:noWrap/>
            <w:vAlign w:val="center"/>
            <w:hideMark/>
          </w:tcPr>
          <w:p w:rsidR="006A4109" w:rsidRPr="00664FF0" w:rsidRDefault="006A4109" w:rsidP="00E930B2">
            <w:pPr>
              <w:rPr>
                <w:rFonts w:eastAsiaTheme="minorEastAsia" w:cs="Arial"/>
                <w:sz w:val="16"/>
                <w:szCs w:val="16"/>
              </w:rPr>
            </w:pPr>
            <w:r w:rsidRPr="00664FF0">
              <w:rPr>
                <w:rFonts w:eastAsiaTheme="minorEastAsia" w:cs="Arial"/>
                <w:sz w:val="16"/>
                <w:szCs w:val="16"/>
              </w:rPr>
              <w:t>Fleca</w:t>
            </w:r>
          </w:p>
        </w:tc>
        <w:tc>
          <w:tcPr>
            <w:tcW w:w="0" w:type="auto"/>
            <w:tcBorders>
              <w:top w:val="single" w:sz="4" w:space="0" w:color="auto"/>
              <w:bottom w:val="single" w:sz="4" w:space="0" w:color="auto"/>
            </w:tcBorders>
            <w:shd w:val="clear" w:color="auto" w:fill="auto"/>
            <w:vAlign w:val="center"/>
            <w:hideMark/>
          </w:tcPr>
          <w:p w:rsidR="006A4109" w:rsidRPr="00664FF0" w:rsidRDefault="006A4109" w:rsidP="00E930B2">
            <w:pPr>
              <w:rPr>
                <w:rFonts w:eastAsiaTheme="minorEastAsia" w:cs="Arial"/>
                <w:sz w:val="16"/>
                <w:szCs w:val="16"/>
              </w:rPr>
            </w:pPr>
            <w:r w:rsidRPr="00664FF0">
              <w:rPr>
                <w:rFonts w:eastAsiaTheme="minorEastAsia" w:cs="Arial"/>
                <w:sz w:val="16"/>
                <w:szCs w:val="16"/>
              </w:rPr>
              <w:t>√</w:t>
            </w:r>
          </w:p>
        </w:tc>
        <w:tc>
          <w:tcPr>
            <w:tcW w:w="0" w:type="auto"/>
            <w:tcBorders>
              <w:top w:val="single" w:sz="4" w:space="0" w:color="auto"/>
              <w:bottom w:val="single" w:sz="4" w:space="0" w:color="auto"/>
            </w:tcBorders>
            <w:shd w:val="clear" w:color="auto" w:fill="auto"/>
            <w:vAlign w:val="center"/>
            <w:hideMark/>
          </w:tcPr>
          <w:p w:rsidR="006A4109" w:rsidRPr="00664FF0" w:rsidRDefault="006A4109" w:rsidP="00E930B2">
            <w:pPr>
              <w:rPr>
                <w:rFonts w:eastAsiaTheme="minorEastAsia" w:cs="Arial"/>
                <w:sz w:val="16"/>
                <w:szCs w:val="16"/>
              </w:rPr>
            </w:pPr>
            <w:r w:rsidRPr="00664FF0">
              <w:rPr>
                <w:rFonts w:eastAsiaTheme="minorEastAsia" w:cs="Arial"/>
                <w:sz w:val="16"/>
                <w:szCs w:val="16"/>
              </w:rPr>
              <w:t> </w:t>
            </w:r>
          </w:p>
        </w:tc>
        <w:tc>
          <w:tcPr>
            <w:tcW w:w="0" w:type="auto"/>
            <w:tcBorders>
              <w:top w:val="single" w:sz="4" w:space="0" w:color="auto"/>
              <w:bottom w:val="single" w:sz="4" w:space="0" w:color="auto"/>
            </w:tcBorders>
            <w:shd w:val="clear" w:color="auto" w:fill="auto"/>
            <w:vAlign w:val="center"/>
            <w:hideMark/>
          </w:tcPr>
          <w:p w:rsidR="006A4109" w:rsidRPr="00664FF0" w:rsidRDefault="006A4109" w:rsidP="00E930B2">
            <w:pPr>
              <w:rPr>
                <w:rFonts w:eastAsiaTheme="minorEastAsia" w:cs="Arial"/>
                <w:sz w:val="16"/>
                <w:szCs w:val="16"/>
              </w:rPr>
            </w:pPr>
            <w:r w:rsidRPr="00664FF0">
              <w:rPr>
                <w:rFonts w:eastAsiaTheme="minorEastAsia" w:cs="Arial"/>
                <w:sz w:val="16"/>
                <w:szCs w:val="16"/>
              </w:rPr>
              <w:t> </w:t>
            </w:r>
          </w:p>
        </w:tc>
        <w:tc>
          <w:tcPr>
            <w:tcW w:w="0" w:type="auto"/>
            <w:tcBorders>
              <w:top w:val="single" w:sz="4" w:space="0" w:color="auto"/>
              <w:bottom w:val="single" w:sz="4" w:space="0" w:color="auto"/>
            </w:tcBorders>
            <w:shd w:val="clear" w:color="auto" w:fill="auto"/>
            <w:vAlign w:val="center"/>
            <w:hideMark/>
          </w:tcPr>
          <w:p w:rsidR="006A4109" w:rsidRPr="00664FF0" w:rsidRDefault="006A4109" w:rsidP="00E930B2">
            <w:pPr>
              <w:rPr>
                <w:rFonts w:eastAsiaTheme="minorEastAsia" w:cs="Arial"/>
                <w:sz w:val="16"/>
                <w:szCs w:val="16"/>
              </w:rPr>
            </w:pPr>
            <w:r w:rsidRPr="00664FF0">
              <w:rPr>
                <w:rFonts w:eastAsiaTheme="minorEastAsia" w:cs="Arial"/>
                <w:sz w:val="16"/>
                <w:szCs w:val="16"/>
              </w:rPr>
              <w:t> </w:t>
            </w:r>
          </w:p>
        </w:tc>
        <w:tc>
          <w:tcPr>
            <w:tcW w:w="0" w:type="auto"/>
            <w:tcBorders>
              <w:top w:val="single" w:sz="4" w:space="0" w:color="auto"/>
              <w:bottom w:val="single" w:sz="4" w:space="0" w:color="auto"/>
            </w:tcBorders>
            <w:shd w:val="clear" w:color="auto" w:fill="auto"/>
            <w:vAlign w:val="center"/>
            <w:hideMark/>
          </w:tcPr>
          <w:p w:rsidR="006A4109" w:rsidRPr="00664FF0" w:rsidRDefault="006A4109" w:rsidP="00E930B2">
            <w:pPr>
              <w:rPr>
                <w:rFonts w:eastAsiaTheme="minorEastAsia" w:cs="Arial"/>
                <w:sz w:val="16"/>
                <w:szCs w:val="16"/>
              </w:rPr>
            </w:pPr>
            <w:r w:rsidRPr="00664FF0">
              <w:rPr>
                <w:rFonts w:eastAsiaTheme="minorEastAsia" w:cs="Arial"/>
                <w:sz w:val="16"/>
                <w:szCs w:val="16"/>
              </w:rPr>
              <w:t>√</w:t>
            </w:r>
          </w:p>
        </w:tc>
        <w:tc>
          <w:tcPr>
            <w:tcW w:w="0" w:type="auto"/>
            <w:tcBorders>
              <w:top w:val="single" w:sz="4" w:space="0" w:color="auto"/>
              <w:bottom w:val="single" w:sz="4" w:space="0" w:color="auto"/>
            </w:tcBorders>
            <w:shd w:val="clear" w:color="auto" w:fill="auto"/>
            <w:vAlign w:val="center"/>
            <w:hideMark/>
          </w:tcPr>
          <w:p w:rsidR="006A4109" w:rsidRPr="00664FF0" w:rsidRDefault="006A4109" w:rsidP="00E930B2">
            <w:pPr>
              <w:rPr>
                <w:rFonts w:eastAsiaTheme="minorEastAsia" w:cs="Arial"/>
                <w:sz w:val="16"/>
                <w:szCs w:val="16"/>
              </w:rPr>
            </w:pPr>
            <w:r w:rsidRPr="00664FF0">
              <w:rPr>
                <w:rFonts w:eastAsiaTheme="minorEastAsia" w:cs="Arial"/>
                <w:sz w:val="16"/>
                <w:szCs w:val="16"/>
              </w:rPr>
              <w:t>√</w:t>
            </w:r>
          </w:p>
        </w:tc>
        <w:tc>
          <w:tcPr>
            <w:tcW w:w="0" w:type="auto"/>
            <w:tcBorders>
              <w:top w:val="single" w:sz="4" w:space="0" w:color="auto"/>
              <w:bottom w:val="single" w:sz="4" w:space="0" w:color="auto"/>
            </w:tcBorders>
            <w:shd w:val="clear" w:color="auto" w:fill="auto"/>
            <w:vAlign w:val="center"/>
            <w:hideMark/>
          </w:tcPr>
          <w:p w:rsidR="006A4109" w:rsidRPr="00664FF0" w:rsidRDefault="006A4109" w:rsidP="00E930B2">
            <w:pPr>
              <w:rPr>
                <w:rFonts w:eastAsiaTheme="minorEastAsia" w:cs="Arial"/>
                <w:sz w:val="16"/>
                <w:szCs w:val="16"/>
              </w:rPr>
            </w:pPr>
            <w:r w:rsidRPr="00664FF0">
              <w:rPr>
                <w:rFonts w:eastAsiaTheme="minorEastAsia" w:cs="Arial"/>
                <w:sz w:val="16"/>
                <w:szCs w:val="16"/>
              </w:rPr>
              <w:t>√</w:t>
            </w:r>
          </w:p>
        </w:tc>
        <w:tc>
          <w:tcPr>
            <w:tcW w:w="0" w:type="auto"/>
            <w:tcBorders>
              <w:top w:val="single" w:sz="4" w:space="0" w:color="auto"/>
              <w:bottom w:val="single" w:sz="4" w:space="0" w:color="auto"/>
            </w:tcBorders>
            <w:shd w:val="clear" w:color="auto" w:fill="auto"/>
            <w:vAlign w:val="center"/>
            <w:hideMark/>
          </w:tcPr>
          <w:p w:rsidR="006A4109" w:rsidRPr="00664FF0" w:rsidRDefault="006A4109" w:rsidP="00E930B2">
            <w:pPr>
              <w:rPr>
                <w:rFonts w:eastAsiaTheme="minorEastAsia" w:cs="Arial"/>
                <w:sz w:val="16"/>
                <w:szCs w:val="16"/>
              </w:rPr>
            </w:pPr>
            <w:r w:rsidRPr="00664FF0">
              <w:rPr>
                <w:rFonts w:eastAsiaTheme="minorEastAsia" w:cs="Arial"/>
                <w:sz w:val="16"/>
                <w:szCs w:val="16"/>
              </w:rPr>
              <w:t> </w:t>
            </w:r>
          </w:p>
        </w:tc>
        <w:tc>
          <w:tcPr>
            <w:tcW w:w="0" w:type="auto"/>
            <w:tcBorders>
              <w:top w:val="single" w:sz="4" w:space="0" w:color="auto"/>
              <w:bottom w:val="single" w:sz="4" w:space="0" w:color="auto"/>
            </w:tcBorders>
            <w:shd w:val="clear" w:color="auto" w:fill="auto"/>
            <w:vAlign w:val="center"/>
            <w:hideMark/>
          </w:tcPr>
          <w:p w:rsidR="006A4109" w:rsidRPr="00664FF0" w:rsidRDefault="006A4109" w:rsidP="00E930B2">
            <w:pPr>
              <w:rPr>
                <w:rFonts w:eastAsiaTheme="minorEastAsia" w:cs="Arial"/>
                <w:sz w:val="16"/>
                <w:szCs w:val="16"/>
              </w:rPr>
            </w:pPr>
            <w:r w:rsidRPr="00664FF0">
              <w:rPr>
                <w:rFonts w:eastAsiaTheme="minorEastAsia" w:cs="Arial"/>
                <w:sz w:val="16"/>
                <w:szCs w:val="16"/>
              </w:rPr>
              <w:t>√</w:t>
            </w:r>
          </w:p>
        </w:tc>
        <w:tc>
          <w:tcPr>
            <w:tcW w:w="0" w:type="auto"/>
            <w:tcBorders>
              <w:top w:val="single" w:sz="4" w:space="0" w:color="auto"/>
              <w:bottom w:val="single" w:sz="4" w:space="0" w:color="auto"/>
            </w:tcBorders>
            <w:shd w:val="clear" w:color="auto" w:fill="auto"/>
            <w:vAlign w:val="center"/>
            <w:hideMark/>
          </w:tcPr>
          <w:p w:rsidR="006A4109" w:rsidRPr="00664FF0" w:rsidRDefault="006A4109" w:rsidP="00E930B2">
            <w:pPr>
              <w:rPr>
                <w:rFonts w:eastAsiaTheme="minorEastAsia" w:cs="Arial"/>
                <w:sz w:val="16"/>
                <w:szCs w:val="16"/>
              </w:rPr>
            </w:pPr>
            <w:r w:rsidRPr="00664FF0">
              <w:rPr>
                <w:rFonts w:eastAsiaTheme="minorEastAsia" w:cs="Arial"/>
                <w:sz w:val="16"/>
                <w:szCs w:val="16"/>
              </w:rPr>
              <w:t>√</w:t>
            </w:r>
          </w:p>
        </w:tc>
        <w:tc>
          <w:tcPr>
            <w:tcW w:w="0" w:type="auto"/>
            <w:tcBorders>
              <w:top w:val="single" w:sz="4" w:space="0" w:color="auto"/>
              <w:bottom w:val="single" w:sz="4" w:space="0" w:color="auto"/>
            </w:tcBorders>
            <w:shd w:val="clear" w:color="auto" w:fill="auto"/>
            <w:vAlign w:val="center"/>
            <w:hideMark/>
          </w:tcPr>
          <w:p w:rsidR="006A4109" w:rsidRPr="00664FF0" w:rsidRDefault="006A4109" w:rsidP="00E930B2">
            <w:pPr>
              <w:rPr>
                <w:rFonts w:eastAsiaTheme="minorEastAsia" w:cs="Arial"/>
                <w:sz w:val="16"/>
                <w:szCs w:val="16"/>
              </w:rPr>
            </w:pPr>
            <w:r w:rsidRPr="00664FF0">
              <w:rPr>
                <w:rFonts w:eastAsiaTheme="minorEastAsia" w:cs="Arial"/>
                <w:sz w:val="16"/>
                <w:szCs w:val="16"/>
              </w:rPr>
              <w:t>√</w:t>
            </w:r>
          </w:p>
        </w:tc>
        <w:tc>
          <w:tcPr>
            <w:tcW w:w="0" w:type="auto"/>
            <w:tcBorders>
              <w:top w:val="single" w:sz="4" w:space="0" w:color="auto"/>
              <w:bottom w:val="single" w:sz="4" w:space="0" w:color="auto"/>
            </w:tcBorders>
            <w:shd w:val="clear" w:color="auto" w:fill="auto"/>
            <w:vAlign w:val="center"/>
            <w:hideMark/>
          </w:tcPr>
          <w:p w:rsidR="006A4109" w:rsidRPr="00664FF0" w:rsidRDefault="006A4109" w:rsidP="00E930B2">
            <w:pPr>
              <w:rPr>
                <w:rFonts w:eastAsiaTheme="minorEastAsia" w:cs="Arial"/>
                <w:sz w:val="16"/>
                <w:szCs w:val="16"/>
              </w:rPr>
            </w:pPr>
            <w:r w:rsidRPr="00664FF0">
              <w:rPr>
                <w:rFonts w:eastAsiaTheme="minorEastAsia" w:cs="Arial"/>
                <w:sz w:val="16"/>
                <w:szCs w:val="16"/>
              </w:rPr>
              <w:t> </w:t>
            </w:r>
          </w:p>
        </w:tc>
        <w:tc>
          <w:tcPr>
            <w:tcW w:w="0" w:type="auto"/>
            <w:tcBorders>
              <w:top w:val="single" w:sz="4" w:space="0" w:color="auto"/>
              <w:bottom w:val="single" w:sz="4" w:space="0" w:color="auto"/>
            </w:tcBorders>
            <w:shd w:val="clear" w:color="auto" w:fill="auto"/>
            <w:vAlign w:val="center"/>
            <w:hideMark/>
          </w:tcPr>
          <w:p w:rsidR="006A4109" w:rsidRPr="00664FF0" w:rsidRDefault="006A4109" w:rsidP="00E930B2">
            <w:pPr>
              <w:rPr>
                <w:rFonts w:eastAsiaTheme="minorEastAsia" w:cs="Arial"/>
                <w:sz w:val="16"/>
                <w:szCs w:val="16"/>
              </w:rPr>
            </w:pPr>
            <w:r w:rsidRPr="00664FF0">
              <w:rPr>
                <w:rFonts w:eastAsiaTheme="minorEastAsia" w:cs="Arial"/>
                <w:sz w:val="16"/>
                <w:szCs w:val="16"/>
              </w:rPr>
              <w:t> </w:t>
            </w:r>
          </w:p>
        </w:tc>
      </w:tr>
      <w:tr w:rsidR="006A4109" w:rsidRPr="00664FF0" w:rsidTr="00E930B2">
        <w:trPr>
          <w:trHeight w:val="300"/>
        </w:trPr>
        <w:tc>
          <w:tcPr>
            <w:tcW w:w="1962" w:type="dxa"/>
            <w:tcBorders>
              <w:top w:val="single" w:sz="4" w:space="0" w:color="auto"/>
              <w:bottom w:val="single" w:sz="4" w:space="0" w:color="auto"/>
            </w:tcBorders>
            <w:shd w:val="clear" w:color="auto" w:fill="auto"/>
            <w:noWrap/>
            <w:vAlign w:val="center"/>
            <w:hideMark/>
          </w:tcPr>
          <w:p w:rsidR="006A4109" w:rsidRPr="00664FF0" w:rsidRDefault="006A4109" w:rsidP="00E930B2">
            <w:pPr>
              <w:rPr>
                <w:rFonts w:eastAsiaTheme="minorEastAsia" w:cs="Arial"/>
                <w:sz w:val="16"/>
                <w:szCs w:val="16"/>
              </w:rPr>
            </w:pPr>
            <w:r w:rsidRPr="00664FF0">
              <w:rPr>
                <w:rFonts w:eastAsiaTheme="minorEastAsia" w:cs="Arial"/>
                <w:sz w:val="16"/>
                <w:szCs w:val="16"/>
              </w:rPr>
              <w:t>Peó forestal</w:t>
            </w:r>
          </w:p>
        </w:tc>
        <w:tc>
          <w:tcPr>
            <w:tcW w:w="0" w:type="auto"/>
            <w:tcBorders>
              <w:top w:val="single" w:sz="4" w:space="0" w:color="auto"/>
              <w:bottom w:val="single" w:sz="4" w:space="0" w:color="auto"/>
            </w:tcBorders>
            <w:shd w:val="clear" w:color="auto" w:fill="auto"/>
            <w:vAlign w:val="center"/>
            <w:hideMark/>
          </w:tcPr>
          <w:p w:rsidR="006A4109" w:rsidRPr="00664FF0" w:rsidRDefault="006A4109" w:rsidP="00E930B2">
            <w:pPr>
              <w:rPr>
                <w:rFonts w:eastAsiaTheme="minorEastAsia" w:cs="Arial"/>
                <w:sz w:val="16"/>
                <w:szCs w:val="16"/>
              </w:rPr>
            </w:pPr>
            <w:r w:rsidRPr="00664FF0">
              <w:rPr>
                <w:rFonts w:eastAsiaTheme="minorEastAsia" w:cs="Arial"/>
                <w:sz w:val="16"/>
                <w:szCs w:val="16"/>
              </w:rPr>
              <w:t> </w:t>
            </w:r>
          </w:p>
        </w:tc>
        <w:tc>
          <w:tcPr>
            <w:tcW w:w="0" w:type="auto"/>
            <w:tcBorders>
              <w:top w:val="single" w:sz="4" w:space="0" w:color="auto"/>
              <w:bottom w:val="single" w:sz="4" w:space="0" w:color="auto"/>
            </w:tcBorders>
            <w:shd w:val="clear" w:color="auto" w:fill="auto"/>
            <w:vAlign w:val="center"/>
            <w:hideMark/>
          </w:tcPr>
          <w:p w:rsidR="006A4109" w:rsidRPr="00664FF0" w:rsidRDefault="006A4109" w:rsidP="00E930B2">
            <w:pPr>
              <w:rPr>
                <w:rFonts w:eastAsiaTheme="minorEastAsia" w:cs="Arial"/>
                <w:sz w:val="16"/>
                <w:szCs w:val="16"/>
              </w:rPr>
            </w:pPr>
            <w:r w:rsidRPr="00664FF0">
              <w:rPr>
                <w:rFonts w:eastAsiaTheme="minorEastAsia" w:cs="Arial"/>
                <w:sz w:val="16"/>
                <w:szCs w:val="16"/>
              </w:rPr>
              <w:t> </w:t>
            </w:r>
          </w:p>
        </w:tc>
        <w:tc>
          <w:tcPr>
            <w:tcW w:w="0" w:type="auto"/>
            <w:tcBorders>
              <w:top w:val="single" w:sz="4" w:space="0" w:color="auto"/>
              <w:bottom w:val="single" w:sz="4" w:space="0" w:color="auto"/>
            </w:tcBorders>
            <w:shd w:val="clear" w:color="auto" w:fill="auto"/>
            <w:vAlign w:val="center"/>
            <w:hideMark/>
          </w:tcPr>
          <w:p w:rsidR="006A4109" w:rsidRPr="00664FF0" w:rsidRDefault="006A4109" w:rsidP="00E930B2">
            <w:pPr>
              <w:rPr>
                <w:rFonts w:eastAsiaTheme="minorEastAsia" w:cs="Arial"/>
                <w:sz w:val="16"/>
                <w:szCs w:val="16"/>
              </w:rPr>
            </w:pPr>
            <w:r w:rsidRPr="00664FF0">
              <w:rPr>
                <w:rFonts w:eastAsiaTheme="minorEastAsia" w:cs="Arial"/>
                <w:sz w:val="16"/>
                <w:szCs w:val="16"/>
              </w:rPr>
              <w:t> </w:t>
            </w:r>
          </w:p>
        </w:tc>
        <w:tc>
          <w:tcPr>
            <w:tcW w:w="0" w:type="auto"/>
            <w:tcBorders>
              <w:top w:val="single" w:sz="4" w:space="0" w:color="auto"/>
              <w:bottom w:val="single" w:sz="4" w:space="0" w:color="auto"/>
            </w:tcBorders>
            <w:shd w:val="clear" w:color="auto" w:fill="auto"/>
            <w:vAlign w:val="center"/>
            <w:hideMark/>
          </w:tcPr>
          <w:p w:rsidR="006A4109" w:rsidRPr="00664FF0" w:rsidRDefault="006A4109" w:rsidP="00E930B2">
            <w:pPr>
              <w:rPr>
                <w:rFonts w:eastAsiaTheme="minorEastAsia" w:cs="Arial"/>
                <w:sz w:val="16"/>
                <w:szCs w:val="16"/>
              </w:rPr>
            </w:pPr>
            <w:r w:rsidRPr="00664FF0">
              <w:rPr>
                <w:rFonts w:eastAsiaTheme="minorEastAsia" w:cs="Arial"/>
                <w:sz w:val="16"/>
                <w:szCs w:val="16"/>
              </w:rPr>
              <w:t> </w:t>
            </w:r>
          </w:p>
        </w:tc>
        <w:tc>
          <w:tcPr>
            <w:tcW w:w="0" w:type="auto"/>
            <w:tcBorders>
              <w:top w:val="single" w:sz="4" w:space="0" w:color="auto"/>
              <w:bottom w:val="single" w:sz="4" w:space="0" w:color="auto"/>
            </w:tcBorders>
            <w:shd w:val="clear" w:color="auto" w:fill="auto"/>
            <w:vAlign w:val="center"/>
            <w:hideMark/>
          </w:tcPr>
          <w:p w:rsidR="006A4109" w:rsidRPr="00664FF0" w:rsidRDefault="006A4109" w:rsidP="00E930B2">
            <w:pPr>
              <w:rPr>
                <w:rFonts w:eastAsiaTheme="minorEastAsia" w:cs="Arial"/>
                <w:sz w:val="16"/>
                <w:szCs w:val="16"/>
              </w:rPr>
            </w:pPr>
            <w:r w:rsidRPr="00664FF0">
              <w:rPr>
                <w:rFonts w:eastAsiaTheme="minorEastAsia" w:cs="Arial"/>
                <w:sz w:val="16"/>
                <w:szCs w:val="16"/>
              </w:rPr>
              <w:t> </w:t>
            </w:r>
          </w:p>
        </w:tc>
        <w:tc>
          <w:tcPr>
            <w:tcW w:w="0" w:type="auto"/>
            <w:tcBorders>
              <w:top w:val="single" w:sz="4" w:space="0" w:color="auto"/>
              <w:bottom w:val="single" w:sz="4" w:space="0" w:color="auto"/>
            </w:tcBorders>
            <w:shd w:val="clear" w:color="auto" w:fill="auto"/>
            <w:vAlign w:val="center"/>
            <w:hideMark/>
          </w:tcPr>
          <w:p w:rsidR="006A4109" w:rsidRPr="00664FF0" w:rsidRDefault="006A4109" w:rsidP="00E930B2">
            <w:pPr>
              <w:rPr>
                <w:rFonts w:eastAsiaTheme="minorEastAsia" w:cs="Arial"/>
                <w:sz w:val="16"/>
                <w:szCs w:val="16"/>
              </w:rPr>
            </w:pPr>
            <w:r w:rsidRPr="00664FF0">
              <w:rPr>
                <w:rFonts w:eastAsiaTheme="minorEastAsia" w:cs="Arial"/>
                <w:sz w:val="16"/>
                <w:szCs w:val="16"/>
              </w:rPr>
              <w:t> </w:t>
            </w:r>
          </w:p>
        </w:tc>
        <w:tc>
          <w:tcPr>
            <w:tcW w:w="0" w:type="auto"/>
            <w:tcBorders>
              <w:top w:val="single" w:sz="4" w:space="0" w:color="auto"/>
              <w:bottom w:val="single" w:sz="4" w:space="0" w:color="auto"/>
            </w:tcBorders>
            <w:shd w:val="clear" w:color="auto" w:fill="auto"/>
            <w:vAlign w:val="center"/>
            <w:hideMark/>
          </w:tcPr>
          <w:p w:rsidR="006A4109" w:rsidRPr="00664FF0" w:rsidRDefault="006A4109" w:rsidP="00E930B2">
            <w:pPr>
              <w:rPr>
                <w:rFonts w:eastAsiaTheme="minorEastAsia" w:cs="Arial"/>
                <w:sz w:val="16"/>
                <w:szCs w:val="16"/>
              </w:rPr>
            </w:pPr>
            <w:r w:rsidRPr="00664FF0">
              <w:rPr>
                <w:rFonts w:eastAsiaTheme="minorEastAsia" w:cs="Arial"/>
                <w:sz w:val="16"/>
                <w:szCs w:val="16"/>
              </w:rPr>
              <w:t> </w:t>
            </w:r>
          </w:p>
        </w:tc>
        <w:tc>
          <w:tcPr>
            <w:tcW w:w="0" w:type="auto"/>
            <w:tcBorders>
              <w:top w:val="single" w:sz="4" w:space="0" w:color="auto"/>
              <w:bottom w:val="single" w:sz="4" w:space="0" w:color="auto"/>
            </w:tcBorders>
            <w:shd w:val="clear" w:color="auto" w:fill="auto"/>
            <w:vAlign w:val="center"/>
            <w:hideMark/>
          </w:tcPr>
          <w:p w:rsidR="006A4109" w:rsidRPr="00664FF0" w:rsidRDefault="006A4109" w:rsidP="00E930B2">
            <w:pPr>
              <w:rPr>
                <w:rFonts w:eastAsiaTheme="minorEastAsia" w:cs="Arial"/>
                <w:sz w:val="16"/>
                <w:szCs w:val="16"/>
              </w:rPr>
            </w:pPr>
            <w:r w:rsidRPr="00664FF0">
              <w:rPr>
                <w:rFonts w:eastAsiaTheme="minorEastAsia" w:cs="Arial"/>
                <w:sz w:val="16"/>
                <w:szCs w:val="16"/>
              </w:rPr>
              <w:t> </w:t>
            </w:r>
          </w:p>
        </w:tc>
        <w:tc>
          <w:tcPr>
            <w:tcW w:w="0" w:type="auto"/>
            <w:tcBorders>
              <w:top w:val="single" w:sz="4" w:space="0" w:color="auto"/>
              <w:bottom w:val="single" w:sz="4" w:space="0" w:color="auto"/>
            </w:tcBorders>
            <w:shd w:val="clear" w:color="auto" w:fill="auto"/>
            <w:vAlign w:val="center"/>
            <w:hideMark/>
          </w:tcPr>
          <w:p w:rsidR="006A4109" w:rsidRPr="00664FF0" w:rsidRDefault="006A4109" w:rsidP="00E930B2">
            <w:pPr>
              <w:rPr>
                <w:rFonts w:eastAsiaTheme="minorEastAsia" w:cs="Arial"/>
                <w:sz w:val="16"/>
                <w:szCs w:val="16"/>
              </w:rPr>
            </w:pPr>
            <w:r w:rsidRPr="00664FF0">
              <w:rPr>
                <w:rFonts w:eastAsiaTheme="minorEastAsia" w:cs="Arial"/>
                <w:sz w:val="16"/>
                <w:szCs w:val="16"/>
              </w:rPr>
              <w:t> </w:t>
            </w:r>
          </w:p>
        </w:tc>
        <w:tc>
          <w:tcPr>
            <w:tcW w:w="0" w:type="auto"/>
            <w:tcBorders>
              <w:top w:val="single" w:sz="4" w:space="0" w:color="auto"/>
              <w:bottom w:val="single" w:sz="4" w:space="0" w:color="auto"/>
            </w:tcBorders>
            <w:shd w:val="clear" w:color="auto" w:fill="auto"/>
            <w:vAlign w:val="center"/>
            <w:hideMark/>
          </w:tcPr>
          <w:p w:rsidR="006A4109" w:rsidRPr="00664FF0" w:rsidRDefault="006A4109" w:rsidP="00E930B2">
            <w:pPr>
              <w:rPr>
                <w:rFonts w:eastAsiaTheme="minorEastAsia" w:cs="Arial"/>
                <w:sz w:val="16"/>
                <w:szCs w:val="16"/>
              </w:rPr>
            </w:pPr>
            <w:r w:rsidRPr="00664FF0">
              <w:rPr>
                <w:rFonts w:eastAsiaTheme="minorEastAsia" w:cs="Arial"/>
                <w:sz w:val="16"/>
                <w:szCs w:val="16"/>
              </w:rPr>
              <w:t> </w:t>
            </w:r>
          </w:p>
        </w:tc>
        <w:tc>
          <w:tcPr>
            <w:tcW w:w="0" w:type="auto"/>
            <w:tcBorders>
              <w:top w:val="single" w:sz="4" w:space="0" w:color="auto"/>
              <w:bottom w:val="single" w:sz="4" w:space="0" w:color="auto"/>
            </w:tcBorders>
            <w:shd w:val="clear" w:color="auto" w:fill="auto"/>
            <w:vAlign w:val="center"/>
            <w:hideMark/>
          </w:tcPr>
          <w:p w:rsidR="006A4109" w:rsidRPr="00664FF0" w:rsidRDefault="006A4109" w:rsidP="00E930B2">
            <w:pPr>
              <w:rPr>
                <w:rFonts w:eastAsiaTheme="minorEastAsia" w:cs="Arial"/>
                <w:sz w:val="16"/>
                <w:szCs w:val="16"/>
              </w:rPr>
            </w:pPr>
            <w:r w:rsidRPr="00664FF0">
              <w:rPr>
                <w:rFonts w:eastAsiaTheme="minorEastAsia" w:cs="Arial"/>
                <w:sz w:val="16"/>
                <w:szCs w:val="16"/>
              </w:rPr>
              <w:t> </w:t>
            </w:r>
          </w:p>
        </w:tc>
        <w:tc>
          <w:tcPr>
            <w:tcW w:w="0" w:type="auto"/>
            <w:tcBorders>
              <w:top w:val="single" w:sz="4" w:space="0" w:color="auto"/>
              <w:bottom w:val="single" w:sz="4" w:space="0" w:color="auto"/>
            </w:tcBorders>
            <w:shd w:val="clear" w:color="auto" w:fill="auto"/>
            <w:vAlign w:val="center"/>
            <w:hideMark/>
          </w:tcPr>
          <w:p w:rsidR="006A4109" w:rsidRPr="00664FF0" w:rsidRDefault="006A4109" w:rsidP="00E930B2">
            <w:pPr>
              <w:rPr>
                <w:rFonts w:eastAsiaTheme="minorEastAsia" w:cs="Arial"/>
                <w:sz w:val="16"/>
                <w:szCs w:val="16"/>
              </w:rPr>
            </w:pPr>
            <w:r w:rsidRPr="00664FF0">
              <w:rPr>
                <w:rFonts w:eastAsiaTheme="minorEastAsia" w:cs="Arial"/>
                <w:sz w:val="16"/>
                <w:szCs w:val="16"/>
              </w:rPr>
              <w:t> </w:t>
            </w:r>
          </w:p>
        </w:tc>
        <w:tc>
          <w:tcPr>
            <w:tcW w:w="0" w:type="auto"/>
            <w:tcBorders>
              <w:top w:val="single" w:sz="4" w:space="0" w:color="auto"/>
              <w:bottom w:val="single" w:sz="4" w:space="0" w:color="auto"/>
            </w:tcBorders>
            <w:shd w:val="clear" w:color="auto" w:fill="auto"/>
            <w:vAlign w:val="center"/>
            <w:hideMark/>
          </w:tcPr>
          <w:p w:rsidR="006A4109" w:rsidRPr="00664FF0" w:rsidRDefault="006A4109" w:rsidP="00E930B2">
            <w:pPr>
              <w:rPr>
                <w:rFonts w:eastAsiaTheme="minorEastAsia" w:cs="Arial"/>
                <w:sz w:val="16"/>
                <w:szCs w:val="16"/>
              </w:rPr>
            </w:pPr>
            <w:r w:rsidRPr="00664FF0">
              <w:rPr>
                <w:rFonts w:eastAsiaTheme="minorEastAsia" w:cs="Arial"/>
                <w:sz w:val="16"/>
                <w:szCs w:val="16"/>
              </w:rPr>
              <w:t>√</w:t>
            </w:r>
          </w:p>
        </w:tc>
      </w:tr>
      <w:tr w:rsidR="006A4109" w:rsidRPr="00664FF0" w:rsidTr="00E930B2">
        <w:trPr>
          <w:trHeight w:val="300"/>
        </w:trPr>
        <w:tc>
          <w:tcPr>
            <w:tcW w:w="1962" w:type="dxa"/>
            <w:tcBorders>
              <w:top w:val="single" w:sz="4" w:space="0" w:color="auto"/>
              <w:bottom w:val="single" w:sz="12" w:space="0" w:color="auto"/>
            </w:tcBorders>
            <w:shd w:val="clear" w:color="auto" w:fill="auto"/>
            <w:noWrap/>
            <w:vAlign w:val="center"/>
            <w:hideMark/>
          </w:tcPr>
          <w:p w:rsidR="006A4109" w:rsidRPr="00664FF0" w:rsidRDefault="006A4109" w:rsidP="00E930B2">
            <w:pPr>
              <w:rPr>
                <w:rFonts w:eastAsiaTheme="minorEastAsia" w:cs="Arial"/>
                <w:sz w:val="16"/>
                <w:szCs w:val="16"/>
              </w:rPr>
            </w:pPr>
            <w:r w:rsidRPr="00664FF0">
              <w:rPr>
                <w:rFonts w:eastAsiaTheme="minorEastAsia" w:cs="Arial"/>
                <w:sz w:val="16"/>
                <w:szCs w:val="16"/>
              </w:rPr>
              <w:t>PRL</w:t>
            </w:r>
          </w:p>
        </w:tc>
        <w:tc>
          <w:tcPr>
            <w:tcW w:w="0" w:type="auto"/>
            <w:tcBorders>
              <w:top w:val="single" w:sz="4" w:space="0" w:color="auto"/>
              <w:bottom w:val="single" w:sz="12" w:space="0" w:color="auto"/>
            </w:tcBorders>
            <w:shd w:val="clear" w:color="auto" w:fill="auto"/>
            <w:vAlign w:val="center"/>
            <w:hideMark/>
          </w:tcPr>
          <w:p w:rsidR="006A4109" w:rsidRPr="00664FF0" w:rsidRDefault="006A4109" w:rsidP="00E930B2">
            <w:pPr>
              <w:rPr>
                <w:rFonts w:eastAsiaTheme="minorEastAsia" w:cs="Arial"/>
                <w:sz w:val="16"/>
                <w:szCs w:val="16"/>
              </w:rPr>
            </w:pPr>
            <w:r w:rsidRPr="00664FF0">
              <w:rPr>
                <w:rFonts w:eastAsiaTheme="minorEastAsia" w:cs="Arial"/>
                <w:sz w:val="16"/>
                <w:szCs w:val="16"/>
              </w:rPr>
              <w:t>√</w:t>
            </w:r>
          </w:p>
        </w:tc>
        <w:tc>
          <w:tcPr>
            <w:tcW w:w="0" w:type="auto"/>
            <w:tcBorders>
              <w:top w:val="single" w:sz="4" w:space="0" w:color="auto"/>
              <w:bottom w:val="single" w:sz="12" w:space="0" w:color="auto"/>
            </w:tcBorders>
            <w:shd w:val="clear" w:color="auto" w:fill="auto"/>
            <w:vAlign w:val="center"/>
            <w:hideMark/>
          </w:tcPr>
          <w:p w:rsidR="006A4109" w:rsidRPr="00664FF0" w:rsidRDefault="006A4109" w:rsidP="00E930B2">
            <w:pPr>
              <w:rPr>
                <w:rFonts w:eastAsiaTheme="minorEastAsia" w:cs="Arial"/>
                <w:sz w:val="16"/>
                <w:szCs w:val="16"/>
              </w:rPr>
            </w:pPr>
            <w:r w:rsidRPr="00664FF0">
              <w:rPr>
                <w:rFonts w:eastAsiaTheme="minorEastAsia" w:cs="Arial"/>
                <w:sz w:val="16"/>
                <w:szCs w:val="16"/>
              </w:rPr>
              <w:t>√</w:t>
            </w:r>
          </w:p>
        </w:tc>
        <w:tc>
          <w:tcPr>
            <w:tcW w:w="0" w:type="auto"/>
            <w:tcBorders>
              <w:top w:val="single" w:sz="4" w:space="0" w:color="auto"/>
              <w:bottom w:val="single" w:sz="12" w:space="0" w:color="auto"/>
            </w:tcBorders>
            <w:shd w:val="clear" w:color="auto" w:fill="auto"/>
            <w:vAlign w:val="center"/>
            <w:hideMark/>
          </w:tcPr>
          <w:p w:rsidR="006A4109" w:rsidRPr="00664FF0" w:rsidRDefault="006A4109" w:rsidP="00E930B2">
            <w:pPr>
              <w:rPr>
                <w:rFonts w:eastAsiaTheme="minorEastAsia" w:cs="Arial"/>
                <w:sz w:val="16"/>
                <w:szCs w:val="16"/>
              </w:rPr>
            </w:pPr>
            <w:r w:rsidRPr="00664FF0">
              <w:rPr>
                <w:rFonts w:eastAsiaTheme="minorEastAsia" w:cs="Arial"/>
                <w:sz w:val="16"/>
                <w:szCs w:val="16"/>
              </w:rPr>
              <w:t>√</w:t>
            </w:r>
          </w:p>
        </w:tc>
        <w:tc>
          <w:tcPr>
            <w:tcW w:w="0" w:type="auto"/>
            <w:tcBorders>
              <w:top w:val="single" w:sz="4" w:space="0" w:color="auto"/>
              <w:bottom w:val="single" w:sz="12" w:space="0" w:color="auto"/>
            </w:tcBorders>
            <w:shd w:val="clear" w:color="auto" w:fill="auto"/>
            <w:vAlign w:val="center"/>
            <w:hideMark/>
          </w:tcPr>
          <w:p w:rsidR="006A4109" w:rsidRPr="00664FF0" w:rsidRDefault="006A4109" w:rsidP="00E930B2">
            <w:pPr>
              <w:rPr>
                <w:rFonts w:eastAsiaTheme="minorEastAsia" w:cs="Arial"/>
                <w:sz w:val="16"/>
                <w:szCs w:val="16"/>
              </w:rPr>
            </w:pPr>
            <w:r w:rsidRPr="00664FF0">
              <w:rPr>
                <w:rFonts w:eastAsiaTheme="minorEastAsia" w:cs="Arial"/>
                <w:sz w:val="16"/>
                <w:szCs w:val="16"/>
              </w:rPr>
              <w:t>√</w:t>
            </w:r>
          </w:p>
        </w:tc>
        <w:tc>
          <w:tcPr>
            <w:tcW w:w="0" w:type="auto"/>
            <w:tcBorders>
              <w:top w:val="single" w:sz="4" w:space="0" w:color="auto"/>
              <w:bottom w:val="single" w:sz="12" w:space="0" w:color="auto"/>
            </w:tcBorders>
            <w:shd w:val="clear" w:color="auto" w:fill="auto"/>
            <w:vAlign w:val="center"/>
            <w:hideMark/>
          </w:tcPr>
          <w:p w:rsidR="006A4109" w:rsidRPr="00664FF0" w:rsidRDefault="006A4109" w:rsidP="00E930B2">
            <w:pPr>
              <w:rPr>
                <w:rFonts w:eastAsiaTheme="minorEastAsia" w:cs="Arial"/>
                <w:sz w:val="16"/>
                <w:szCs w:val="16"/>
              </w:rPr>
            </w:pPr>
            <w:r w:rsidRPr="00664FF0">
              <w:rPr>
                <w:rFonts w:eastAsiaTheme="minorEastAsia" w:cs="Arial"/>
                <w:sz w:val="16"/>
                <w:szCs w:val="16"/>
              </w:rPr>
              <w:t>√</w:t>
            </w:r>
          </w:p>
        </w:tc>
        <w:tc>
          <w:tcPr>
            <w:tcW w:w="0" w:type="auto"/>
            <w:tcBorders>
              <w:top w:val="single" w:sz="4" w:space="0" w:color="auto"/>
              <w:bottom w:val="single" w:sz="12" w:space="0" w:color="auto"/>
            </w:tcBorders>
            <w:shd w:val="clear" w:color="auto" w:fill="auto"/>
            <w:vAlign w:val="center"/>
            <w:hideMark/>
          </w:tcPr>
          <w:p w:rsidR="006A4109" w:rsidRPr="00664FF0" w:rsidRDefault="006A4109" w:rsidP="00E930B2">
            <w:pPr>
              <w:rPr>
                <w:rFonts w:eastAsiaTheme="minorEastAsia" w:cs="Arial"/>
                <w:sz w:val="16"/>
                <w:szCs w:val="16"/>
              </w:rPr>
            </w:pPr>
            <w:r w:rsidRPr="00664FF0">
              <w:rPr>
                <w:rFonts w:eastAsiaTheme="minorEastAsia" w:cs="Arial"/>
                <w:sz w:val="16"/>
                <w:szCs w:val="16"/>
              </w:rPr>
              <w:t>√</w:t>
            </w:r>
          </w:p>
        </w:tc>
        <w:tc>
          <w:tcPr>
            <w:tcW w:w="0" w:type="auto"/>
            <w:tcBorders>
              <w:top w:val="single" w:sz="4" w:space="0" w:color="auto"/>
              <w:bottom w:val="single" w:sz="12" w:space="0" w:color="auto"/>
            </w:tcBorders>
            <w:shd w:val="clear" w:color="auto" w:fill="auto"/>
            <w:vAlign w:val="center"/>
            <w:hideMark/>
          </w:tcPr>
          <w:p w:rsidR="006A4109" w:rsidRPr="00664FF0" w:rsidRDefault="006A4109" w:rsidP="00E930B2">
            <w:pPr>
              <w:rPr>
                <w:rFonts w:eastAsiaTheme="minorEastAsia" w:cs="Arial"/>
                <w:sz w:val="16"/>
                <w:szCs w:val="16"/>
              </w:rPr>
            </w:pPr>
            <w:r w:rsidRPr="00664FF0">
              <w:rPr>
                <w:rFonts w:eastAsiaTheme="minorEastAsia" w:cs="Arial"/>
                <w:sz w:val="16"/>
                <w:szCs w:val="16"/>
              </w:rPr>
              <w:t>√</w:t>
            </w:r>
          </w:p>
        </w:tc>
        <w:tc>
          <w:tcPr>
            <w:tcW w:w="0" w:type="auto"/>
            <w:tcBorders>
              <w:top w:val="single" w:sz="4" w:space="0" w:color="auto"/>
              <w:bottom w:val="single" w:sz="12" w:space="0" w:color="auto"/>
            </w:tcBorders>
            <w:shd w:val="clear" w:color="auto" w:fill="auto"/>
            <w:vAlign w:val="center"/>
            <w:hideMark/>
          </w:tcPr>
          <w:p w:rsidR="006A4109" w:rsidRPr="00664FF0" w:rsidRDefault="006A4109" w:rsidP="00E930B2">
            <w:pPr>
              <w:rPr>
                <w:rFonts w:eastAsiaTheme="minorEastAsia" w:cs="Arial"/>
                <w:sz w:val="16"/>
                <w:szCs w:val="16"/>
              </w:rPr>
            </w:pPr>
            <w:r w:rsidRPr="00664FF0">
              <w:rPr>
                <w:rFonts w:eastAsiaTheme="minorEastAsia" w:cs="Arial"/>
                <w:sz w:val="16"/>
                <w:szCs w:val="16"/>
              </w:rPr>
              <w:t>√</w:t>
            </w:r>
          </w:p>
        </w:tc>
        <w:tc>
          <w:tcPr>
            <w:tcW w:w="0" w:type="auto"/>
            <w:tcBorders>
              <w:top w:val="single" w:sz="4" w:space="0" w:color="auto"/>
              <w:bottom w:val="single" w:sz="12" w:space="0" w:color="auto"/>
            </w:tcBorders>
            <w:shd w:val="clear" w:color="auto" w:fill="auto"/>
            <w:vAlign w:val="center"/>
            <w:hideMark/>
          </w:tcPr>
          <w:p w:rsidR="006A4109" w:rsidRPr="00664FF0" w:rsidRDefault="006A4109" w:rsidP="00E930B2">
            <w:pPr>
              <w:rPr>
                <w:rFonts w:eastAsiaTheme="minorEastAsia" w:cs="Arial"/>
                <w:sz w:val="16"/>
                <w:szCs w:val="16"/>
              </w:rPr>
            </w:pPr>
            <w:r w:rsidRPr="00664FF0">
              <w:rPr>
                <w:rFonts w:eastAsiaTheme="minorEastAsia" w:cs="Arial"/>
                <w:sz w:val="16"/>
                <w:szCs w:val="16"/>
              </w:rPr>
              <w:t>√</w:t>
            </w:r>
          </w:p>
        </w:tc>
        <w:tc>
          <w:tcPr>
            <w:tcW w:w="0" w:type="auto"/>
            <w:tcBorders>
              <w:top w:val="single" w:sz="4" w:space="0" w:color="auto"/>
              <w:bottom w:val="single" w:sz="12" w:space="0" w:color="auto"/>
            </w:tcBorders>
            <w:shd w:val="clear" w:color="auto" w:fill="auto"/>
            <w:vAlign w:val="center"/>
            <w:hideMark/>
          </w:tcPr>
          <w:p w:rsidR="006A4109" w:rsidRPr="00664FF0" w:rsidRDefault="006A4109" w:rsidP="00E930B2">
            <w:pPr>
              <w:rPr>
                <w:rFonts w:eastAsiaTheme="minorEastAsia" w:cs="Arial"/>
                <w:sz w:val="16"/>
                <w:szCs w:val="16"/>
              </w:rPr>
            </w:pPr>
            <w:r w:rsidRPr="00664FF0">
              <w:rPr>
                <w:rFonts w:eastAsiaTheme="minorEastAsia" w:cs="Arial"/>
                <w:sz w:val="16"/>
                <w:szCs w:val="16"/>
              </w:rPr>
              <w:t>√</w:t>
            </w:r>
          </w:p>
        </w:tc>
        <w:tc>
          <w:tcPr>
            <w:tcW w:w="0" w:type="auto"/>
            <w:tcBorders>
              <w:top w:val="single" w:sz="4" w:space="0" w:color="auto"/>
              <w:bottom w:val="single" w:sz="12" w:space="0" w:color="auto"/>
            </w:tcBorders>
            <w:shd w:val="clear" w:color="auto" w:fill="auto"/>
            <w:vAlign w:val="center"/>
            <w:hideMark/>
          </w:tcPr>
          <w:p w:rsidR="006A4109" w:rsidRPr="00664FF0" w:rsidRDefault="006A4109" w:rsidP="00E930B2">
            <w:pPr>
              <w:rPr>
                <w:rFonts w:eastAsiaTheme="minorEastAsia" w:cs="Arial"/>
                <w:sz w:val="16"/>
                <w:szCs w:val="16"/>
              </w:rPr>
            </w:pPr>
            <w:r w:rsidRPr="00664FF0">
              <w:rPr>
                <w:rFonts w:eastAsiaTheme="minorEastAsia" w:cs="Arial"/>
                <w:sz w:val="16"/>
                <w:szCs w:val="16"/>
              </w:rPr>
              <w:t>√</w:t>
            </w:r>
          </w:p>
        </w:tc>
        <w:tc>
          <w:tcPr>
            <w:tcW w:w="0" w:type="auto"/>
            <w:tcBorders>
              <w:top w:val="single" w:sz="4" w:space="0" w:color="auto"/>
              <w:bottom w:val="single" w:sz="12" w:space="0" w:color="auto"/>
            </w:tcBorders>
            <w:shd w:val="clear" w:color="auto" w:fill="auto"/>
            <w:vAlign w:val="center"/>
            <w:hideMark/>
          </w:tcPr>
          <w:p w:rsidR="006A4109" w:rsidRPr="00664FF0" w:rsidRDefault="006A4109" w:rsidP="00E930B2">
            <w:pPr>
              <w:rPr>
                <w:rFonts w:eastAsiaTheme="minorEastAsia" w:cs="Arial"/>
                <w:sz w:val="16"/>
                <w:szCs w:val="16"/>
              </w:rPr>
            </w:pPr>
            <w:r w:rsidRPr="00664FF0">
              <w:rPr>
                <w:rFonts w:eastAsiaTheme="minorEastAsia" w:cs="Arial"/>
                <w:sz w:val="16"/>
                <w:szCs w:val="16"/>
              </w:rPr>
              <w:t> </w:t>
            </w:r>
          </w:p>
        </w:tc>
        <w:tc>
          <w:tcPr>
            <w:tcW w:w="0" w:type="auto"/>
            <w:tcBorders>
              <w:top w:val="single" w:sz="4" w:space="0" w:color="auto"/>
              <w:bottom w:val="single" w:sz="12" w:space="0" w:color="auto"/>
            </w:tcBorders>
            <w:shd w:val="clear" w:color="auto" w:fill="auto"/>
            <w:vAlign w:val="center"/>
            <w:hideMark/>
          </w:tcPr>
          <w:p w:rsidR="006A4109" w:rsidRPr="00664FF0" w:rsidRDefault="006A4109" w:rsidP="00E930B2">
            <w:pPr>
              <w:rPr>
                <w:rFonts w:eastAsiaTheme="minorEastAsia" w:cs="Arial"/>
                <w:sz w:val="16"/>
                <w:szCs w:val="16"/>
              </w:rPr>
            </w:pPr>
            <w:r w:rsidRPr="00664FF0">
              <w:rPr>
                <w:rFonts w:eastAsiaTheme="minorEastAsia" w:cs="Arial"/>
                <w:sz w:val="16"/>
                <w:szCs w:val="16"/>
              </w:rPr>
              <w:t> </w:t>
            </w:r>
          </w:p>
        </w:tc>
      </w:tr>
    </w:tbl>
    <w:p w:rsidR="006A4109" w:rsidRPr="007507A8" w:rsidRDefault="006A4109" w:rsidP="00E930B2">
      <w:pPr>
        <w:rPr>
          <w:rFonts w:cs="Arial"/>
        </w:rPr>
      </w:pPr>
    </w:p>
    <w:p w:rsidR="006A4109" w:rsidRPr="007507A8" w:rsidRDefault="006A4109" w:rsidP="00E930B2">
      <w:pPr>
        <w:rPr>
          <w:rFonts w:cs="Arial"/>
        </w:rPr>
      </w:pPr>
      <w:r w:rsidRPr="007507A8">
        <w:rPr>
          <w:rFonts w:cs="Arial"/>
        </w:rPr>
        <w:t xml:space="preserve">L’oferta formativa que s’està </w:t>
      </w:r>
      <w:r>
        <w:rPr>
          <w:rFonts w:cs="Arial"/>
        </w:rPr>
        <w:t>impartint</w:t>
      </w:r>
      <w:r w:rsidRPr="007507A8">
        <w:rPr>
          <w:rFonts w:cs="Arial"/>
        </w:rPr>
        <w:t xml:space="preserve"> actualment s’orienta cap a la formació professional per a l’ocupació, però també la relacionada amb l’activitat productiva de</w:t>
      </w:r>
      <w:r>
        <w:rPr>
          <w:rFonts w:cs="Arial"/>
        </w:rPr>
        <w:t>l</w:t>
      </w:r>
      <w:r w:rsidRPr="007507A8">
        <w:rPr>
          <w:rFonts w:cs="Arial"/>
        </w:rPr>
        <w:t xml:space="preserve"> CIRE en la prestació de serveis en els </w:t>
      </w:r>
      <w:r>
        <w:rPr>
          <w:rFonts w:cs="Arial"/>
        </w:rPr>
        <w:t>mateixos</w:t>
      </w:r>
      <w:r w:rsidRPr="007507A8">
        <w:rPr>
          <w:rFonts w:cs="Arial"/>
        </w:rPr>
        <w:t xml:space="preserve"> centres penitenciaris.</w:t>
      </w:r>
    </w:p>
    <w:p w:rsidR="006A4109" w:rsidRPr="007507A8" w:rsidRDefault="006A4109" w:rsidP="00E930B2">
      <w:pPr>
        <w:rPr>
          <w:rFonts w:cs="Arial"/>
        </w:rPr>
      </w:pPr>
    </w:p>
    <w:p w:rsidR="006A4109" w:rsidRDefault="006A4109" w:rsidP="00E930B2">
      <w:pPr>
        <w:spacing w:before="0"/>
        <w:jc w:val="left"/>
        <w:rPr>
          <w:rFonts w:cs="Arial"/>
        </w:rPr>
      </w:pPr>
      <w:r>
        <w:rPr>
          <w:rFonts w:cs="Arial"/>
        </w:rPr>
        <w:br w:type="page"/>
      </w:r>
    </w:p>
    <w:p w:rsidR="006A4109" w:rsidRPr="007507A8" w:rsidRDefault="006A4109" w:rsidP="00E930B2">
      <w:pPr>
        <w:rPr>
          <w:rFonts w:cs="Arial"/>
        </w:rPr>
      </w:pPr>
      <w:r w:rsidRPr="007507A8">
        <w:rPr>
          <w:rFonts w:cs="Arial"/>
        </w:rPr>
        <w:lastRenderedPageBreak/>
        <w:t>Especia</w:t>
      </w:r>
      <w:r>
        <w:rPr>
          <w:rFonts w:cs="Arial"/>
        </w:rPr>
        <w:t>litats d’accions formatives de f</w:t>
      </w:r>
      <w:r w:rsidRPr="007507A8">
        <w:rPr>
          <w:rFonts w:cs="Arial"/>
        </w:rPr>
        <w:t xml:space="preserve">ormació </w:t>
      </w:r>
      <w:r>
        <w:rPr>
          <w:rFonts w:cs="Arial"/>
        </w:rPr>
        <w:t>professional per a l’o</w:t>
      </w:r>
      <w:r w:rsidRPr="007507A8">
        <w:rPr>
          <w:rFonts w:cs="Arial"/>
        </w:rPr>
        <w:t>cupació</w:t>
      </w:r>
    </w:p>
    <w:tbl>
      <w:tblPr>
        <w:tblW w:w="0" w:type="auto"/>
        <w:tblCellMar>
          <w:left w:w="70" w:type="dxa"/>
          <w:right w:w="70" w:type="dxa"/>
        </w:tblCellMar>
        <w:tblLook w:val="04A0" w:firstRow="1" w:lastRow="0" w:firstColumn="1" w:lastColumn="0" w:noHBand="0" w:noVBand="1"/>
      </w:tblPr>
      <w:tblGrid>
        <w:gridCol w:w="1711"/>
        <w:gridCol w:w="674"/>
        <w:gridCol w:w="629"/>
        <w:gridCol w:w="594"/>
        <w:gridCol w:w="718"/>
        <w:gridCol w:w="638"/>
        <w:gridCol w:w="638"/>
        <w:gridCol w:w="683"/>
        <w:gridCol w:w="541"/>
        <w:gridCol w:w="612"/>
        <w:gridCol w:w="612"/>
        <w:gridCol w:w="585"/>
        <w:gridCol w:w="576"/>
      </w:tblGrid>
      <w:tr w:rsidR="006A4109" w:rsidRPr="00664FF0" w:rsidTr="00E930B2">
        <w:trPr>
          <w:trHeight w:val="567"/>
        </w:trPr>
        <w:tc>
          <w:tcPr>
            <w:tcW w:w="2686" w:type="dxa"/>
            <w:tcBorders>
              <w:bottom w:val="single" w:sz="12" w:space="0" w:color="auto"/>
            </w:tcBorders>
            <w:shd w:val="clear" w:color="auto" w:fill="D9D9D9" w:themeFill="background1" w:themeFillShade="D9"/>
            <w:vAlign w:val="center"/>
            <w:hideMark/>
          </w:tcPr>
          <w:p w:rsidR="006A4109" w:rsidRPr="00664FF0" w:rsidRDefault="006A4109" w:rsidP="00E930B2">
            <w:pPr>
              <w:rPr>
                <w:rFonts w:eastAsiaTheme="minorEastAsia" w:cs="Arial"/>
                <w:b/>
                <w:sz w:val="16"/>
                <w:szCs w:val="16"/>
              </w:rPr>
            </w:pPr>
            <w:r w:rsidRPr="00664FF0">
              <w:rPr>
                <w:rFonts w:eastAsiaTheme="minorEastAsia" w:cs="Arial"/>
                <w:b/>
                <w:sz w:val="16"/>
                <w:szCs w:val="16"/>
              </w:rPr>
              <w:t>Formació professional per a l’ocupació</w:t>
            </w:r>
          </w:p>
        </w:tc>
        <w:tc>
          <w:tcPr>
            <w:tcW w:w="0" w:type="auto"/>
            <w:tcBorders>
              <w:bottom w:val="single" w:sz="12" w:space="0" w:color="auto"/>
            </w:tcBorders>
            <w:shd w:val="clear" w:color="auto" w:fill="D9D9D9" w:themeFill="background1" w:themeFillShade="D9"/>
            <w:vAlign w:val="center"/>
            <w:hideMark/>
          </w:tcPr>
          <w:p w:rsidR="006A4109" w:rsidRPr="00664FF0" w:rsidRDefault="006A4109" w:rsidP="00E930B2">
            <w:pPr>
              <w:rPr>
                <w:rFonts w:eastAsiaTheme="minorEastAsia" w:cs="Arial"/>
                <w:b/>
                <w:sz w:val="16"/>
                <w:szCs w:val="16"/>
              </w:rPr>
            </w:pPr>
            <w:r w:rsidRPr="00664FF0">
              <w:rPr>
                <w:rFonts w:eastAsiaTheme="minorEastAsia" w:cs="Arial"/>
                <w:b/>
                <w:sz w:val="16"/>
                <w:szCs w:val="16"/>
              </w:rPr>
              <w:t>CP Homes</w:t>
            </w:r>
          </w:p>
        </w:tc>
        <w:tc>
          <w:tcPr>
            <w:tcW w:w="0" w:type="auto"/>
            <w:tcBorders>
              <w:bottom w:val="single" w:sz="12" w:space="0" w:color="auto"/>
            </w:tcBorders>
            <w:shd w:val="clear" w:color="auto" w:fill="D9D9D9" w:themeFill="background1" w:themeFillShade="D9"/>
            <w:vAlign w:val="center"/>
            <w:hideMark/>
          </w:tcPr>
          <w:p w:rsidR="006A4109" w:rsidRPr="00664FF0" w:rsidRDefault="006A4109" w:rsidP="00E930B2">
            <w:pPr>
              <w:rPr>
                <w:rFonts w:eastAsiaTheme="minorEastAsia" w:cs="Arial"/>
                <w:b/>
                <w:sz w:val="16"/>
                <w:szCs w:val="16"/>
              </w:rPr>
            </w:pPr>
            <w:r w:rsidRPr="00664FF0">
              <w:rPr>
                <w:rFonts w:eastAsiaTheme="minorEastAsia" w:cs="Arial"/>
                <w:b/>
                <w:sz w:val="16"/>
                <w:szCs w:val="16"/>
              </w:rPr>
              <w:t>CP Dones</w:t>
            </w:r>
          </w:p>
        </w:tc>
        <w:tc>
          <w:tcPr>
            <w:tcW w:w="0" w:type="auto"/>
            <w:tcBorders>
              <w:bottom w:val="single" w:sz="12" w:space="0" w:color="auto"/>
            </w:tcBorders>
            <w:shd w:val="clear" w:color="auto" w:fill="D9D9D9" w:themeFill="background1" w:themeFillShade="D9"/>
            <w:vAlign w:val="center"/>
            <w:hideMark/>
          </w:tcPr>
          <w:p w:rsidR="006A4109" w:rsidRPr="00664FF0" w:rsidRDefault="006A4109" w:rsidP="00E930B2">
            <w:pPr>
              <w:rPr>
                <w:rFonts w:eastAsiaTheme="minorEastAsia" w:cs="Arial"/>
                <w:b/>
                <w:sz w:val="16"/>
                <w:szCs w:val="16"/>
              </w:rPr>
            </w:pPr>
            <w:r w:rsidRPr="00664FF0">
              <w:rPr>
                <w:rFonts w:eastAsiaTheme="minorEastAsia" w:cs="Arial"/>
                <w:b/>
                <w:sz w:val="16"/>
                <w:szCs w:val="16"/>
              </w:rPr>
              <w:t>CP Joves QC</w:t>
            </w:r>
          </w:p>
        </w:tc>
        <w:tc>
          <w:tcPr>
            <w:tcW w:w="0" w:type="auto"/>
            <w:tcBorders>
              <w:bottom w:val="single" w:sz="12" w:space="0" w:color="auto"/>
            </w:tcBorders>
            <w:shd w:val="clear" w:color="auto" w:fill="D9D9D9" w:themeFill="background1" w:themeFillShade="D9"/>
            <w:vAlign w:val="center"/>
            <w:hideMark/>
          </w:tcPr>
          <w:p w:rsidR="006A4109" w:rsidRPr="00664FF0" w:rsidRDefault="006A4109" w:rsidP="00E930B2">
            <w:pPr>
              <w:rPr>
                <w:rFonts w:eastAsiaTheme="minorEastAsia" w:cs="Arial"/>
                <w:b/>
                <w:sz w:val="16"/>
                <w:szCs w:val="16"/>
              </w:rPr>
            </w:pPr>
            <w:r w:rsidRPr="00664FF0">
              <w:rPr>
                <w:rFonts w:eastAsiaTheme="minorEastAsia" w:cs="Arial"/>
                <w:b/>
                <w:sz w:val="16"/>
                <w:szCs w:val="16"/>
              </w:rPr>
              <w:t>CP Quatre Camins</w:t>
            </w:r>
          </w:p>
        </w:tc>
        <w:tc>
          <w:tcPr>
            <w:tcW w:w="0" w:type="auto"/>
            <w:tcBorders>
              <w:bottom w:val="single" w:sz="12" w:space="0" w:color="auto"/>
            </w:tcBorders>
            <w:shd w:val="clear" w:color="auto" w:fill="D9D9D9" w:themeFill="background1" w:themeFillShade="D9"/>
            <w:vAlign w:val="center"/>
            <w:hideMark/>
          </w:tcPr>
          <w:p w:rsidR="006A4109" w:rsidRPr="00664FF0" w:rsidRDefault="006A4109" w:rsidP="00E930B2">
            <w:pPr>
              <w:rPr>
                <w:rFonts w:eastAsiaTheme="minorEastAsia" w:cs="Arial"/>
                <w:b/>
                <w:sz w:val="16"/>
                <w:szCs w:val="16"/>
              </w:rPr>
            </w:pPr>
            <w:r w:rsidRPr="00664FF0">
              <w:rPr>
                <w:rFonts w:eastAsiaTheme="minorEastAsia" w:cs="Arial"/>
                <w:b/>
                <w:sz w:val="16"/>
                <w:szCs w:val="16"/>
              </w:rPr>
              <w:t>CP Brians 1</w:t>
            </w:r>
          </w:p>
        </w:tc>
        <w:tc>
          <w:tcPr>
            <w:tcW w:w="0" w:type="auto"/>
            <w:tcBorders>
              <w:bottom w:val="single" w:sz="12" w:space="0" w:color="auto"/>
            </w:tcBorders>
            <w:shd w:val="clear" w:color="auto" w:fill="D9D9D9" w:themeFill="background1" w:themeFillShade="D9"/>
            <w:vAlign w:val="center"/>
            <w:hideMark/>
          </w:tcPr>
          <w:p w:rsidR="006A4109" w:rsidRPr="00664FF0" w:rsidRDefault="006A4109" w:rsidP="00E930B2">
            <w:pPr>
              <w:rPr>
                <w:rFonts w:eastAsiaTheme="minorEastAsia" w:cs="Arial"/>
                <w:b/>
                <w:sz w:val="16"/>
                <w:szCs w:val="16"/>
              </w:rPr>
            </w:pPr>
            <w:r w:rsidRPr="00664FF0">
              <w:rPr>
                <w:rFonts w:eastAsiaTheme="minorEastAsia" w:cs="Arial"/>
                <w:b/>
                <w:sz w:val="16"/>
                <w:szCs w:val="16"/>
              </w:rPr>
              <w:t>CP Brians 2</w:t>
            </w:r>
          </w:p>
        </w:tc>
        <w:tc>
          <w:tcPr>
            <w:tcW w:w="0" w:type="auto"/>
            <w:tcBorders>
              <w:bottom w:val="single" w:sz="12" w:space="0" w:color="auto"/>
            </w:tcBorders>
            <w:shd w:val="clear" w:color="auto" w:fill="D9D9D9" w:themeFill="background1" w:themeFillShade="D9"/>
            <w:vAlign w:val="center"/>
            <w:hideMark/>
          </w:tcPr>
          <w:p w:rsidR="006A4109" w:rsidRPr="00664FF0" w:rsidRDefault="006A4109" w:rsidP="00E930B2">
            <w:pPr>
              <w:rPr>
                <w:rFonts w:eastAsiaTheme="minorEastAsia" w:cs="Arial"/>
                <w:b/>
                <w:sz w:val="16"/>
                <w:szCs w:val="16"/>
              </w:rPr>
            </w:pPr>
            <w:r w:rsidRPr="00664FF0">
              <w:rPr>
                <w:rFonts w:eastAsiaTheme="minorEastAsia" w:cs="Arial"/>
                <w:b/>
                <w:sz w:val="16"/>
                <w:szCs w:val="16"/>
              </w:rPr>
              <w:t>CP Ponent</w:t>
            </w:r>
          </w:p>
        </w:tc>
        <w:tc>
          <w:tcPr>
            <w:tcW w:w="0" w:type="auto"/>
            <w:tcBorders>
              <w:bottom w:val="single" w:sz="12" w:space="0" w:color="auto"/>
            </w:tcBorders>
            <w:shd w:val="clear" w:color="auto" w:fill="D9D9D9" w:themeFill="background1" w:themeFillShade="D9"/>
            <w:vAlign w:val="center"/>
            <w:hideMark/>
          </w:tcPr>
          <w:p w:rsidR="006A4109" w:rsidRPr="00664FF0" w:rsidRDefault="006A4109" w:rsidP="00E930B2">
            <w:pPr>
              <w:rPr>
                <w:rFonts w:eastAsiaTheme="minorEastAsia" w:cs="Arial"/>
                <w:b/>
                <w:sz w:val="16"/>
                <w:szCs w:val="16"/>
              </w:rPr>
            </w:pPr>
            <w:r w:rsidRPr="00664FF0">
              <w:rPr>
                <w:rFonts w:eastAsiaTheme="minorEastAsia" w:cs="Arial"/>
                <w:b/>
                <w:sz w:val="16"/>
                <w:szCs w:val="16"/>
              </w:rPr>
              <w:t>CP Mas</w:t>
            </w:r>
            <w:r>
              <w:rPr>
                <w:rFonts w:eastAsiaTheme="minorEastAsia" w:cs="Arial"/>
                <w:b/>
                <w:sz w:val="16"/>
                <w:szCs w:val="16"/>
              </w:rPr>
              <w:t xml:space="preserve"> </w:t>
            </w:r>
            <w:r w:rsidRPr="00664FF0">
              <w:rPr>
                <w:rFonts w:eastAsiaTheme="minorEastAsia" w:cs="Arial"/>
                <w:b/>
                <w:sz w:val="16"/>
                <w:szCs w:val="16"/>
              </w:rPr>
              <w:t>Enric</w:t>
            </w:r>
          </w:p>
        </w:tc>
        <w:tc>
          <w:tcPr>
            <w:tcW w:w="0" w:type="auto"/>
            <w:tcBorders>
              <w:bottom w:val="single" w:sz="12" w:space="0" w:color="auto"/>
            </w:tcBorders>
            <w:shd w:val="clear" w:color="auto" w:fill="D9D9D9" w:themeFill="background1" w:themeFillShade="D9"/>
            <w:vAlign w:val="center"/>
            <w:hideMark/>
          </w:tcPr>
          <w:p w:rsidR="006A4109" w:rsidRPr="00664FF0" w:rsidRDefault="006A4109" w:rsidP="00E930B2">
            <w:pPr>
              <w:rPr>
                <w:rFonts w:eastAsiaTheme="minorEastAsia" w:cs="Arial"/>
                <w:b/>
                <w:sz w:val="16"/>
                <w:szCs w:val="16"/>
              </w:rPr>
            </w:pPr>
            <w:r w:rsidRPr="00664FF0">
              <w:rPr>
                <w:rFonts w:eastAsiaTheme="minorEastAsia" w:cs="Arial"/>
                <w:b/>
                <w:sz w:val="16"/>
                <w:szCs w:val="16"/>
              </w:rPr>
              <w:t>CE Can Llupià</w:t>
            </w:r>
          </w:p>
        </w:tc>
        <w:tc>
          <w:tcPr>
            <w:tcW w:w="0" w:type="auto"/>
            <w:tcBorders>
              <w:bottom w:val="single" w:sz="12" w:space="0" w:color="auto"/>
            </w:tcBorders>
            <w:shd w:val="clear" w:color="auto" w:fill="D9D9D9" w:themeFill="background1" w:themeFillShade="D9"/>
            <w:vAlign w:val="center"/>
            <w:hideMark/>
          </w:tcPr>
          <w:p w:rsidR="006A4109" w:rsidRPr="00664FF0" w:rsidRDefault="006A4109" w:rsidP="00E930B2">
            <w:pPr>
              <w:rPr>
                <w:rFonts w:eastAsiaTheme="minorEastAsia" w:cs="Arial"/>
                <w:b/>
                <w:sz w:val="16"/>
                <w:szCs w:val="16"/>
              </w:rPr>
            </w:pPr>
            <w:r w:rsidRPr="00664FF0">
              <w:rPr>
                <w:rFonts w:eastAsiaTheme="minorEastAsia" w:cs="Arial"/>
                <w:b/>
                <w:sz w:val="16"/>
                <w:szCs w:val="16"/>
              </w:rPr>
              <w:t>CE  Alzina</w:t>
            </w:r>
          </w:p>
        </w:tc>
        <w:tc>
          <w:tcPr>
            <w:tcW w:w="0" w:type="auto"/>
            <w:tcBorders>
              <w:bottom w:val="single" w:sz="12" w:space="0" w:color="auto"/>
            </w:tcBorders>
            <w:shd w:val="clear" w:color="auto" w:fill="D9D9D9" w:themeFill="background1" w:themeFillShade="D9"/>
            <w:vAlign w:val="center"/>
            <w:hideMark/>
          </w:tcPr>
          <w:p w:rsidR="006A4109" w:rsidRPr="00664FF0" w:rsidRDefault="006A4109" w:rsidP="00E930B2">
            <w:pPr>
              <w:rPr>
                <w:rFonts w:eastAsiaTheme="minorEastAsia" w:cs="Arial"/>
                <w:b/>
                <w:sz w:val="16"/>
                <w:szCs w:val="16"/>
              </w:rPr>
            </w:pPr>
            <w:r w:rsidRPr="00664FF0">
              <w:rPr>
                <w:rFonts w:eastAsiaTheme="minorEastAsia" w:cs="Arial"/>
                <w:b/>
                <w:sz w:val="16"/>
                <w:szCs w:val="16"/>
              </w:rPr>
              <w:t>CE El Segre</w:t>
            </w:r>
          </w:p>
        </w:tc>
        <w:tc>
          <w:tcPr>
            <w:tcW w:w="0" w:type="auto"/>
            <w:tcBorders>
              <w:bottom w:val="single" w:sz="12" w:space="0" w:color="auto"/>
            </w:tcBorders>
            <w:shd w:val="clear" w:color="auto" w:fill="D9D9D9" w:themeFill="background1" w:themeFillShade="D9"/>
            <w:vAlign w:val="center"/>
            <w:hideMark/>
          </w:tcPr>
          <w:p w:rsidR="006A4109" w:rsidRPr="00664FF0" w:rsidRDefault="006A4109" w:rsidP="00E930B2">
            <w:pPr>
              <w:rPr>
                <w:rFonts w:eastAsiaTheme="minorEastAsia" w:cs="Arial"/>
                <w:b/>
                <w:sz w:val="16"/>
                <w:szCs w:val="16"/>
              </w:rPr>
            </w:pPr>
            <w:r w:rsidRPr="00664FF0">
              <w:rPr>
                <w:rFonts w:eastAsiaTheme="minorEastAsia" w:cs="Arial"/>
                <w:b/>
                <w:sz w:val="16"/>
                <w:szCs w:val="16"/>
              </w:rPr>
              <w:t>CE Oriol Badia</w:t>
            </w:r>
          </w:p>
        </w:tc>
      </w:tr>
      <w:tr w:rsidR="006A4109" w:rsidRPr="00664FF0" w:rsidTr="00E930B2">
        <w:trPr>
          <w:trHeight w:val="328"/>
        </w:trPr>
        <w:tc>
          <w:tcPr>
            <w:tcW w:w="0" w:type="auto"/>
            <w:tcBorders>
              <w:top w:val="single" w:sz="12" w:space="0" w:color="auto"/>
              <w:bottom w:val="single" w:sz="4" w:space="0" w:color="auto"/>
            </w:tcBorders>
            <w:shd w:val="clear" w:color="auto" w:fill="auto"/>
            <w:vAlign w:val="center"/>
            <w:hideMark/>
          </w:tcPr>
          <w:p w:rsidR="006A4109" w:rsidRPr="00664FF0" w:rsidRDefault="006A4109" w:rsidP="00E930B2">
            <w:pPr>
              <w:rPr>
                <w:rFonts w:eastAsiaTheme="minorEastAsia" w:cs="Arial"/>
                <w:sz w:val="16"/>
                <w:szCs w:val="16"/>
              </w:rPr>
            </w:pPr>
            <w:r w:rsidRPr="00664FF0">
              <w:rPr>
                <w:rFonts w:eastAsiaTheme="minorEastAsia" w:cs="Arial"/>
                <w:sz w:val="16"/>
                <w:szCs w:val="16"/>
              </w:rPr>
              <w:t xml:space="preserve">Aprendre a </w:t>
            </w:r>
            <w:r>
              <w:rPr>
                <w:rFonts w:eastAsiaTheme="minorEastAsia" w:cs="Arial"/>
                <w:sz w:val="16"/>
                <w:szCs w:val="16"/>
              </w:rPr>
              <w:t>a</w:t>
            </w:r>
            <w:r w:rsidRPr="00664FF0">
              <w:rPr>
                <w:rFonts w:eastAsiaTheme="minorEastAsia" w:cs="Arial"/>
                <w:sz w:val="16"/>
                <w:szCs w:val="16"/>
              </w:rPr>
              <w:t>prendre</w:t>
            </w:r>
          </w:p>
        </w:tc>
        <w:tc>
          <w:tcPr>
            <w:tcW w:w="0" w:type="auto"/>
            <w:tcBorders>
              <w:top w:val="single" w:sz="12" w:space="0" w:color="auto"/>
              <w:bottom w:val="single" w:sz="4" w:space="0" w:color="auto"/>
            </w:tcBorders>
            <w:shd w:val="clear" w:color="auto" w:fill="auto"/>
            <w:vAlign w:val="center"/>
            <w:hideMark/>
          </w:tcPr>
          <w:p w:rsidR="006A4109" w:rsidRPr="00664FF0" w:rsidRDefault="006A4109" w:rsidP="00E930B2">
            <w:pPr>
              <w:rPr>
                <w:rFonts w:eastAsiaTheme="minorEastAsia" w:cs="Arial"/>
                <w:sz w:val="16"/>
                <w:szCs w:val="16"/>
              </w:rPr>
            </w:pPr>
            <w:r w:rsidRPr="00664FF0">
              <w:rPr>
                <w:rFonts w:eastAsiaTheme="minorEastAsia" w:cs="Arial"/>
                <w:sz w:val="16"/>
                <w:szCs w:val="16"/>
              </w:rPr>
              <w:t> </w:t>
            </w:r>
          </w:p>
        </w:tc>
        <w:tc>
          <w:tcPr>
            <w:tcW w:w="0" w:type="auto"/>
            <w:tcBorders>
              <w:top w:val="single" w:sz="12" w:space="0" w:color="auto"/>
              <w:bottom w:val="single" w:sz="4" w:space="0" w:color="auto"/>
            </w:tcBorders>
            <w:shd w:val="clear" w:color="auto" w:fill="auto"/>
            <w:vAlign w:val="center"/>
            <w:hideMark/>
          </w:tcPr>
          <w:p w:rsidR="006A4109" w:rsidRPr="00664FF0" w:rsidRDefault="006A4109" w:rsidP="00E930B2">
            <w:pPr>
              <w:rPr>
                <w:rFonts w:eastAsiaTheme="minorEastAsia" w:cs="Arial"/>
                <w:sz w:val="16"/>
                <w:szCs w:val="16"/>
              </w:rPr>
            </w:pPr>
            <w:r w:rsidRPr="00664FF0">
              <w:rPr>
                <w:rFonts w:eastAsiaTheme="minorEastAsia" w:cs="Arial"/>
                <w:sz w:val="16"/>
                <w:szCs w:val="16"/>
              </w:rPr>
              <w:t> √ </w:t>
            </w:r>
          </w:p>
        </w:tc>
        <w:tc>
          <w:tcPr>
            <w:tcW w:w="0" w:type="auto"/>
            <w:tcBorders>
              <w:top w:val="single" w:sz="12" w:space="0" w:color="auto"/>
              <w:bottom w:val="single" w:sz="4" w:space="0" w:color="auto"/>
            </w:tcBorders>
            <w:shd w:val="clear" w:color="auto" w:fill="auto"/>
            <w:vAlign w:val="center"/>
            <w:hideMark/>
          </w:tcPr>
          <w:p w:rsidR="006A4109" w:rsidRPr="00664FF0" w:rsidRDefault="006A4109" w:rsidP="00E930B2">
            <w:pPr>
              <w:rPr>
                <w:rFonts w:eastAsiaTheme="minorEastAsia" w:cs="Arial"/>
                <w:sz w:val="16"/>
                <w:szCs w:val="16"/>
              </w:rPr>
            </w:pPr>
            <w:r w:rsidRPr="00664FF0">
              <w:rPr>
                <w:rFonts w:eastAsiaTheme="minorEastAsia" w:cs="Arial"/>
                <w:sz w:val="16"/>
                <w:szCs w:val="16"/>
              </w:rPr>
              <w:t> </w:t>
            </w:r>
          </w:p>
        </w:tc>
        <w:tc>
          <w:tcPr>
            <w:tcW w:w="0" w:type="auto"/>
            <w:tcBorders>
              <w:top w:val="single" w:sz="12" w:space="0" w:color="auto"/>
              <w:bottom w:val="single" w:sz="4" w:space="0" w:color="auto"/>
            </w:tcBorders>
            <w:shd w:val="clear" w:color="auto" w:fill="auto"/>
            <w:vAlign w:val="center"/>
            <w:hideMark/>
          </w:tcPr>
          <w:p w:rsidR="006A4109" w:rsidRPr="00664FF0" w:rsidRDefault="006A4109" w:rsidP="00E930B2">
            <w:pPr>
              <w:rPr>
                <w:rFonts w:eastAsiaTheme="minorEastAsia" w:cs="Arial"/>
                <w:sz w:val="16"/>
                <w:szCs w:val="16"/>
              </w:rPr>
            </w:pPr>
            <w:r w:rsidRPr="00664FF0">
              <w:rPr>
                <w:rFonts w:eastAsiaTheme="minorEastAsia" w:cs="Arial"/>
                <w:sz w:val="16"/>
                <w:szCs w:val="16"/>
              </w:rPr>
              <w:t> </w:t>
            </w:r>
          </w:p>
        </w:tc>
        <w:tc>
          <w:tcPr>
            <w:tcW w:w="0" w:type="auto"/>
            <w:tcBorders>
              <w:top w:val="single" w:sz="12" w:space="0" w:color="auto"/>
              <w:bottom w:val="single" w:sz="4" w:space="0" w:color="auto"/>
            </w:tcBorders>
            <w:shd w:val="clear" w:color="auto" w:fill="auto"/>
            <w:vAlign w:val="center"/>
            <w:hideMark/>
          </w:tcPr>
          <w:p w:rsidR="006A4109" w:rsidRPr="00664FF0" w:rsidRDefault="006A4109" w:rsidP="00E930B2">
            <w:pPr>
              <w:rPr>
                <w:rFonts w:eastAsiaTheme="minorEastAsia" w:cs="Arial"/>
                <w:sz w:val="16"/>
                <w:szCs w:val="16"/>
              </w:rPr>
            </w:pPr>
            <w:r w:rsidRPr="00664FF0">
              <w:rPr>
                <w:rFonts w:eastAsiaTheme="minorEastAsia" w:cs="Arial"/>
                <w:sz w:val="16"/>
                <w:szCs w:val="16"/>
              </w:rPr>
              <w:t> √ </w:t>
            </w:r>
          </w:p>
        </w:tc>
        <w:tc>
          <w:tcPr>
            <w:tcW w:w="0" w:type="auto"/>
            <w:tcBorders>
              <w:top w:val="single" w:sz="12" w:space="0" w:color="auto"/>
              <w:bottom w:val="single" w:sz="4" w:space="0" w:color="auto"/>
            </w:tcBorders>
            <w:shd w:val="clear" w:color="auto" w:fill="auto"/>
            <w:vAlign w:val="center"/>
            <w:hideMark/>
          </w:tcPr>
          <w:p w:rsidR="006A4109" w:rsidRPr="00664FF0" w:rsidRDefault="006A4109" w:rsidP="00E930B2">
            <w:pPr>
              <w:rPr>
                <w:rFonts w:eastAsiaTheme="minorEastAsia" w:cs="Arial"/>
                <w:sz w:val="16"/>
                <w:szCs w:val="16"/>
              </w:rPr>
            </w:pPr>
            <w:r w:rsidRPr="00664FF0">
              <w:rPr>
                <w:rFonts w:eastAsiaTheme="minorEastAsia" w:cs="Arial"/>
                <w:sz w:val="16"/>
                <w:szCs w:val="16"/>
              </w:rPr>
              <w:t> √ </w:t>
            </w:r>
          </w:p>
        </w:tc>
        <w:tc>
          <w:tcPr>
            <w:tcW w:w="0" w:type="auto"/>
            <w:tcBorders>
              <w:top w:val="single" w:sz="12" w:space="0" w:color="auto"/>
              <w:bottom w:val="single" w:sz="4" w:space="0" w:color="auto"/>
            </w:tcBorders>
            <w:shd w:val="clear" w:color="auto" w:fill="auto"/>
            <w:vAlign w:val="center"/>
            <w:hideMark/>
          </w:tcPr>
          <w:p w:rsidR="006A4109" w:rsidRPr="00664FF0" w:rsidRDefault="006A4109" w:rsidP="00E930B2">
            <w:pPr>
              <w:rPr>
                <w:rFonts w:eastAsiaTheme="minorEastAsia" w:cs="Arial"/>
                <w:sz w:val="16"/>
                <w:szCs w:val="16"/>
              </w:rPr>
            </w:pPr>
            <w:r w:rsidRPr="00664FF0">
              <w:rPr>
                <w:rFonts w:eastAsiaTheme="minorEastAsia" w:cs="Arial"/>
                <w:sz w:val="16"/>
                <w:szCs w:val="16"/>
              </w:rPr>
              <w:t>√</w:t>
            </w:r>
          </w:p>
        </w:tc>
        <w:tc>
          <w:tcPr>
            <w:tcW w:w="0" w:type="auto"/>
            <w:tcBorders>
              <w:top w:val="single" w:sz="12" w:space="0" w:color="auto"/>
              <w:bottom w:val="single" w:sz="4" w:space="0" w:color="auto"/>
            </w:tcBorders>
            <w:shd w:val="clear" w:color="auto" w:fill="auto"/>
            <w:vAlign w:val="center"/>
            <w:hideMark/>
          </w:tcPr>
          <w:p w:rsidR="006A4109" w:rsidRPr="00664FF0" w:rsidRDefault="006A4109" w:rsidP="00E930B2">
            <w:pPr>
              <w:rPr>
                <w:rFonts w:eastAsiaTheme="minorEastAsia" w:cs="Arial"/>
                <w:sz w:val="16"/>
                <w:szCs w:val="16"/>
              </w:rPr>
            </w:pPr>
            <w:r w:rsidRPr="00664FF0">
              <w:rPr>
                <w:rFonts w:eastAsiaTheme="minorEastAsia" w:cs="Arial"/>
                <w:sz w:val="16"/>
                <w:szCs w:val="16"/>
              </w:rPr>
              <w:t> </w:t>
            </w:r>
          </w:p>
        </w:tc>
        <w:tc>
          <w:tcPr>
            <w:tcW w:w="0" w:type="auto"/>
            <w:tcBorders>
              <w:top w:val="single" w:sz="12" w:space="0" w:color="auto"/>
              <w:bottom w:val="single" w:sz="4" w:space="0" w:color="auto"/>
            </w:tcBorders>
            <w:shd w:val="clear" w:color="auto" w:fill="auto"/>
            <w:vAlign w:val="center"/>
            <w:hideMark/>
          </w:tcPr>
          <w:p w:rsidR="006A4109" w:rsidRPr="00664FF0" w:rsidRDefault="006A4109" w:rsidP="00E930B2">
            <w:pPr>
              <w:rPr>
                <w:rFonts w:eastAsiaTheme="minorEastAsia" w:cs="Arial"/>
                <w:sz w:val="16"/>
                <w:szCs w:val="16"/>
              </w:rPr>
            </w:pPr>
            <w:r w:rsidRPr="00664FF0">
              <w:rPr>
                <w:rFonts w:eastAsiaTheme="minorEastAsia" w:cs="Arial"/>
                <w:sz w:val="16"/>
                <w:szCs w:val="16"/>
              </w:rPr>
              <w:t> √</w:t>
            </w:r>
          </w:p>
        </w:tc>
        <w:tc>
          <w:tcPr>
            <w:tcW w:w="0" w:type="auto"/>
            <w:tcBorders>
              <w:top w:val="single" w:sz="12" w:space="0" w:color="auto"/>
              <w:bottom w:val="single" w:sz="4" w:space="0" w:color="auto"/>
            </w:tcBorders>
            <w:shd w:val="clear" w:color="auto" w:fill="auto"/>
            <w:vAlign w:val="center"/>
            <w:hideMark/>
          </w:tcPr>
          <w:p w:rsidR="006A4109" w:rsidRPr="00664FF0" w:rsidRDefault="006A4109" w:rsidP="00E930B2">
            <w:pPr>
              <w:rPr>
                <w:rFonts w:eastAsiaTheme="minorEastAsia" w:cs="Arial"/>
                <w:sz w:val="16"/>
                <w:szCs w:val="16"/>
              </w:rPr>
            </w:pPr>
            <w:r w:rsidRPr="00664FF0">
              <w:rPr>
                <w:rFonts w:eastAsiaTheme="minorEastAsia" w:cs="Arial"/>
                <w:sz w:val="16"/>
                <w:szCs w:val="16"/>
              </w:rPr>
              <w:t> </w:t>
            </w:r>
          </w:p>
        </w:tc>
        <w:tc>
          <w:tcPr>
            <w:tcW w:w="0" w:type="auto"/>
            <w:tcBorders>
              <w:top w:val="single" w:sz="12" w:space="0" w:color="auto"/>
              <w:bottom w:val="single" w:sz="4" w:space="0" w:color="auto"/>
            </w:tcBorders>
            <w:shd w:val="clear" w:color="auto" w:fill="auto"/>
            <w:vAlign w:val="center"/>
            <w:hideMark/>
          </w:tcPr>
          <w:p w:rsidR="006A4109" w:rsidRPr="00664FF0" w:rsidRDefault="006A4109" w:rsidP="00E930B2">
            <w:pPr>
              <w:rPr>
                <w:rFonts w:eastAsiaTheme="minorEastAsia" w:cs="Arial"/>
                <w:sz w:val="16"/>
                <w:szCs w:val="16"/>
              </w:rPr>
            </w:pPr>
            <w:r w:rsidRPr="00664FF0">
              <w:rPr>
                <w:rFonts w:eastAsiaTheme="minorEastAsia" w:cs="Arial"/>
                <w:sz w:val="16"/>
                <w:szCs w:val="16"/>
              </w:rPr>
              <w:t> </w:t>
            </w:r>
          </w:p>
        </w:tc>
        <w:tc>
          <w:tcPr>
            <w:tcW w:w="0" w:type="auto"/>
            <w:tcBorders>
              <w:top w:val="single" w:sz="12" w:space="0" w:color="auto"/>
              <w:bottom w:val="single" w:sz="4" w:space="0" w:color="auto"/>
            </w:tcBorders>
            <w:shd w:val="clear" w:color="auto" w:fill="auto"/>
            <w:vAlign w:val="center"/>
            <w:hideMark/>
          </w:tcPr>
          <w:p w:rsidR="006A4109" w:rsidRPr="00664FF0" w:rsidRDefault="006A4109" w:rsidP="00E930B2">
            <w:pPr>
              <w:rPr>
                <w:rFonts w:eastAsiaTheme="minorEastAsia" w:cs="Arial"/>
                <w:sz w:val="16"/>
                <w:szCs w:val="16"/>
              </w:rPr>
            </w:pPr>
            <w:r w:rsidRPr="00664FF0">
              <w:rPr>
                <w:rFonts w:eastAsiaTheme="minorEastAsia" w:cs="Arial"/>
                <w:sz w:val="16"/>
                <w:szCs w:val="16"/>
              </w:rPr>
              <w:t> </w:t>
            </w:r>
          </w:p>
        </w:tc>
      </w:tr>
      <w:tr w:rsidR="006A4109" w:rsidRPr="00664FF0" w:rsidTr="00E930B2">
        <w:trPr>
          <w:trHeight w:val="554"/>
        </w:trPr>
        <w:tc>
          <w:tcPr>
            <w:tcW w:w="0" w:type="auto"/>
            <w:tcBorders>
              <w:top w:val="single" w:sz="4" w:space="0" w:color="auto"/>
              <w:bottom w:val="single" w:sz="4" w:space="0" w:color="auto"/>
            </w:tcBorders>
            <w:shd w:val="clear" w:color="auto" w:fill="auto"/>
            <w:vAlign w:val="center"/>
            <w:hideMark/>
          </w:tcPr>
          <w:p w:rsidR="006A4109" w:rsidRPr="00664FF0" w:rsidRDefault="006A4109" w:rsidP="00E930B2">
            <w:pPr>
              <w:rPr>
                <w:rFonts w:eastAsiaTheme="minorEastAsia" w:cs="Arial"/>
                <w:sz w:val="16"/>
                <w:szCs w:val="16"/>
              </w:rPr>
            </w:pPr>
            <w:r w:rsidRPr="00664FF0">
              <w:rPr>
                <w:rFonts w:eastAsiaTheme="minorEastAsia" w:cs="Arial"/>
                <w:sz w:val="16"/>
                <w:szCs w:val="16"/>
              </w:rPr>
              <w:t>Ma</w:t>
            </w:r>
            <w:r>
              <w:rPr>
                <w:rFonts w:eastAsiaTheme="minorEastAsia" w:cs="Arial"/>
                <w:sz w:val="16"/>
                <w:szCs w:val="16"/>
              </w:rPr>
              <w:t>ntenidor-reparador d’edificis (f</w:t>
            </w:r>
            <w:r w:rsidRPr="00664FF0">
              <w:rPr>
                <w:rFonts w:eastAsiaTheme="minorEastAsia" w:cs="Arial"/>
                <w:sz w:val="16"/>
                <w:szCs w:val="16"/>
              </w:rPr>
              <w:t>ontaneria i calefacció)</w:t>
            </w:r>
          </w:p>
        </w:tc>
        <w:tc>
          <w:tcPr>
            <w:tcW w:w="0" w:type="auto"/>
            <w:tcBorders>
              <w:top w:val="single" w:sz="4" w:space="0" w:color="auto"/>
              <w:bottom w:val="single" w:sz="4" w:space="0" w:color="auto"/>
            </w:tcBorders>
            <w:shd w:val="clear" w:color="auto" w:fill="auto"/>
            <w:vAlign w:val="center"/>
            <w:hideMark/>
          </w:tcPr>
          <w:p w:rsidR="006A4109" w:rsidRPr="00664FF0" w:rsidRDefault="006A4109" w:rsidP="00E930B2">
            <w:pPr>
              <w:rPr>
                <w:rFonts w:eastAsiaTheme="minorEastAsia" w:cs="Arial"/>
                <w:sz w:val="16"/>
                <w:szCs w:val="16"/>
              </w:rPr>
            </w:pPr>
            <w:r w:rsidRPr="00664FF0">
              <w:rPr>
                <w:rFonts w:eastAsiaTheme="minorEastAsia" w:cs="Arial"/>
                <w:sz w:val="16"/>
                <w:szCs w:val="16"/>
              </w:rPr>
              <w:t>√ </w:t>
            </w:r>
          </w:p>
        </w:tc>
        <w:tc>
          <w:tcPr>
            <w:tcW w:w="0" w:type="auto"/>
            <w:tcBorders>
              <w:top w:val="single" w:sz="4" w:space="0" w:color="auto"/>
              <w:bottom w:val="single" w:sz="4" w:space="0" w:color="auto"/>
            </w:tcBorders>
            <w:shd w:val="clear" w:color="auto" w:fill="auto"/>
            <w:vAlign w:val="center"/>
            <w:hideMark/>
          </w:tcPr>
          <w:p w:rsidR="006A4109" w:rsidRPr="00664FF0" w:rsidRDefault="006A4109" w:rsidP="00E930B2">
            <w:pPr>
              <w:rPr>
                <w:rFonts w:eastAsiaTheme="minorEastAsia" w:cs="Arial"/>
                <w:sz w:val="16"/>
                <w:szCs w:val="16"/>
              </w:rPr>
            </w:pPr>
            <w:r w:rsidRPr="00664FF0">
              <w:rPr>
                <w:rFonts w:eastAsiaTheme="minorEastAsia" w:cs="Arial"/>
                <w:sz w:val="16"/>
                <w:szCs w:val="16"/>
              </w:rPr>
              <w:t> </w:t>
            </w:r>
          </w:p>
        </w:tc>
        <w:tc>
          <w:tcPr>
            <w:tcW w:w="0" w:type="auto"/>
            <w:tcBorders>
              <w:top w:val="single" w:sz="4" w:space="0" w:color="auto"/>
              <w:bottom w:val="single" w:sz="4" w:space="0" w:color="auto"/>
            </w:tcBorders>
            <w:shd w:val="clear" w:color="auto" w:fill="auto"/>
            <w:vAlign w:val="center"/>
            <w:hideMark/>
          </w:tcPr>
          <w:p w:rsidR="006A4109" w:rsidRPr="00664FF0" w:rsidRDefault="006A4109" w:rsidP="00E930B2">
            <w:pPr>
              <w:rPr>
                <w:rFonts w:eastAsiaTheme="minorEastAsia" w:cs="Arial"/>
                <w:sz w:val="16"/>
                <w:szCs w:val="16"/>
              </w:rPr>
            </w:pPr>
            <w:r w:rsidRPr="00664FF0">
              <w:rPr>
                <w:rFonts w:eastAsiaTheme="minorEastAsia" w:cs="Arial"/>
                <w:sz w:val="16"/>
                <w:szCs w:val="16"/>
              </w:rPr>
              <w:t> </w:t>
            </w:r>
          </w:p>
        </w:tc>
        <w:tc>
          <w:tcPr>
            <w:tcW w:w="0" w:type="auto"/>
            <w:tcBorders>
              <w:top w:val="single" w:sz="4" w:space="0" w:color="auto"/>
              <w:bottom w:val="single" w:sz="4" w:space="0" w:color="auto"/>
            </w:tcBorders>
            <w:shd w:val="clear" w:color="auto" w:fill="auto"/>
            <w:vAlign w:val="center"/>
            <w:hideMark/>
          </w:tcPr>
          <w:p w:rsidR="006A4109" w:rsidRPr="00664FF0" w:rsidRDefault="006A4109" w:rsidP="00E930B2">
            <w:pPr>
              <w:rPr>
                <w:rFonts w:eastAsiaTheme="minorEastAsia" w:cs="Arial"/>
                <w:sz w:val="16"/>
                <w:szCs w:val="16"/>
              </w:rPr>
            </w:pPr>
            <w:r w:rsidRPr="00664FF0">
              <w:rPr>
                <w:rFonts w:eastAsiaTheme="minorEastAsia" w:cs="Arial"/>
                <w:sz w:val="16"/>
                <w:szCs w:val="16"/>
              </w:rPr>
              <w:t> </w:t>
            </w:r>
          </w:p>
        </w:tc>
        <w:tc>
          <w:tcPr>
            <w:tcW w:w="0" w:type="auto"/>
            <w:tcBorders>
              <w:top w:val="single" w:sz="4" w:space="0" w:color="auto"/>
              <w:bottom w:val="single" w:sz="4" w:space="0" w:color="auto"/>
            </w:tcBorders>
            <w:shd w:val="clear" w:color="auto" w:fill="auto"/>
            <w:vAlign w:val="center"/>
            <w:hideMark/>
          </w:tcPr>
          <w:p w:rsidR="006A4109" w:rsidRPr="00664FF0" w:rsidRDefault="006A4109" w:rsidP="00E930B2">
            <w:pPr>
              <w:rPr>
                <w:rFonts w:eastAsiaTheme="minorEastAsia" w:cs="Arial"/>
                <w:sz w:val="16"/>
                <w:szCs w:val="16"/>
              </w:rPr>
            </w:pPr>
            <w:r w:rsidRPr="00664FF0">
              <w:rPr>
                <w:rFonts w:eastAsiaTheme="minorEastAsia" w:cs="Arial"/>
                <w:sz w:val="16"/>
                <w:szCs w:val="16"/>
              </w:rPr>
              <w:t> </w:t>
            </w:r>
          </w:p>
        </w:tc>
        <w:tc>
          <w:tcPr>
            <w:tcW w:w="0" w:type="auto"/>
            <w:tcBorders>
              <w:top w:val="single" w:sz="4" w:space="0" w:color="auto"/>
              <w:bottom w:val="single" w:sz="4" w:space="0" w:color="auto"/>
            </w:tcBorders>
            <w:shd w:val="clear" w:color="auto" w:fill="auto"/>
            <w:vAlign w:val="center"/>
            <w:hideMark/>
          </w:tcPr>
          <w:p w:rsidR="006A4109" w:rsidRPr="00664FF0" w:rsidRDefault="006A4109" w:rsidP="00E930B2">
            <w:pPr>
              <w:rPr>
                <w:rFonts w:eastAsiaTheme="minorEastAsia" w:cs="Arial"/>
                <w:sz w:val="16"/>
                <w:szCs w:val="16"/>
              </w:rPr>
            </w:pPr>
            <w:r w:rsidRPr="00664FF0">
              <w:rPr>
                <w:rFonts w:eastAsiaTheme="minorEastAsia" w:cs="Arial"/>
                <w:sz w:val="16"/>
                <w:szCs w:val="16"/>
              </w:rPr>
              <w:t> √ </w:t>
            </w:r>
          </w:p>
        </w:tc>
        <w:tc>
          <w:tcPr>
            <w:tcW w:w="0" w:type="auto"/>
            <w:tcBorders>
              <w:top w:val="single" w:sz="4" w:space="0" w:color="auto"/>
              <w:bottom w:val="single" w:sz="4" w:space="0" w:color="auto"/>
            </w:tcBorders>
            <w:shd w:val="clear" w:color="auto" w:fill="auto"/>
            <w:vAlign w:val="center"/>
            <w:hideMark/>
          </w:tcPr>
          <w:p w:rsidR="006A4109" w:rsidRPr="00664FF0" w:rsidRDefault="006A4109" w:rsidP="00E930B2">
            <w:pPr>
              <w:rPr>
                <w:rFonts w:eastAsiaTheme="minorEastAsia" w:cs="Arial"/>
                <w:sz w:val="16"/>
                <w:szCs w:val="16"/>
              </w:rPr>
            </w:pPr>
            <w:r w:rsidRPr="00664FF0">
              <w:rPr>
                <w:rFonts w:eastAsiaTheme="minorEastAsia" w:cs="Arial"/>
                <w:sz w:val="16"/>
                <w:szCs w:val="16"/>
              </w:rPr>
              <w:t> </w:t>
            </w:r>
          </w:p>
        </w:tc>
        <w:tc>
          <w:tcPr>
            <w:tcW w:w="0" w:type="auto"/>
            <w:tcBorders>
              <w:top w:val="single" w:sz="4" w:space="0" w:color="auto"/>
              <w:bottom w:val="single" w:sz="4" w:space="0" w:color="auto"/>
            </w:tcBorders>
            <w:shd w:val="clear" w:color="auto" w:fill="auto"/>
            <w:vAlign w:val="center"/>
            <w:hideMark/>
          </w:tcPr>
          <w:p w:rsidR="006A4109" w:rsidRPr="00664FF0" w:rsidRDefault="006A4109" w:rsidP="00E930B2">
            <w:pPr>
              <w:rPr>
                <w:rFonts w:eastAsiaTheme="minorEastAsia" w:cs="Arial"/>
                <w:sz w:val="16"/>
                <w:szCs w:val="16"/>
              </w:rPr>
            </w:pPr>
            <w:r w:rsidRPr="00664FF0">
              <w:rPr>
                <w:rFonts w:eastAsiaTheme="minorEastAsia" w:cs="Arial"/>
                <w:sz w:val="16"/>
                <w:szCs w:val="16"/>
              </w:rPr>
              <w:t> </w:t>
            </w:r>
          </w:p>
        </w:tc>
        <w:tc>
          <w:tcPr>
            <w:tcW w:w="0" w:type="auto"/>
            <w:tcBorders>
              <w:top w:val="single" w:sz="4" w:space="0" w:color="auto"/>
              <w:bottom w:val="single" w:sz="4" w:space="0" w:color="auto"/>
            </w:tcBorders>
            <w:shd w:val="clear" w:color="auto" w:fill="auto"/>
            <w:vAlign w:val="center"/>
            <w:hideMark/>
          </w:tcPr>
          <w:p w:rsidR="006A4109" w:rsidRPr="00664FF0" w:rsidRDefault="006A4109" w:rsidP="00E930B2">
            <w:pPr>
              <w:rPr>
                <w:rFonts w:eastAsiaTheme="minorEastAsia" w:cs="Arial"/>
                <w:sz w:val="16"/>
                <w:szCs w:val="16"/>
              </w:rPr>
            </w:pPr>
            <w:r w:rsidRPr="00664FF0">
              <w:rPr>
                <w:rFonts w:eastAsiaTheme="minorEastAsia" w:cs="Arial"/>
                <w:sz w:val="16"/>
                <w:szCs w:val="16"/>
              </w:rPr>
              <w:t> </w:t>
            </w:r>
          </w:p>
        </w:tc>
        <w:tc>
          <w:tcPr>
            <w:tcW w:w="0" w:type="auto"/>
            <w:tcBorders>
              <w:top w:val="single" w:sz="4" w:space="0" w:color="auto"/>
              <w:bottom w:val="single" w:sz="4" w:space="0" w:color="auto"/>
            </w:tcBorders>
            <w:shd w:val="clear" w:color="auto" w:fill="auto"/>
            <w:vAlign w:val="center"/>
            <w:hideMark/>
          </w:tcPr>
          <w:p w:rsidR="006A4109" w:rsidRPr="00664FF0" w:rsidRDefault="006A4109" w:rsidP="00E930B2">
            <w:pPr>
              <w:rPr>
                <w:rFonts w:eastAsiaTheme="minorEastAsia" w:cs="Arial"/>
                <w:sz w:val="16"/>
                <w:szCs w:val="16"/>
              </w:rPr>
            </w:pPr>
            <w:r w:rsidRPr="00664FF0">
              <w:rPr>
                <w:rFonts w:eastAsiaTheme="minorEastAsia" w:cs="Arial"/>
                <w:sz w:val="16"/>
                <w:szCs w:val="16"/>
              </w:rPr>
              <w:t> √</w:t>
            </w:r>
          </w:p>
        </w:tc>
        <w:tc>
          <w:tcPr>
            <w:tcW w:w="0" w:type="auto"/>
            <w:tcBorders>
              <w:top w:val="single" w:sz="4" w:space="0" w:color="auto"/>
              <w:bottom w:val="single" w:sz="4" w:space="0" w:color="auto"/>
            </w:tcBorders>
            <w:shd w:val="clear" w:color="auto" w:fill="auto"/>
            <w:vAlign w:val="center"/>
            <w:hideMark/>
          </w:tcPr>
          <w:p w:rsidR="006A4109" w:rsidRPr="00664FF0" w:rsidRDefault="006A4109" w:rsidP="00E930B2">
            <w:pPr>
              <w:rPr>
                <w:rFonts w:eastAsiaTheme="minorEastAsia" w:cs="Arial"/>
                <w:sz w:val="16"/>
                <w:szCs w:val="16"/>
              </w:rPr>
            </w:pPr>
            <w:r w:rsidRPr="00664FF0">
              <w:rPr>
                <w:rFonts w:eastAsiaTheme="minorEastAsia" w:cs="Arial"/>
                <w:sz w:val="16"/>
                <w:szCs w:val="16"/>
              </w:rPr>
              <w:t> </w:t>
            </w:r>
          </w:p>
        </w:tc>
        <w:tc>
          <w:tcPr>
            <w:tcW w:w="0" w:type="auto"/>
            <w:tcBorders>
              <w:top w:val="single" w:sz="4" w:space="0" w:color="auto"/>
              <w:bottom w:val="single" w:sz="4" w:space="0" w:color="auto"/>
            </w:tcBorders>
            <w:shd w:val="clear" w:color="auto" w:fill="auto"/>
            <w:vAlign w:val="center"/>
            <w:hideMark/>
          </w:tcPr>
          <w:p w:rsidR="006A4109" w:rsidRPr="00664FF0" w:rsidRDefault="006A4109" w:rsidP="00E930B2">
            <w:pPr>
              <w:rPr>
                <w:rFonts w:eastAsiaTheme="minorEastAsia" w:cs="Arial"/>
                <w:sz w:val="16"/>
                <w:szCs w:val="16"/>
              </w:rPr>
            </w:pPr>
            <w:r w:rsidRPr="00664FF0">
              <w:rPr>
                <w:rFonts w:eastAsiaTheme="minorEastAsia" w:cs="Arial"/>
                <w:sz w:val="16"/>
                <w:szCs w:val="16"/>
              </w:rPr>
              <w:t> </w:t>
            </w:r>
          </w:p>
        </w:tc>
      </w:tr>
      <w:tr w:rsidR="006A4109" w:rsidRPr="00664FF0" w:rsidTr="00E930B2">
        <w:trPr>
          <w:trHeight w:val="537"/>
        </w:trPr>
        <w:tc>
          <w:tcPr>
            <w:tcW w:w="0" w:type="auto"/>
            <w:tcBorders>
              <w:top w:val="single" w:sz="4" w:space="0" w:color="auto"/>
              <w:bottom w:val="single" w:sz="4" w:space="0" w:color="auto"/>
            </w:tcBorders>
            <w:shd w:val="clear" w:color="auto" w:fill="auto"/>
            <w:vAlign w:val="center"/>
            <w:hideMark/>
          </w:tcPr>
          <w:p w:rsidR="006A4109" w:rsidRPr="00664FF0" w:rsidRDefault="006A4109" w:rsidP="00E930B2">
            <w:pPr>
              <w:rPr>
                <w:rFonts w:eastAsiaTheme="minorEastAsia" w:cs="Arial"/>
                <w:sz w:val="16"/>
                <w:szCs w:val="16"/>
              </w:rPr>
            </w:pPr>
            <w:r w:rsidRPr="00664FF0">
              <w:rPr>
                <w:rFonts w:eastAsiaTheme="minorEastAsia" w:cs="Arial"/>
                <w:sz w:val="16"/>
                <w:szCs w:val="16"/>
              </w:rPr>
              <w:t>Mantenidor-reparador d’edificis (</w:t>
            </w:r>
            <w:r>
              <w:rPr>
                <w:rFonts w:eastAsiaTheme="minorEastAsia" w:cs="Arial"/>
                <w:sz w:val="16"/>
                <w:szCs w:val="16"/>
              </w:rPr>
              <w:t>p</w:t>
            </w:r>
            <w:r w:rsidRPr="00664FF0">
              <w:rPr>
                <w:rFonts w:eastAsiaTheme="minorEastAsia" w:cs="Arial"/>
                <w:sz w:val="16"/>
                <w:szCs w:val="16"/>
              </w:rPr>
              <w:t>intura)</w:t>
            </w:r>
          </w:p>
        </w:tc>
        <w:tc>
          <w:tcPr>
            <w:tcW w:w="0" w:type="auto"/>
            <w:tcBorders>
              <w:top w:val="single" w:sz="4" w:space="0" w:color="auto"/>
              <w:bottom w:val="single" w:sz="4" w:space="0" w:color="auto"/>
            </w:tcBorders>
            <w:shd w:val="clear" w:color="auto" w:fill="auto"/>
            <w:vAlign w:val="center"/>
            <w:hideMark/>
          </w:tcPr>
          <w:p w:rsidR="006A4109" w:rsidRPr="00664FF0" w:rsidRDefault="006A4109" w:rsidP="00E930B2">
            <w:pPr>
              <w:rPr>
                <w:rFonts w:eastAsiaTheme="minorEastAsia" w:cs="Arial"/>
                <w:sz w:val="16"/>
                <w:szCs w:val="16"/>
              </w:rPr>
            </w:pPr>
            <w:r w:rsidRPr="00664FF0">
              <w:rPr>
                <w:rFonts w:eastAsiaTheme="minorEastAsia" w:cs="Arial"/>
                <w:sz w:val="16"/>
                <w:szCs w:val="16"/>
              </w:rPr>
              <w:t> </w:t>
            </w:r>
          </w:p>
        </w:tc>
        <w:tc>
          <w:tcPr>
            <w:tcW w:w="0" w:type="auto"/>
            <w:tcBorders>
              <w:top w:val="single" w:sz="4" w:space="0" w:color="auto"/>
              <w:bottom w:val="single" w:sz="4" w:space="0" w:color="auto"/>
            </w:tcBorders>
            <w:shd w:val="clear" w:color="auto" w:fill="auto"/>
            <w:vAlign w:val="center"/>
            <w:hideMark/>
          </w:tcPr>
          <w:p w:rsidR="006A4109" w:rsidRPr="00664FF0" w:rsidRDefault="006A4109" w:rsidP="00E930B2">
            <w:pPr>
              <w:rPr>
                <w:rFonts w:eastAsiaTheme="minorEastAsia" w:cs="Arial"/>
                <w:sz w:val="16"/>
                <w:szCs w:val="16"/>
              </w:rPr>
            </w:pPr>
            <w:r w:rsidRPr="00664FF0">
              <w:rPr>
                <w:rFonts w:eastAsiaTheme="minorEastAsia" w:cs="Arial"/>
                <w:sz w:val="16"/>
                <w:szCs w:val="16"/>
              </w:rPr>
              <w:t> </w:t>
            </w:r>
          </w:p>
        </w:tc>
        <w:tc>
          <w:tcPr>
            <w:tcW w:w="0" w:type="auto"/>
            <w:tcBorders>
              <w:top w:val="single" w:sz="4" w:space="0" w:color="auto"/>
              <w:bottom w:val="single" w:sz="4" w:space="0" w:color="auto"/>
            </w:tcBorders>
            <w:shd w:val="clear" w:color="auto" w:fill="auto"/>
            <w:vAlign w:val="center"/>
            <w:hideMark/>
          </w:tcPr>
          <w:p w:rsidR="006A4109" w:rsidRPr="00664FF0" w:rsidRDefault="006A4109" w:rsidP="00E930B2">
            <w:pPr>
              <w:rPr>
                <w:rFonts w:eastAsiaTheme="minorEastAsia" w:cs="Arial"/>
                <w:sz w:val="16"/>
                <w:szCs w:val="16"/>
              </w:rPr>
            </w:pPr>
            <w:r w:rsidRPr="00664FF0">
              <w:rPr>
                <w:rFonts w:eastAsiaTheme="minorEastAsia" w:cs="Arial"/>
                <w:sz w:val="16"/>
                <w:szCs w:val="16"/>
              </w:rPr>
              <w:t> </w:t>
            </w:r>
          </w:p>
        </w:tc>
        <w:tc>
          <w:tcPr>
            <w:tcW w:w="0" w:type="auto"/>
            <w:tcBorders>
              <w:top w:val="single" w:sz="4" w:space="0" w:color="auto"/>
              <w:bottom w:val="single" w:sz="4" w:space="0" w:color="auto"/>
            </w:tcBorders>
            <w:shd w:val="clear" w:color="auto" w:fill="auto"/>
            <w:vAlign w:val="center"/>
            <w:hideMark/>
          </w:tcPr>
          <w:p w:rsidR="006A4109" w:rsidRPr="00664FF0" w:rsidRDefault="006A4109" w:rsidP="00E930B2">
            <w:pPr>
              <w:rPr>
                <w:rFonts w:eastAsiaTheme="minorEastAsia" w:cs="Arial"/>
                <w:sz w:val="16"/>
                <w:szCs w:val="16"/>
              </w:rPr>
            </w:pPr>
            <w:r w:rsidRPr="00664FF0">
              <w:rPr>
                <w:rFonts w:eastAsiaTheme="minorEastAsia" w:cs="Arial"/>
                <w:sz w:val="16"/>
                <w:szCs w:val="16"/>
              </w:rPr>
              <w:t> </w:t>
            </w:r>
          </w:p>
        </w:tc>
        <w:tc>
          <w:tcPr>
            <w:tcW w:w="0" w:type="auto"/>
            <w:tcBorders>
              <w:top w:val="single" w:sz="4" w:space="0" w:color="auto"/>
              <w:bottom w:val="single" w:sz="4" w:space="0" w:color="auto"/>
            </w:tcBorders>
            <w:shd w:val="clear" w:color="auto" w:fill="auto"/>
            <w:vAlign w:val="center"/>
            <w:hideMark/>
          </w:tcPr>
          <w:p w:rsidR="006A4109" w:rsidRPr="00664FF0" w:rsidRDefault="006A4109" w:rsidP="00E930B2">
            <w:pPr>
              <w:rPr>
                <w:rFonts w:eastAsiaTheme="minorEastAsia" w:cs="Arial"/>
                <w:sz w:val="16"/>
                <w:szCs w:val="16"/>
              </w:rPr>
            </w:pPr>
            <w:r w:rsidRPr="00664FF0">
              <w:rPr>
                <w:rFonts w:eastAsiaTheme="minorEastAsia" w:cs="Arial"/>
                <w:sz w:val="16"/>
                <w:szCs w:val="16"/>
              </w:rPr>
              <w:t> </w:t>
            </w:r>
          </w:p>
        </w:tc>
        <w:tc>
          <w:tcPr>
            <w:tcW w:w="0" w:type="auto"/>
            <w:tcBorders>
              <w:top w:val="single" w:sz="4" w:space="0" w:color="auto"/>
              <w:bottom w:val="single" w:sz="4" w:space="0" w:color="auto"/>
            </w:tcBorders>
            <w:shd w:val="clear" w:color="auto" w:fill="auto"/>
            <w:vAlign w:val="center"/>
            <w:hideMark/>
          </w:tcPr>
          <w:p w:rsidR="006A4109" w:rsidRPr="00664FF0" w:rsidRDefault="006A4109" w:rsidP="00E930B2">
            <w:pPr>
              <w:rPr>
                <w:rFonts w:eastAsiaTheme="minorEastAsia" w:cs="Arial"/>
                <w:sz w:val="16"/>
                <w:szCs w:val="16"/>
              </w:rPr>
            </w:pPr>
            <w:r w:rsidRPr="00664FF0">
              <w:rPr>
                <w:rFonts w:eastAsiaTheme="minorEastAsia" w:cs="Arial"/>
                <w:sz w:val="16"/>
                <w:szCs w:val="16"/>
              </w:rPr>
              <w:t> </w:t>
            </w:r>
          </w:p>
        </w:tc>
        <w:tc>
          <w:tcPr>
            <w:tcW w:w="0" w:type="auto"/>
            <w:tcBorders>
              <w:top w:val="single" w:sz="4" w:space="0" w:color="auto"/>
              <w:bottom w:val="single" w:sz="4" w:space="0" w:color="auto"/>
            </w:tcBorders>
            <w:shd w:val="clear" w:color="auto" w:fill="auto"/>
            <w:vAlign w:val="center"/>
            <w:hideMark/>
          </w:tcPr>
          <w:p w:rsidR="006A4109" w:rsidRPr="00664FF0" w:rsidRDefault="006A4109" w:rsidP="00E930B2">
            <w:pPr>
              <w:rPr>
                <w:rFonts w:eastAsiaTheme="minorEastAsia" w:cs="Arial"/>
                <w:sz w:val="16"/>
                <w:szCs w:val="16"/>
              </w:rPr>
            </w:pPr>
            <w:r w:rsidRPr="00664FF0">
              <w:rPr>
                <w:rFonts w:eastAsiaTheme="minorEastAsia" w:cs="Arial"/>
                <w:sz w:val="16"/>
                <w:szCs w:val="16"/>
              </w:rPr>
              <w:t> </w:t>
            </w:r>
          </w:p>
        </w:tc>
        <w:tc>
          <w:tcPr>
            <w:tcW w:w="0" w:type="auto"/>
            <w:tcBorders>
              <w:top w:val="single" w:sz="4" w:space="0" w:color="auto"/>
              <w:bottom w:val="single" w:sz="4" w:space="0" w:color="auto"/>
            </w:tcBorders>
            <w:shd w:val="clear" w:color="auto" w:fill="auto"/>
            <w:vAlign w:val="center"/>
            <w:hideMark/>
          </w:tcPr>
          <w:p w:rsidR="006A4109" w:rsidRPr="00664FF0" w:rsidRDefault="006A4109" w:rsidP="00E930B2">
            <w:pPr>
              <w:rPr>
                <w:rFonts w:eastAsiaTheme="minorEastAsia" w:cs="Arial"/>
                <w:sz w:val="16"/>
                <w:szCs w:val="16"/>
              </w:rPr>
            </w:pPr>
            <w:r w:rsidRPr="00664FF0">
              <w:rPr>
                <w:rFonts w:eastAsiaTheme="minorEastAsia" w:cs="Arial"/>
                <w:sz w:val="16"/>
                <w:szCs w:val="16"/>
              </w:rPr>
              <w:t> </w:t>
            </w:r>
          </w:p>
        </w:tc>
        <w:tc>
          <w:tcPr>
            <w:tcW w:w="0" w:type="auto"/>
            <w:tcBorders>
              <w:top w:val="single" w:sz="4" w:space="0" w:color="auto"/>
              <w:bottom w:val="single" w:sz="4" w:space="0" w:color="auto"/>
            </w:tcBorders>
            <w:shd w:val="clear" w:color="auto" w:fill="auto"/>
            <w:vAlign w:val="center"/>
            <w:hideMark/>
          </w:tcPr>
          <w:p w:rsidR="006A4109" w:rsidRPr="00664FF0" w:rsidRDefault="006A4109" w:rsidP="00E930B2">
            <w:pPr>
              <w:rPr>
                <w:rFonts w:eastAsiaTheme="minorEastAsia" w:cs="Arial"/>
                <w:sz w:val="16"/>
                <w:szCs w:val="16"/>
              </w:rPr>
            </w:pPr>
            <w:r w:rsidRPr="00664FF0">
              <w:rPr>
                <w:rFonts w:eastAsiaTheme="minorEastAsia" w:cs="Arial"/>
                <w:sz w:val="16"/>
                <w:szCs w:val="16"/>
              </w:rPr>
              <w:t>√</w:t>
            </w:r>
          </w:p>
        </w:tc>
        <w:tc>
          <w:tcPr>
            <w:tcW w:w="0" w:type="auto"/>
            <w:tcBorders>
              <w:top w:val="single" w:sz="4" w:space="0" w:color="auto"/>
              <w:bottom w:val="single" w:sz="4" w:space="0" w:color="auto"/>
            </w:tcBorders>
            <w:shd w:val="clear" w:color="auto" w:fill="auto"/>
            <w:vAlign w:val="center"/>
            <w:hideMark/>
          </w:tcPr>
          <w:p w:rsidR="006A4109" w:rsidRPr="00664FF0" w:rsidRDefault="006A4109" w:rsidP="00E930B2">
            <w:pPr>
              <w:rPr>
                <w:rFonts w:eastAsiaTheme="minorEastAsia" w:cs="Arial"/>
                <w:sz w:val="16"/>
                <w:szCs w:val="16"/>
              </w:rPr>
            </w:pPr>
            <w:r w:rsidRPr="00664FF0">
              <w:rPr>
                <w:rFonts w:eastAsiaTheme="minorEastAsia" w:cs="Arial"/>
                <w:sz w:val="16"/>
                <w:szCs w:val="16"/>
              </w:rPr>
              <w:t>√</w:t>
            </w:r>
          </w:p>
        </w:tc>
        <w:tc>
          <w:tcPr>
            <w:tcW w:w="0" w:type="auto"/>
            <w:tcBorders>
              <w:top w:val="single" w:sz="4" w:space="0" w:color="auto"/>
              <w:bottom w:val="single" w:sz="4" w:space="0" w:color="auto"/>
            </w:tcBorders>
            <w:shd w:val="clear" w:color="auto" w:fill="auto"/>
            <w:vAlign w:val="center"/>
            <w:hideMark/>
          </w:tcPr>
          <w:p w:rsidR="006A4109" w:rsidRPr="00664FF0" w:rsidRDefault="006A4109" w:rsidP="00E930B2">
            <w:pPr>
              <w:rPr>
                <w:rFonts w:eastAsiaTheme="minorEastAsia" w:cs="Arial"/>
                <w:sz w:val="16"/>
                <w:szCs w:val="16"/>
              </w:rPr>
            </w:pPr>
            <w:r w:rsidRPr="00664FF0">
              <w:rPr>
                <w:rFonts w:eastAsiaTheme="minorEastAsia" w:cs="Arial"/>
                <w:sz w:val="16"/>
                <w:szCs w:val="16"/>
              </w:rPr>
              <w:t> </w:t>
            </w:r>
          </w:p>
        </w:tc>
        <w:tc>
          <w:tcPr>
            <w:tcW w:w="0" w:type="auto"/>
            <w:tcBorders>
              <w:top w:val="single" w:sz="4" w:space="0" w:color="auto"/>
              <w:bottom w:val="single" w:sz="4" w:space="0" w:color="auto"/>
            </w:tcBorders>
            <w:shd w:val="clear" w:color="auto" w:fill="auto"/>
            <w:vAlign w:val="center"/>
            <w:hideMark/>
          </w:tcPr>
          <w:p w:rsidR="006A4109" w:rsidRPr="00664FF0" w:rsidRDefault="006A4109" w:rsidP="00E930B2">
            <w:pPr>
              <w:rPr>
                <w:rFonts w:eastAsiaTheme="minorEastAsia" w:cs="Arial"/>
                <w:sz w:val="16"/>
                <w:szCs w:val="16"/>
              </w:rPr>
            </w:pPr>
            <w:r w:rsidRPr="00664FF0">
              <w:rPr>
                <w:rFonts w:eastAsiaTheme="minorEastAsia" w:cs="Arial"/>
                <w:sz w:val="16"/>
                <w:szCs w:val="16"/>
              </w:rPr>
              <w:t> </w:t>
            </w:r>
          </w:p>
        </w:tc>
      </w:tr>
      <w:tr w:rsidR="006A4109" w:rsidRPr="00664FF0" w:rsidTr="00E930B2">
        <w:trPr>
          <w:trHeight w:val="474"/>
        </w:trPr>
        <w:tc>
          <w:tcPr>
            <w:tcW w:w="0" w:type="auto"/>
            <w:tcBorders>
              <w:top w:val="single" w:sz="4" w:space="0" w:color="auto"/>
              <w:bottom w:val="single" w:sz="4" w:space="0" w:color="auto"/>
            </w:tcBorders>
            <w:shd w:val="clear" w:color="auto" w:fill="auto"/>
            <w:vAlign w:val="center"/>
            <w:hideMark/>
          </w:tcPr>
          <w:p w:rsidR="006A4109" w:rsidRPr="00664FF0" w:rsidRDefault="006A4109" w:rsidP="00E930B2">
            <w:pPr>
              <w:rPr>
                <w:rFonts w:eastAsiaTheme="minorEastAsia" w:cs="Arial"/>
                <w:sz w:val="16"/>
                <w:szCs w:val="16"/>
              </w:rPr>
            </w:pPr>
            <w:r w:rsidRPr="00664FF0">
              <w:rPr>
                <w:rFonts w:eastAsiaTheme="minorEastAsia" w:cs="Arial"/>
                <w:sz w:val="16"/>
                <w:szCs w:val="16"/>
              </w:rPr>
              <w:t>Ma</w:t>
            </w:r>
            <w:r>
              <w:rPr>
                <w:rFonts w:eastAsiaTheme="minorEastAsia" w:cs="Arial"/>
                <w:sz w:val="16"/>
                <w:szCs w:val="16"/>
              </w:rPr>
              <w:t>ntenidor-reparador d’edificis (c</w:t>
            </w:r>
            <w:r w:rsidRPr="00664FF0">
              <w:rPr>
                <w:rFonts w:eastAsiaTheme="minorEastAsia" w:cs="Arial"/>
                <w:sz w:val="16"/>
                <w:szCs w:val="16"/>
              </w:rPr>
              <w:t>onstrucció)</w:t>
            </w:r>
          </w:p>
        </w:tc>
        <w:tc>
          <w:tcPr>
            <w:tcW w:w="0" w:type="auto"/>
            <w:tcBorders>
              <w:top w:val="single" w:sz="4" w:space="0" w:color="auto"/>
              <w:bottom w:val="single" w:sz="4" w:space="0" w:color="auto"/>
            </w:tcBorders>
            <w:shd w:val="clear" w:color="auto" w:fill="auto"/>
            <w:vAlign w:val="center"/>
            <w:hideMark/>
          </w:tcPr>
          <w:p w:rsidR="006A4109" w:rsidRPr="00664FF0" w:rsidRDefault="006A4109" w:rsidP="00E930B2">
            <w:pPr>
              <w:rPr>
                <w:rFonts w:eastAsiaTheme="minorEastAsia" w:cs="Arial"/>
                <w:sz w:val="16"/>
                <w:szCs w:val="16"/>
              </w:rPr>
            </w:pPr>
            <w:r w:rsidRPr="00664FF0">
              <w:rPr>
                <w:rFonts w:eastAsiaTheme="minorEastAsia" w:cs="Arial"/>
                <w:sz w:val="16"/>
                <w:szCs w:val="16"/>
              </w:rPr>
              <w:t> </w:t>
            </w:r>
          </w:p>
        </w:tc>
        <w:tc>
          <w:tcPr>
            <w:tcW w:w="0" w:type="auto"/>
            <w:tcBorders>
              <w:top w:val="single" w:sz="4" w:space="0" w:color="auto"/>
              <w:bottom w:val="single" w:sz="4" w:space="0" w:color="auto"/>
            </w:tcBorders>
            <w:shd w:val="clear" w:color="auto" w:fill="auto"/>
            <w:vAlign w:val="center"/>
            <w:hideMark/>
          </w:tcPr>
          <w:p w:rsidR="006A4109" w:rsidRPr="00664FF0" w:rsidRDefault="006A4109" w:rsidP="00E930B2">
            <w:pPr>
              <w:rPr>
                <w:rFonts w:eastAsiaTheme="minorEastAsia" w:cs="Arial"/>
                <w:sz w:val="16"/>
                <w:szCs w:val="16"/>
              </w:rPr>
            </w:pPr>
            <w:r w:rsidRPr="00664FF0">
              <w:rPr>
                <w:rFonts w:eastAsiaTheme="minorEastAsia" w:cs="Arial"/>
                <w:sz w:val="16"/>
                <w:szCs w:val="16"/>
              </w:rPr>
              <w:t> </w:t>
            </w:r>
          </w:p>
        </w:tc>
        <w:tc>
          <w:tcPr>
            <w:tcW w:w="0" w:type="auto"/>
            <w:tcBorders>
              <w:top w:val="single" w:sz="4" w:space="0" w:color="auto"/>
              <w:bottom w:val="single" w:sz="4" w:space="0" w:color="auto"/>
            </w:tcBorders>
            <w:shd w:val="clear" w:color="auto" w:fill="auto"/>
            <w:vAlign w:val="center"/>
            <w:hideMark/>
          </w:tcPr>
          <w:p w:rsidR="006A4109" w:rsidRPr="00664FF0" w:rsidRDefault="006A4109" w:rsidP="00E930B2">
            <w:pPr>
              <w:rPr>
                <w:rFonts w:eastAsiaTheme="minorEastAsia" w:cs="Arial"/>
                <w:sz w:val="16"/>
                <w:szCs w:val="16"/>
              </w:rPr>
            </w:pPr>
            <w:r w:rsidRPr="00664FF0">
              <w:rPr>
                <w:rFonts w:eastAsiaTheme="minorEastAsia" w:cs="Arial"/>
                <w:sz w:val="16"/>
                <w:szCs w:val="16"/>
              </w:rPr>
              <w:t> </w:t>
            </w:r>
          </w:p>
        </w:tc>
        <w:tc>
          <w:tcPr>
            <w:tcW w:w="0" w:type="auto"/>
            <w:tcBorders>
              <w:top w:val="single" w:sz="4" w:space="0" w:color="auto"/>
              <w:bottom w:val="single" w:sz="4" w:space="0" w:color="auto"/>
            </w:tcBorders>
            <w:shd w:val="clear" w:color="auto" w:fill="auto"/>
            <w:vAlign w:val="center"/>
            <w:hideMark/>
          </w:tcPr>
          <w:p w:rsidR="006A4109" w:rsidRPr="00664FF0" w:rsidRDefault="006A4109" w:rsidP="00E930B2">
            <w:pPr>
              <w:rPr>
                <w:rFonts w:eastAsiaTheme="minorEastAsia" w:cs="Arial"/>
                <w:sz w:val="16"/>
                <w:szCs w:val="16"/>
              </w:rPr>
            </w:pPr>
            <w:r w:rsidRPr="00664FF0">
              <w:rPr>
                <w:rFonts w:eastAsiaTheme="minorEastAsia" w:cs="Arial"/>
                <w:sz w:val="16"/>
                <w:szCs w:val="16"/>
              </w:rPr>
              <w:t> </w:t>
            </w:r>
          </w:p>
        </w:tc>
        <w:tc>
          <w:tcPr>
            <w:tcW w:w="0" w:type="auto"/>
            <w:tcBorders>
              <w:top w:val="single" w:sz="4" w:space="0" w:color="auto"/>
              <w:bottom w:val="single" w:sz="4" w:space="0" w:color="auto"/>
            </w:tcBorders>
            <w:shd w:val="clear" w:color="auto" w:fill="auto"/>
            <w:vAlign w:val="center"/>
            <w:hideMark/>
          </w:tcPr>
          <w:p w:rsidR="006A4109" w:rsidRPr="00664FF0" w:rsidRDefault="006A4109" w:rsidP="00E930B2">
            <w:pPr>
              <w:rPr>
                <w:rFonts w:eastAsiaTheme="minorEastAsia" w:cs="Arial"/>
                <w:sz w:val="16"/>
                <w:szCs w:val="16"/>
              </w:rPr>
            </w:pPr>
            <w:r w:rsidRPr="00664FF0">
              <w:rPr>
                <w:rFonts w:eastAsiaTheme="minorEastAsia" w:cs="Arial"/>
                <w:sz w:val="16"/>
                <w:szCs w:val="16"/>
              </w:rPr>
              <w:t> </w:t>
            </w:r>
          </w:p>
        </w:tc>
        <w:tc>
          <w:tcPr>
            <w:tcW w:w="0" w:type="auto"/>
            <w:tcBorders>
              <w:top w:val="single" w:sz="4" w:space="0" w:color="auto"/>
              <w:bottom w:val="single" w:sz="4" w:space="0" w:color="auto"/>
            </w:tcBorders>
            <w:shd w:val="clear" w:color="auto" w:fill="auto"/>
            <w:vAlign w:val="center"/>
            <w:hideMark/>
          </w:tcPr>
          <w:p w:rsidR="006A4109" w:rsidRPr="00664FF0" w:rsidRDefault="006A4109" w:rsidP="00E930B2">
            <w:pPr>
              <w:rPr>
                <w:rFonts w:eastAsiaTheme="minorEastAsia" w:cs="Arial"/>
                <w:sz w:val="16"/>
                <w:szCs w:val="16"/>
              </w:rPr>
            </w:pPr>
            <w:r w:rsidRPr="00664FF0">
              <w:rPr>
                <w:rFonts w:eastAsiaTheme="minorEastAsia" w:cs="Arial"/>
                <w:sz w:val="16"/>
                <w:szCs w:val="16"/>
              </w:rPr>
              <w:t> </w:t>
            </w:r>
          </w:p>
        </w:tc>
        <w:tc>
          <w:tcPr>
            <w:tcW w:w="0" w:type="auto"/>
            <w:tcBorders>
              <w:top w:val="single" w:sz="4" w:space="0" w:color="auto"/>
              <w:bottom w:val="single" w:sz="4" w:space="0" w:color="auto"/>
            </w:tcBorders>
            <w:shd w:val="clear" w:color="auto" w:fill="auto"/>
            <w:vAlign w:val="center"/>
            <w:hideMark/>
          </w:tcPr>
          <w:p w:rsidR="006A4109" w:rsidRPr="00664FF0" w:rsidRDefault="006A4109" w:rsidP="00E930B2">
            <w:pPr>
              <w:rPr>
                <w:rFonts w:eastAsiaTheme="minorEastAsia" w:cs="Arial"/>
                <w:sz w:val="16"/>
                <w:szCs w:val="16"/>
              </w:rPr>
            </w:pPr>
            <w:r w:rsidRPr="00664FF0">
              <w:rPr>
                <w:rFonts w:eastAsiaTheme="minorEastAsia" w:cs="Arial"/>
                <w:sz w:val="16"/>
                <w:szCs w:val="16"/>
              </w:rPr>
              <w:t> </w:t>
            </w:r>
          </w:p>
        </w:tc>
        <w:tc>
          <w:tcPr>
            <w:tcW w:w="0" w:type="auto"/>
            <w:tcBorders>
              <w:top w:val="single" w:sz="4" w:space="0" w:color="auto"/>
              <w:bottom w:val="single" w:sz="4" w:space="0" w:color="auto"/>
            </w:tcBorders>
            <w:shd w:val="clear" w:color="auto" w:fill="auto"/>
            <w:vAlign w:val="center"/>
            <w:hideMark/>
          </w:tcPr>
          <w:p w:rsidR="006A4109" w:rsidRPr="00664FF0" w:rsidRDefault="006A4109" w:rsidP="00E930B2">
            <w:pPr>
              <w:rPr>
                <w:rFonts w:eastAsiaTheme="minorEastAsia" w:cs="Arial"/>
                <w:sz w:val="16"/>
                <w:szCs w:val="16"/>
              </w:rPr>
            </w:pPr>
            <w:r w:rsidRPr="00664FF0">
              <w:rPr>
                <w:rFonts w:eastAsiaTheme="minorEastAsia" w:cs="Arial"/>
                <w:sz w:val="16"/>
                <w:szCs w:val="16"/>
              </w:rPr>
              <w:t> </w:t>
            </w:r>
          </w:p>
        </w:tc>
        <w:tc>
          <w:tcPr>
            <w:tcW w:w="0" w:type="auto"/>
            <w:tcBorders>
              <w:top w:val="single" w:sz="4" w:space="0" w:color="auto"/>
              <w:bottom w:val="single" w:sz="4" w:space="0" w:color="auto"/>
            </w:tcBorders>
            <w:shd w:val="clear" w:color="auto" w:fill="auto"/>
            <w:vAlign w:val="center"/>
            <w:hideMark/>
          </w:tcPr>
          <w:p w:rsidR="006A4109" w:rsidRPr="00664FF0" w:rsidRDefault="006A4109" w:rsidP="00E930B2">
            <w:pPr>
              <w:rPr>
                <w:rFonts w:eastAsiaTheme="minorEastAsia" w:cs="Arial"/>
                <w:sz w:val="16"/>
                <w:szCs w:val="16"/>
              </w:rPr>
            </w:pPr>
            <w:r w:rsidRPr="00664FF0">
              <w:rPr>
                <w:rFonts w:eastAsiaTheme="minorEastAsia" w:cs="Arial"/>
                <w:sz w:val="16"/>
                <w:szCs w:val="16"/>
              </w:rPr>
              <w:t>√</w:t>
            </w:r>
          </w:p>
        </w:tc>
        <w:tc>
          <w:tcPr>
            <w:tcW w:w="0" w:type="auto"/>
            <w:tcBorders>
              <w:top w:val="single" w:sz="4" w:space="0" w:color="auto"/>
              <w:bottom w:val="single" w:sz="4" w:space="0" w:color="auto"/>
            </w:tcBorders>
            <w:shd w:val="clear" w:color="auto" w:fill="auto"/>
            <w:vAlign w:val="center"/>
            <w:hideMark/>
          </w:tcPr>
          <w:p w:rsidR="006A4109" w:rsidRPr="00664FF0" w:rsidRDefault="006A4109" w:rsidP="00E930B2">
            <w:pPr>
              <w:rPr>
                <w:rFonts w:eastAsiaTheme="minorEastAsia" w:cs="Arial"/>
                <w:sz w:val="16"/>
                <w:szCs w:val="16"/>
              </w:rPr>
            </w:pPr>
            <w:r w:rsidRPr="00664FF0">
              <w:rPr>
                <w:rFonts w:eastAsiaTheme="minorEastAsia" w:cs="Arial"/>
                <w:sz w:val="16"/>
                <w:szCs w:val="16"/>
              </w:rPr>
              <w:t>√</w:t>
            </w:r>
          </w:p>
        </w:tc>
        <w:tc>
          <w:tcPr>
            <w:tcW w:w="0" w:type="auto"/>
            <w:tcBorders>
              <w:top w:val="single" w:sz="4" w:space="0" w:color="auto"/>
              <w:bottom w:val="single" w:sz="4" w:space="0" w:color="auto"/>
            </w:tcBorders>
            <w:shd w:val="clear" w:color="auto" w:fill="auto"/>
            <w:vAlign w:val="center"/>
            <w:hideMark/>
          </w:tcPr>
          <w:p w:rsidR="006A4109" w:rsidRPr="00664FF0" w:rsidRDefault="006A4109" w:rsidP="00E930B2">
            <w:pPr>
              <w:rPr>
                <w:rFonts w:eastAsiaTheme="minorEastAsia" w:cs="Arial"/>
                <w:sz w:val="16"/>
                <w:szCs w:val="16"/>
              </w:rPr>
            </w:pPr>
            <w:r w:rsidRPr="00664FF0">
              <w:rPr>
                <w:rFonts w:eastAsiaTheme="minorEastAsia" w:cs="Arial"/>
                <w:sz w:val="16"/>
                <w:szCs w:val="16"/>
              </w:rPr>
              <w:t> </w:t>
            </w:r>
          </w:p>
        </w:tc>
        <w:tc>
          <w:tcPr>
            <w:tcW w:w="0" w:type="auto"/>
            <w:tcBorders>
              <w:top w:val="single" w:sz="4" w:space="0" w:color="auto"/>
              <w:bottom w:val="single" w:sz="4" w:space="0" w:color="auto"/>
            </w:tcBorders>
            <w:shd w:val="clear" w:color="auto" w:fill="auto"/>
            <w:vAlign w:val="center"/>
            <w:hideMark/>
          </w:tcPr>
          <w:p w:rsidR="006A4109" w:rsidRPr="00664FF0" w:rsidRDefault="006A4109" w:rsidP="00E930B2">
            <w:pPr>
              <w:rPr>
                <w:rFonts w:eastAsiaTheme="minorEastAsia" w:cs="Arial"/>
                <w:sz w:val="16"/>
                <w:szCs w:val="16"/>
              </w:rPr>
            </w:pPr>
            <w:r w:rsidRPr="00664FF0">
              <w:rPr>
                <w:rFonts w:eastAsiaTheme="minorEastAsia" w:cs="Arial"/>
                <w:sz w:val="16"/>
                <w:szCs w:val="16"/>
              </w:rPr>
              <w:t> </w:t>
            </w:r>
          </w:p>
        </w:tc>
      </w:tr>
      <w:tr w:rsidR="006A4109" w:rsidRPr="00664FF0" w:rsidTr="00E930B2">
        <w:trPr>
          <w:trHeight w:val="487"/>
        </w:trPr>
        <w:tc>
          <w:tcPr>
            <w:tcW w:w="0" w:type="auto"/>
            <w:tcBorders>
              <w:top w:val="single" w:sz="4" w:space="0" w:color="auto"/>
              <w:bottom w:val="single" w:sz="4" w:space="0" w:color="auto"/>
            </w:tcBorders>
            <w:shd w:val="clear" w:color="auto" w:fill="auto"/>
            <w:vAlign w:val="center"/>
            <w:hideMark/>
          </w:tcPr>
          <w:p w:rsidR="006A4109" w:rsidRPr="00664FF0" w:rsidRDefault="006A4109" w:rsidP="00E930B2">
            <w:pPr>
              <w:rPr>
                <w:rFonts w:eastAsiaTheme="minorEastAsia" w:cs="Arial"/>
                <w:sz w:val="16"/>
                <w:szCs w:val="16"/>
              </w:rPr>
            </w:pPr>
            <w:r w:rsidRPr="00664FF0">
              <w:rPr>
                <w:rFonts w:eastAsiaTheme="minorEastAsia" w:cs="Arial"/>
                <w:sz w:val="16"/>
                <w:szCs w:val="16"/>
              </w:rPr>
              <w:t>Ma</w:t>
            </w:r>
            <w:r>
              <w:rPr>
                <w:rFonts w:eastAsiaTheme="minorEastAsia" w:cs="Arial"/>
                <w:sz w:val="16"/>
                <w:szCs w:val="16"/>
              </w:rPr>
              <w:t>ntenidor-reparador d’edificis (j</w:t>
            </w:r>
            <w:r w:rsidRPr="00664FF0">
              <w:rPr>
                <w:rFonts w:eastAsiaTheme="minorEastAsia" w:cs="Arial"/>
                <w:sz w:val="16"/>
                <w:szCs w:val="16"/>
              </w:rPr>
              <w:t>ardineria)</w:t>
            </w:r>
          </w:p>
        </w:tc>
        <w:tc>
          <w:tcPr>
            <w:tcW w:w="0" w:type="auto"/>
            <w:tcBorders>
              <w:top w:val="single" w:sz="4" w:space="0" w:color="auto"/>
              <w:bottom w:val="single" w:sz="4" w:space="0" w:color="auto"/>
            </w:tcBorders>
            <w:shd w:val="clear" w:color="auto" w:fill="auto"/>
            <w:vAlign w:val="center"/>
            <w:hideMark/>
          </w:tcPr>
          <w:p w:rsidR="006A4109" w:rsidRPr="00664FF0" w:rsidRDefault="006A4109" w:rsidP="00E930B2">
            <w:pPr>
              <w:rPr>
                <w:rFonts w:eastAsiaTheme="minorEastAsia" w:cs="Arial"/>
                <w:sz w:val="16"/>
                <w:szCs w:val="16"/>
              </w:rPr>
            </w:pPr>
            <w:r w:rsidRPr="00664FF0">
              <w:rPr>
                <w:rFonts w:eastAsiaTheme="minorEastAsia" w:cs="Arial"/>
                <w:sz w:val="16"/>
                <w:szCs w:val="16"/>
              </w:rPr>
              <w:t> </w:t>
            </w:r>
          </w:p>
        </w:tc>
        <w:tc>
          <w:tcPr>
            <w:tcW w:w="0" w:type="auto"/>
            <w:tcBorders>
              <w:top w:val="single" w:sz="4" w:space="0" w:color="auto"/>
              <w:bottom w:val="single" w:sz="4" w:space="0" w:color="auto"/>
            </w:tcBorders>
            <w:shd w:val="clear" w:color="auto" w:fill="auto"/>
            <w:vAlign w:val="center"/>
            <w:hideMark/>
          </w:tcPr>
          <w:p w:rsidR="006A4109" w:rsidRPr="00664FF0" w:rsidRDefault="006A4109" w:rsidP="00E930B2">
            <w:pPr>
              <w:rPr>
                <w:rFonts w:eastAsiaTheme="minorEastAsia" w:cs="Arial"/>
                <w:sz w:val="16"/>
                <w:szCs w:val="16"/>
              </w:rPr>
            </w:pPr>
            <w:r w:rsidRPr="00664FF0">
              <w:rPr>
                <w:rFonts w:eastAsiaTheme="minorEastAsia" w:cs="Arial"/>
                <w:sz w:val="16"/>
                <w:szCs w:val="16"/>
              </w:rPr>
              <w:t> </w:t>
            </w:r>
          </w:p>
        </w:tc>
        <w:tc>
          <w:tcPr>
            <w:tcW w:w="0" w:type="auto"/>
            <w:tcBorders>
              <w:top w:val="single" w:sz="4" w:space="0" w:color="auto"/>
              <w:bottom w:val="single" w:sz="4" w:space="0" w:color="auto"/>
            </w:tcBorders>
            <w:shd w:val="clear" w:color="auto" w:fill="auto"/>
            <w:vAlign w:val="center"/>
            <w:hideMark/>
          </w:tcPr>
          <w:p w:rsidR="006A4109" w:rsidRPr="00664FF0" w:rsidRDefault="006A4109" w:rsidP="00E930B2">
            <w:pPr>
              <w:rPr>
                <w:rFonts w:eastAsiaTheme="minorEastAsia" w:cs="Arial"/>
                <w:sz w:val="16"/>
                <w:szCs w:val="16"/>
              </w:rPr>
            </w:pPr>
            <w:r w:rsidRPr="00664FF0">
              <w:rPr>
                <w:rFonts w:eastAsiaTheme="minorEastAsia" w:cs="Arial"/>
                <w:sz w:val="16"/>
                <w:szCs w:val="16"/>
              </w:rPr>
              <w:t> </w:t>
            </w:r>
          </w:p>
        </w:tc>
        <w:tc>
          <w:tcPr>
            <w:tcW w:w="0" w:type="auto"/>
            <w:tcBorders>
              <w:top w:val="single" w:sz="4" w:space="0" w:color="auto"/>
              <w:bottom w:val="single" w:sz="4" w:space="0" w:color="auto"/>
            </w:tcBorders>
            <w:shd w:val="clear" w:color="auto" w:fill="auto"/>
            <w:vAlign w:val="center"/>
            <w:hideMark/>
          </w:tcPr>
          <w:p w:rsidR="006A4109" w:rsidRPr="00664FF0" w:rsidRDefault="006A4109" w:rsidP="00E930B2">
            <w:pPr>
              <w:rPr>
                <w:rFonts w:eastAsiaTheme="minorEastAsia" w:cs="Arial"/>
                <w:sz w:val="16"/>
                <w:szCs w:val="16"/>
              </w:rPr>
            </w:pPr>
            <w:r w:rsidRPr="00664FF0">
              <w:rPr>
                <w:rFonts w:eastAsiaTheme="minorEastAsia" w:cs="Arial"/>
                <w:sz w:val="16"/>
                <w:szCs w:val="16"/>
              </w:rPr>
              <w:t> </w:t>
            </w:r>
          </w:p>
        </w:tc>
        <w:tc>
          <w:tcPr>
            <w:tcW w:w="0" w:type="auto"/>
            <w:tcBorders>
              <w:top w:val="single" w:sz="4" w:space="0" w:color="auto"/>
              <w:bottom w:val="single" w:sz="4" w:space="0" w:color="auto"/>
            </w:tcBorders>
            <w:shd w:val="clear" w:color="auto" w:fill="auto"/>
            <w:vAlign w:val="center"/>
            <w:hideMark/>
          </w:tcPr>
          <w:p w:rsidR="006A4109" w:rsidRPr="00664FF0" w:rsidRDefault="006A4109" w:rsidP="00E930B2">
            <w:pPr>
              <w:rPr>
                <w:rFonts w:eastAsiaTheme="minorEastAsia" w:cs="Arial"/>
                <w:sz w:val="16"/>
                <w:szCs w:val="16"/>
              </w:rPr>
            </w:pPr>
            <w:r w:rsidRPr="00664FF0">
              <w:rPr>
                <w:rFonts w:eastAsiaTheme="minorEastAsia" w:cs="Arial"/>
                <w:sz w:val="16"/>
                <w:szCs w:val="16"/>
              </w:rPr>
              <w:t>√ </w:t>
            </w:r>
          </w:p>
        </w:tc>
        <w:tc>
          <w:tcPr>
            <w:tcW w:w="0" w:type="auto"/>
            <w:tcBorders>
              <w:top w:val="single" w:sz="4" w:space="0" w:color="auto"/>
              <w:bottom w:val="single" w:sz="4" w:space="0" w:color="auto"/>
            </w:tcBorders>
            <w:shd w:val="clear" w:color="auto" w:fill="auto"/>
            <w:vAlign w:val="center"/>
            <w:hideMark/>
          </w:tcPr>
          <w:p w:rsidR="006A4109" w:rsidRPr="00664FF0" w:rsidRDefault="006A4109" w:rsidP="00E930B2">
            <w:pPr>
              <w:rPr>
                <w:rFonts w:eastAsiaTheme="minorEastAsia" w:cs="Arial"/>
                <w:sz w:val="16"/>
                <w:szCs w:val="16"/>
              </w:rPr>
            </w:pPr>
            <w:r w:rsidRPr="00664FF0">
              <w:rPr>
                <w:rFonts w:eastAsiaTheme="minorEastAsia" w:cs="Arial"/>
                <w:sz w:val="16"/>
                <w:szCs w:val="16"/>
              </w:rPr>
              <w:t>√ </w:t>
            </w:r>
          </w:p>
        </w:tc>
        <w:tc>
          <w:tcPr>
            <w:tcW w:w="0" w:type="auto"/>
            <w:tcBorders>
              <w:top w:val="single" w:sz="4" w:space="0" w:color="auto"/>
              <w:bottom w:val="single" w:sz="4" w:space="0" w:color="auto"/>
            </w:tcBorders>
            <w:shd w:val="clear" w:color="auto" w:fill="auto"/>
            <w:vAlign w:val="center"/>
            <w:hideMark/>
          </w:tcPr>
          <w:p w:rsidR="006A4109" w:rsidRPr="00664FF0" w:rsidRDefault="006A4109" w:rsidP="00E930B2">
            <w:pPr>
              <w:rPr>
                <w:rFonts w:eastAsiaTheme="minorEastAsia" w:cs="Arial"/>
                <w:sz w:val="16"/>
                <w:szCs w:val="16"/>
              </w:rPr>
            </w:pPr>
            <w:r w:rsidRPr="00664FF0">
              <w:rPr>
                <w:rFonts w:eastAsiaTheme="minorEastAsia" w:cs="Arial"/>
                <w:sz w:val="16"/>
                <w:szCs w:val="16"/>
              </w:rPr>
              <w:t> </w:t>
            </w:r>
          </w:p>
        </w:tc>
        <w:tc>
          <w:tcPr>
            <w:tcW w:w="0" w:type="auto"/>
            <w:tcBorders>
              <w:top w:val="single" w:sz="4" w:space="0" w:color="auto"/>
              <w:bottom w:val="single" w:sz="4" w:space="0" w:color="auto"/>
            </w:tcBorders>
            <w:shd w:val="clear" w:color="auto" w:fill="auto"/>
            <w:vAlign w:val="center"/>
            <w:hideMark/>
          </w:tcPr>
          <w:p w:rsidR="006A4109" w:rsidRPr="00664FF0" w:rsidRDefault="006A4109" w:rsidP="00E930B2">
            <w:pPr>
              <w:rPr>
                <w:rFonts w:eastAsiaTheme="minorEastAsia" w:cs="Arial"/>
                <w:sz w:val="16"/>
                <w:szCs w:val="16"/>
              </w:rPr>
            </w:pPr>
            <w:r w:rsidRPr="00664FF0">
              <w:rPr>
                <w:rFonts w:eastAsiaTheme="minorEastAsia" w:cs="Arial"/>
                <w:sz w:val="16"/>
                <w:szCs w:val="16"/>
              </w:rPr>
              <w:t> </w:t>
            </w:r>
          </w:p>
        </w:tc>
        <w:tc>
          <w:tcPr>
            <w:tcW w:w="0" w:type="auto"/>
            <w:tcBorders>
              <w:top w:val="single" w:sz="4" w:space="0" w:color="auto"/>
              <w:bottom w:val="single" w:sz="4" w:space="0" w:color="auto"/>
            </w:tcBorders>
            <w:shd w:val="clear" w:color="auto" w:fill="auto"/>
            <w:vAlign w:val="center"/>
            <w:hideMark/>
          </w:tcPr>
          <w:p w:rsidR="006A4109" w:rsidRPr="00664FF0" w:rsidRDefault="006A4109" w:rsidP="00E930B2">
            <w:pPr>
              <w:rPr>
                <w:rFonts w:eastAsiaTheme="minorEastAsia" w:cs="Arial"/>
                <w:sz w:val="16"/>
                <w:szCs w:val="16"/>
              </w:rPr>
            </w:pPr>
            <w:r w:rsidRPr="00664FF0">
              <w:rPr>
                <w:rFonts w:eastAsiaTheme="minorEastAsia" w:cs="Arial"/>
                <w:sz w:val="16"/>
                <w:szCs w:val="16"/>
              </w:rPr>
              <w:t>√</w:t>
            </w:r>
          </w:p>
        </w:tc>
        <w:tc>
          <w:tcPr>
            <w:tcW w:w="0" w:type="auto"/>
            <w:tcBorders>
              <w:top w:val="single" w:sz="4" w:space="0" w:color="auto"/>
              <w:bottom w:val="single" w:sz="4" w:space="0" w:color="auto"/>
            </w:tcBorders>
            <w:shd w:val="clear" w:color="auto" w:fill="auto"/>
            <w:vAlign w:val="center"/>
            <w:hideMark/>
          </w:tcPr>
          <w:p w:rsidR="006A4109" w:rsidRPr="00664FF0" w:rsidRDefault="006A4109" w:rsidP="00E930B2">
            <w:pPr>
              <w:rPr>
                <w:rFonts w:eastAsiaTheme="minorEastAsia" w:cs="Arial"/>
                <w:sz w:val="16"/>
                <w:szCs w:val="16"/>
              </w:rPr>
            </w:pPr>
            <w:r w:rsidRPr="00664FF0">
              <w:rPr>
                <w:rFonts w:eastAsiaTheme="minorEastAsia" w:cs="Arial"/>
                <w:sz w:val="16"/>
                <w:szCs w:val="16"/>
              </w:rPr>
              <w:t>√</w:t>
            </w:r>
          </w:p>
        </w:tc>
        <w:tc>
          <w:tcPr>
            <w:tcW w:w="0" w:type="auto"/>
            <w:tcBorders>
              <w:top w:val="single" w:sz="4" w:space="0" w:color="auto"/>
              <w:bottom w:val="single" w:sz="4" w:space="0" w:color="auto"/>
            </w:tcBorders>
            <w:shd w:val="clear" w:color="auto" w:fill="auto"/>
            <w:vAlign w:val="center"/>
            <w:hideMark/>
          </w:tcPr>
          <w:p w:rsidR="006A4109" w:rsidRPr="00664FF0" w:rsidRDefault="006A4109" w:rsidP="00E930B2">
            <w:pPr>
              <w:rPr>
                <w:rFonts w:eastAsiaTheme="minorEastAsia" w:cs="Arial"/>
                <w:sz w:val="16"/>
                <w:szCs w:val="16"/>
              </w:rPr>
            </w:pPr>
            <w:r w:rsidRPr="00664FF0">
              <w:rPr>
                <w:rFonts w:eastAsiaTheme="minorEastAsia" w:cs="Arial"/>
                <w:sz w:val="16"/>
                <w:szCs w:val="16"/>
              </w:rPr>
              <w:t>√</w:t>
            </w:r>
          </w:p>
        </w:tc>
        <w:tc>
          <w:tcPr>
            <w:tcW w:w="0" w:type="auto"/>
            <w:tcBorders>
              <w:top w:val="single" w:sz="4" w:space="0" w:color="auto"/>
              <w:bottom w:val="single" w:sz="4" w:space="0" w:color="auto"/>
            </w:tcBorders>
            <w:shd w:val="clear" w:color="auto" w:fill="auto"/>
            <w:vAlign w:val="center"/>
            <w:hideMark/>
          </w:tcPr>
          <w:p w:rsidR="006A4109" w:rsidRPr="00664FF0" w:rsidRDefault="006A4109" w:rsidP="00E930B2">
            <w:pPr>
              <w:rPr>
                <w:rFonts w:eastAsiaTheme="minorEastAsia" w:cs="Arial"/>
                <w:sz w:val="16"/>
                <w:szCs w:val="16"/>
              </w:rPr>
            </w:pPr>
            <w:r w:rsidRPr="00664FF0">
              <w:rPr>
                <w:rFonts w:eastAsiaTheme="minorEastAsia" w:cs="Arial"/>
                <w:sz w:val="16"/>
                <w:szCs w:val="16"/>
              </w:rPr>
              <w:t>√</w:t>
            </w:r>
          </w:p>
        </w:tc>
      </w:tr>
      <w:tr w:rsidR="006A4109" w:rsidRPr="00664FF0" w:rsidTr="00E930B2">
        <w:trPr>
          <w:trHeight w:val="418"/>
        </w:trPr>
        <w:tc>
          <w:tcPr>
            <w:tcW w:w="0" w:type="auto"/>
            <w:tcBorders>
              <w:top w:val="single" w:sz="4" w:space="0" w:color="auto"/>
              <w:bottom w:val="single" w:sz="4" w:space="0" w:color="auto"/>
            </w:tcBorders>
            <w:shd w:val="clear" w:color="auto" w:fill="auto"/>
            <w:vAlign w:val="center"/>
            <w:hideMark/>
          </w:tcPr>
          <w:p w:rsidR="006A4109" w:rsidRPr="00664FF0" w:rsidRDefault="006A4109" w:rsidP="00E930B2">
            <w:pPr>
              <w:rPr>
                <w:rFonts w:eastAsiaTheme="minorEastAsia" w:cs="Arial"/>
                <w:sz w:val="16"/>
                <w:szCs w:val="16"/>
              </w:rPr>
            </w:pPr>
            <w:r w:rsidRPr="00664FF0">
              <w:rPr>
                <w:rFonts w:eastAsiaTheme="minorEastAsia" w:cs="Arial"/>
                <w:sz w:val="16"/>
                <w:szCs w:val="16"/>
              </w:rPr>
              <w:t>Ma</w:t>
            </w:r>
            <w:r>
              <w:rPr>
                <w:rFonts w:eastAsiaTheme="minorEastAsia" w:cs="Arial"/>
                <w:sz w:val="16"/>
                <w:szCs w:val="16"/>
              </w:rPr>
              <w:t>ntenidor-reparador d’edificis (e</w:t>
            </w:r>
            <w:r w:rsidRPr="00664FF0">
              <w:rPr>
                <w:rFonts w:eastAsiaTheme="minorEastAsia" w:cs="Arial"/>
                <w:sz w:val="16"/>
                <w:szCs w:val="16"/>
              </w:rPr>
              <w:t>lectricitat)</w:t>
            </w:r>
          </w:p>
        </w:tc>
        <w:tc>
          <w:tcPr>
            <w:tcW w:w="0" w:type="auto"/>
            <w:tcBorders>
              <w:top w:val="single" w:sz="4" w:space="0" w:color="auto"/>
              <w:bottom w:val="single" w:sz="4" w:space="0" w:color="auto"/>
            </w:tcBorders>
            <w:shd w:val="clear" w:color="auto" w:fill="auto"/>
            <w:vAlign w:val="center"/>
            <w:hideMark/>
          </w:tcPr>
          <w:p w:rsidR="006A4109" w:rsidRPr="00664FF0" w:rsidRDefault="006A4109" w:rsidP="00E930B2">
            <w:pPr>
              <w:rPr>
                <w:rFonts w:eastAsiaTheme="minorEastAsia" w:cs="Arial"/>
                <w:sz w:val="16"/>
                <w:szCs w:val="16"/>
              </w:rPr>
            </w:pPr>
            <w:r w:rsidRPr="00664FF0">
              <w:rPr>
                <w:rFonts w:eastAsiaTheme="minorEastAsia" w:cs="Arial"/>
                <w:sz w:val="16"/>
                <w:szCs w:val="16"/>
              </w:rPr>
              <w:t> </w:t>
            </w:r>
          </w:p>
        </w:tc>
        <w:tc>
          <w:tcPr>
            <w:tcW w:w="0" w:type="auto"/>
            <w:tcBorders>
              <w:top w:val="single" w:sz="4" w:space="0" w:color="auto"/>
              <w:bottom w:val="single" w:sz="4" w:space="0" w:color="auto"/>
            </w:tcBorders>
            <w:shd w:val="clear" w:color="auto" w:fill="auto"/>
            <w:vAlign w:val="center"/>
            <w:hideMark/>
          </w:tcPr>
          <w:p w:rsidR="006A4109" w:rsidRPr="00664FF0" w:rsidRDefault="006A4109" w:rsidP="00E930B2">
            <w:pPr>
              <w:rPr>
                <w:rFonts w:eastAsiaTheme="minorEastAsia" w:cs="Arial"/>
                <w:sz w:val="16"/>
                <w:szCs w:val="16"/>
              </w:rPr>
            </w:pPr>
            <w:r w:rsidRPr="00664FF0">
              <w:rPr>
                <w:rFonts w:eastAsiaTheme="minorEastAsia" w:cs="Arial"/>
                <w:sz w:val="16"/>
                <w:szCs w:val="16"/>
              </w:rPr>
              <w:t> </w:t>
            </w:r>
          </w:p>
        </w:tc>
        <w:tc>
          <w:tcPr>
            <w:tcW w:w="0" w:type="auto"/>
            <w:tcBorders>
              <w:top w:val="single" w:sz="4" w:space="0" w:color="auto"/>
              <w:bottom w:val="single" w:sz="4" w:space="0" w:color="auto"/>
            </w:tcBorders>
            <w:shd w:val="clear" w:color="auto" w:fill="auto"/>
            <w:vAlign w:val="center"/>
            <w:hideMark/>
          </w:tcPr>
          <w:p w:rsidR="006A4109" w:rsidRPr="00664FF0" w:rsidRDefault="006A4109" w:rsidP="00E930B2">
            <w:pPr>
              <w:rPr>
                <w:rFonts w:eastAsiaTheme="minorEastAsia" w:cs="Arial"/>
                <w:sz w:val="16"/>
                <w:szCs w:val="16"/>
              </w:rPr>
            </w:pPr>
            <w:r w:rsidRPr="00664FF0">
              <w:rPr>
                <w:rFonts w:eastAsiaTheme="minorEastAsia" w:cs="Arial"/>
                <w:sz w:val="16"/>
                <w:szCs w:val="16"/>
              </w:rPr>
              <w:t> </w:t>
            </w:r>
          </w:p>
        </w:tc>
        <w:tc>
          <w:tcPr>
            <w:tcW w:w="0" w:type="auto"/>
            <w:tcBorders>
              <w:top w:val="single" w:sz="4" w:space="0" w:color="auto"/>
              <w:bottom w:val="single" w:sz="4" w:space="0" w:color="auto"/>
            </w:tcBorders>
            <w:shd w:val="clear" w:color="auto" w:fill="auto"/>
            <w:vAlign w:val="center"/>
            <w:hideMark/>
          </w:tcPr>
          <w:p w:rsidR="006A4109" w:rsidRPr="00664FF0" w:rsidRDefault="006A4109" w:rsidP="00E930B2">
            <w:pPr>
              <w:rPr>
                <w:rFonts w:eastAsiaTheme="minorEastAsia" w:cs="Arial"/>
                <w:sz w:val="16"/>
                <w:szCs w:val="16"/>
              </w:rPr>
            </w:pPr>
            <w:r w:rsidRPr="00664FF0">
              <w:rPr>
                <w:rFonts w:eastAsiaTheme="minorEastAsia" w:cs="Arial"/>
                <w:sz w:val="16"/>
                <w:szCs w:val="16"/>
              </w:rPr>
              <w:t>√ </w:t>
            </w:r>
          </w:p>
        </w:tc>
        <w:tc>
          <w:tcPr>
            <w:tcW w:w="0" w:type="auto"/>
            <w:tcBorders>
              <w:top w:val="single" w:sz="4" w:space="0" w:color="auto"/>
              <w:bottom w:val="single" w:sz="4" w:space="0" w:color="auto"/>
            </w:tcBorders>
            <w:shd w:val="clear" w:color="auto" w:fill="auto"/>
            <w:vAlign w:val="center"/>
            <w:hideMark/>
          </w:tcPr>
          <w:p w:rsidR="006A4109" w:rsidRPr="00664FF0" w:rsidRDefault="006A4109" w:rsidP="00E930B2">
            <w:pPr>
              <w:rPr>
                <w:rFonts w:eastAsiaTheme="minorEastAsia" w:cs="Arial"/>
                <w:sz w:val="16"/>
                <w:szCs w:val="16"/>
              </w:rPr>
            </w:pPr>
            <w:r w:rsidRPr="00664FF0">
              <w:rPr>
                <w:rFonts w:eastAsiaTheme="minorEastAsia" w:cs="Arial"/>
                <w:sz w:val="16"/>
                <w:szCs w:val="16"/>
              </w:rPr>
              <w:t>√ </w:t>
            </w:r>
          </w:p>
        </w:tc>
        <w:tc>
          <w:tcPr>
            <w:tcW w:w="0" w:type="auto"/>
            <w:tcBorders>
              <w:top w:val="single" w:sz="4" w:space="0" w:color="auto"/>
              <w:bottom w:val="single" w:sz="4" w:space="0" w:color="auto"/>
            </w:tcBorders>
            <w:shd w:val="clear" w:color="auto" w:fill="auto"/>
            <w:vAlign w:val="center"/>
            <w:hideMark/>
          </w:tcPr>
          <w:p w:rsidR="006A4109" w:rsidRPr="00664FF0" w:rsidRDefault="006A4109" w:rsidP="00E930B2">
            <w:pPr>
              <w:rPr>
                <w:rFonts w:eastAsiaTheme="minorEastAsia" w:cs="Arial"/>
                <w:sz w:val="16"/>
                <w:szCs w:val="16"/>
              </w:rPr>
            </w:pPr>
            <w:r w:rsidRPr="00664FF0">
              <w:rPr>
                <w:rFonts w:eastAsiaTheme="minorEastAsia" w:cs="Arial"/>
                <w:sz w:val="16"/>
                <w:szCs w:val="16"/>
              </w:rPr>
              <w:t> </w:t>
            </w:r>
          </w:p>
        </w:tc>
        <w:tc>
          <w:tcPr>
            <w:tcW w:w="0" w:type="auto"/>
            <w:tcBorders>
              <w:top w:val="single" w:sz="4" w:space="0" w:color="auto"/>
              <w:bottom w:val="single" w:sz="4" w:space="0" w:color="auto"/>
            </w:tcBorders>
            <w:shd w:val="clear" w:color="auto" w:fill="auto"/>
            <w:vAlign w:val="center"/>
            <w:hideMark/>
          </w:tcPr>
          <w:p w:rsidR="006A4109" w:rsidRPr="00664FF0" w:rsidRDefault="006A4109" w:rsidP="00E930B2">
            <w:pPr>
              <w:rPr>
                <w:rFonts w:eastAsiaTheme="minorEastAsia" w:cs="Arial"/>
                <w:sz w:val="16"/>
                <w:szCs w:val="16"/>
              </w:rPr>
            </w:pPr>
            <w:r w:rsidRPr="00664FF0">
              <w:rPr>
                <w:rFonts w:eastAsiaTheme="minorEastAsia" w:cs="Arial"/>
                <w:sz w:val="16"/>
                <w:szCs w:val="16"/>
              </w:rPr>
              <w:t> </w:t>
            </w:r>
          </w:p>
        </w:tc>
        <w:tc>
          <w:tcPr>
            <w:tcW w:w="0" w:type="auto"/>
            <w:tcBorders>
              <w:top w:val="single" w:sz="4" w:space="0" w:color="auto"/>
              <w:bottom w:val="single" w:sz="4" w:space="0" w:color="auto"/>
            </w:tcBorders>
            <w:shd w:val="clear" w:color="auto" w:fill="auto"/>
            <w:vAlign w:val="center"/>
            <w:hideMark/>
          </w:tcPr>
          <w:p w:rsidR="006A4109" w:rsidRPr="00664FF0" w:rsidRDefault="006A4109" w:rsidP="00E930B2">
            <w:pPr>
              <w:rPr>
                <w:rFonts w:eastAsiaTheme="minorEastAsia" w:cs="Arial"/>
                <w:sz w:val="16"/>
                <w:szCs w:val="16"/>
              </w:rPr>
            </w:pPr>
            <w:r w:rsidRPr="00664FF0">
              <w:rPr>
                <w:rFonts w:eastAsiaTheme="minorEastAsia" w:cs="Arial"/>
                <w:sz w:val="16"/>
                <w:szCs w:val="16"/>
              </w:rPr>
              <w:t> </w:t>
            </w:r>
          </w:p>
        </w:tc>
        <w:tc>
          <w:tcPr>
            <w:tcW w:w="0" w:type="auto"/>
            <w:tcBorders>
              <w:top w:val="single" w:sz="4" w:space="0" w:color="auto"/>
              <w:bottom w:val="single" w:sz="4" w:space="0" w:color="auto"/>
            </w:tcBorders>
            <w:shd w:val="clear" w:color="auto" w:fill="auto"/>
            <w:vAlign w:val="center"/>
            <w:hideMark/>
          </w:tcPr>
          <w:p w:rsidR="006A4109" w:rsidRPr="00664FF0" w:rsidRDefault="006A4109" w:rsidP="00E930B2">
            <w:pPr>
              <w:rPr>
                <w:rFonts w:eastAsiaTheme="minorEastAsia" w:cs="Arial"/>
                <w:sz w:val="16"/>
                <w:szCs w:val="16"/>
              </w:rPr>
            </w:pPr>
            <w:r w:rsidRPr="00664FF0">
              <w:rPr>
                <w:rFonts w:eastAsiaTheme="minorEastAsia" w:cs="Arial"/>
                <w:sz w:val="16"/>
                <w:szCs w:val="16"/>
              </w:rPr>
              <w:t> </w:t>
            </w:r>
          </w:p>
        </w:tc>
        <w:tc>
          <w:tcPr>
            <w:tcW w:w="0" w:type="auto"/>
            <w:tcBorders>
              <w:top w:val="single" w:sz="4" w:space="0" w:color="auto"/>
              <w:bottom w:val="single" w:sz="4" w:space="0" w:color="auto"/>
            </w:tcBorders>
            <w:shd w:val="clear" w:color="auto" w:fill="auto"/>
            <w:vAlign w:val="center"/>
            <w:hideMark/>
          </w:tcPr>
          <w:p w:rsidR="006A4109" w:rsidRPr="00664FF0" w:rsidRDefault="006A4109" w:rsidP="00E930B2">
            <w:pPr>
              <w:rPr>
                <w:rFonts w:eastAsiaTheme="minorEastAsia" w:cs="Arial"/>
                <w:sz w:val="16"/>
                <w:szCs w:val="16"/>
              </w:rPr>
            </w:pPr>
            <w:r w:rsidRPr="00664FF0">
              <w:rPr>
                <w:rFonts w:eastAsiaTheme="minorEastAsia" w:cs="Arial"/>
                <w:sz w:val="16"/>
                <w:szCs w:val="16"/>
              </w:rPr>
              <w:t> </w:t>
            </w:r>
          </w:p>
        </w:tc>
        <w:tc>
          <w:tcPr>
            <w:tcW w:w="0" w:type="auto"/>
            <w:tcBorders>
              <w:top w:val="single" w:sz="4" w:space="0" w:color="auto"/>
              <w:bottom w:val="single" w:sz="4" w:space="0" w:color="auto"/>
            </w:tcBorders>
            <w:shd w:val="clear" w:color="auto" w:fill="auto"/>
            <w:vAlign w:val="center"/>
            <w:hideMark/>
          </w:tcPr>
          <w:p w:rsidR="006A4109" w:rsidRPr="00664FF0" w:rsidRDefault="006A4109" w:rsidP="00E930B2">
            <w:pPr>
              <w:rPr>
                <w:rFonts w:eastAsiaTheme="minorEastAsia" w:cs="Arial"/>
                <w:sz w:val="16"/>
                <w:szCs w:val="16"/>
              </w:rPr>
            </w:pPr>
            <w:r w:rsidRPr="00664FF0">
              <w:rPr>
                <w:rFonts w:eastAsiaTheme="minorEastAsia" w:cs="Arial"/>
                <w:sz w:val="16"/>
                <w:szCs w:val="16"/>
              </w:rPr>
              <w:t> </w:t>
            </w:r>
          </w:p>
        </w:tc>
        <w:tc>
          <w:tcPr>
            <w:tcW w:w="0" w:type="auto"/>
            <w:tcBorders>
              <w:top w:val="single" w:sz="4" w:space="0" w:color="auto"/>
              <w:bottom w:val="single" w:sz="4" w:space="0" w:color="auto"/>
            </w:tcBorders>
            <w:shd w:val="clear" w:color="auto" w:fill="auto"/>
            <w:vAlign w:val="center"/>
            <w:hideMark/>
          </w:tcPr>
          <w:p w:rsidR="006A4109" w:rsidRPr="00664FF0" w:rsidRDefault="006A4109" w:rsidP="00E930B2">
            <w:pPr>
              <w:rPr>
                <w:rFonts w:eastAsiaTheme="minorEastAsia" w:cs="Arial"/>
                <w:sz w:val="16"/>
                <w:szCs w:val="16"/>
              </w:rPr>
            </w:pPr>
            <w:r w:rsidRPr="00664FF0">
              <w:rPr>
                <w:rFonts w:eastAsiaTheme="minorEastAsia" w:cs="Arial"/>
                <w:sz w:val="16"/>
                <w:szCs w:val="16"/>
              </w:rPr>
              <w:t> </w:t>
            </w:r>
          </w:p>
        </w:tc>
      </w:tr>
      <w:tr w:rsidR="006A4109" w:rsidRPr="00664FF0" w:rsidTr="00E930B2">
        <w:trPr>
          <w:trHeight w:val="415"/>
        </w:trPr>
        <w:tc>
          <w:tcPr>
            <w:tcW w:w="0" w:type="auto"/>
            <w:tcBorders>
              <w:top w:val="single" w:sz="4" w:space="0" w:color="auto"/>
              <w:bottom w:val="single" w:sz="4" w:space="0" w:color="auto"/>
            </w:tcBorders>
            <w:shd w:val="clear" w:color="auto" w:fill="auto"/>
            <w:vAlign w:val="center"/>
            <w:hideMark/>
          </w:tcPr>
          <w:p w:rsidR="006A4109" w:rsidRPr="00664FF0" w:rsidRDefault="006A4109" w:rsidP="00E930B2">
            <w:pPr>
              <w:rPr>
                <w:rFonts w:eastAsiaTheme="minorEastAsia" w:cs="Arial"/>
                <w:sz w:val="16"/>
                <w:szCs w:val="16"/>
              </w:rPr>
            </w:pPr>
            <w:r w:rsidRPr="00664FF0">
              <w:rPr>
                <w:rFonts w:eastAsiaTheme="minorEastAsia" w:cs="Arial"/>
                <w:sz w:val="16"/>
                <w:szCs w:val="16"/>
              </w:rPr>
              <w:t>Mantenidor-reparador d’edificis (</w:t>
            </w:r>
            <w:r>
              <w:rPr>
                <w:rFonts w:eastAsiaTheme="minorEastAsia" w:cs="Arial"/>
                <w:sz w:val="16"/>
                <w:szCs w:val="16"/>
              </w:rPr>
              <w:t>f</w:t>
            </w:r>
            <w:r w:rsidRPr="00664FF0">
              <w:rPr>
                <w:rFonts w:eastAsiaTheme="minorEastAsia" w:cs="Arial"/>
                <w:sz w:val="16"/>
                <w:szCs w:val="16"/>
              </w:rPr>
              <w:t>usteria)</w:t>
            </w:r>
          </w:p>
        </w:tc>
        <w:tc>
          <w:tcPr>
            <w:tcW w:w="0" w:type="auto"/>
            <w:tcBorders>
              <w:top w:val="single" w:sz="4" w:space="0" w:color="auto"/>
              <w:bottom w:val="single" w:sz="4" w:space="0" w:color="auto"/>
            </w:tcBorders>
            <w:shd w:val="clear" w:color="auto" w:fill="auto"/>
            <w:vAlign w:val="center"/>
            <w:hideMark/>
          </w:tcPr>
          <w:p w:rsidR="006A4109" w:rsidRPr="00664FF0" w:rsidRDefault="006A4109" w:rsidP="00E930B2">
            <w:pPr>
              <w:rPr>
                <w:rFonts w:eastAsiaTheme="minorEastAsia" w:cs="Arial"/>
                <w:sz w:val="16"/>
                <w:szCs w:val="16"/>
              </w:rPr>
            </w:pPr>
            <w:r w:rsidRPr="00664FF0">
              <w:rPr>
                <w:rFonts w:eastAsiaTheme="minorEastAsia" w:cs="Arial"/>
                <w:sz w:val="16"/>
                <w:szCs w:val="16"/>
              </w:rPr>
              <w:t> </w:t>
            </w:r>
          </w:p>
        </w:tc>
        <w:tc>
          <w:tcPr>
            <w:tcW w:w="0" w:type="auto"/>
            <w:tcBorders>
              <w:top w:val="single" w:sz="4" w:space="0" w:color="auto"/>
              <w:bottom w:val="single" w:sz="4" w:space="0" w:color="auto"/>
            </w:tcBorders>
            <w:shd w:val="clear" w:color="auto" w:fill="auto"/>
            <w:vAlign w:val="center"/>
            <w:hideMark/>
          </w:tcPr>
          <w:p w:rsidR="006A4109" w:rsidRPr="00664FF0" w:rsidRDefault="006A4109" w:rsidP="00E930B2">
            <w:pPr>
              <w:rPr>
                <w:rFonts w:eastAsiaTheme="minorEastAsia" w:cs="Arial"/>
                <w:sz w:val="16"/>
                <w:szCs w:val="16"/>
              </w:rPr>
            </w:pPr>
            <w:r w:rsidRPr="00664FF0">
              <w:rPr>
                <w:rFonts w:eastAsiaTheme="minorEastAsia" w:cs="Arial"/>
                <w:sz w:val="16"/>
                <w:szCs w:val="16"/>
              </w:rPr>
              <w:t> </w:t>
            </w:r>
          </w:p>
        </w:tc>
        <w:tc>
          <w:tcPr>
            <w:tcW w:w="0" w:type="auto"/>
            <w:tcBorders>
              <w:top w:val="single" w:sz="4" w:space="0" w:color="auto"/>
              <w:bottom w:val="single" w:sz="4" w:space="0" w:color="auto"/>
            </w:tcBorders>
            <w:shd w:val="clear" w:color="auto" w:fill="auto"/>
            <w:vAlign w:val="center"/>
            <w:hideMark/>
          </w:tcPr>
          <w:p w:rsidR="006A4109" w:rsidRPr="00664FF0" w:rsidRDefault="006A4109" w:rsidP="00E930B2">
            <w:pPr>
              <w:rPr>
                <w:rFonts w:eastAsiaTheme="minorEastAsia" w:cs="Arial"/>
                <w:sz w:val="16"/>
                <w:szCs w:val="16"/>
              </w:rPr>
            </w:pPr>
            <w:r w:rsidRPr="00664FF0">
              <w:rPr>
                <w:rFonts w:eastAsiaTheme="minorEastAsia" w:cs="Arial"/>
                <w:sz w:val="16"/>
                <w:szCs w:val="16"/>
              </w:rPr>
              <w:t> </w:t>
            </w:r>
          </w:p>
        </w:tc>
        <w:tc>
          <w:tcPr>
            <w:tcW w:w="0" w:type="auto"/>
            <w:tcBorders>
              <w:top w:val="single" w:sz="4" w:space="0" w:color="auto"/>
              <w:bottom w:val="single" w:sz="4" w:space="0" w:color="auto"/>
            </w:tcBorders>
            <w:shd w:val="clear" w:color="auto" w:fill="auto"/>
            <w:vAlign w:val="center"/>
            <w:hideMark/>
          </w:tcPr>
          <w:p w:rsidR="006A4109" w:rsidRPr="00664FF0" w:rsidRDefault="006A4109" w:rsidP="00E930B2">
            <w:pPr>
              <w:rPr>
                <w:rFonts w:eastAsiaTheme="minorEastAsia" w:cs="Arial"/>
                <w:sz w:val="16"/>
                <w:szCs w:val="16"/>
              </w:rPr>
            </w:pPr>
            <w:r w:rsidRPr="00664FF0">
              <w:rPr>
                <w:rFonts w:eastAsiaTheme="minorEastAsia" w:cs="Arial"/>
                <w:sz w:val="16"/>
                <w:szCs w:val="16"/>
              </w:rPr>
              <w:t> </w:t>
            </w:r>
          </w:p>
        </w:tc>
        <w:tc>
          <w:tcPr>
            <w:tcW w:w="0" w:type="auto"/>
            <w:tcBorders>
              <w:top w:val="single" w:sz="4" w:space="0" w:color="auto"/>
              <w:bottom w:val="single" w:sz="4" w:space="0" w:color="auto"/>
            </w:tcBorders>
            <w:shd w:val="clear" w:color="auto" w:fill="auto"/>
            <w:vAlign w:val="center"/>
            <w:hideMark/>
          </w:tcPr>
          <w:p w:rsidR="006A4109" w:rsidRPr="00664FF0" w:rsidRDefault="006A4109" w:rsidP="00E930B2">
            <w:pPr>
              <w:rPr>
                <w:rFonts w:eastAsiaTheme="minorEastAsia" w:cs="Arial"/>
                <w:sz w:val="16"/>
                <w:szCs w:val="16"/>
              </w:rPr>
            </w:pPr>
            <w:r w:rsidRPr="00664FF0">
              <w:rPr>
                <w:rFonts w:eastAsiaTheme="minorEastAsia" w:cs="Arial"/>
                <w:sz w:val="16"/>
                <w:szCs w:val="16"/>
              </w:rPr>
              <w:t> </w:t>
            </w:r>
          </w:p>
        </w:tc>
        <w:tc>
          <w:tcPr>
            <w:tcW w:w="0" w:type="auto"/>
            <w:tcBorders>
              <w:top w:val="single" w:sz="4" w:space="0" w:color="auto"/>
              <w:bottom w:val="single" w:sz="4" w:space="0" w:color="auto"/>
            </w:tcBorders>
            <w:shd w:val="clear" w:color="auto" w:fill="auto"/>
            <w:vAlign w:val="center"/>
            <w:hideMark/>
          </w:tcPr>
          <w:p w:rsidR="006A4109" w:rsidRPr="00664FF0" w:rsidRDefault="006A4109" w:rsidP="00E930B2">
            <w:pPr>
              <w:rPr>
                <w:rFonts w:eastAsiaTheme="minorEastAsia" w:cs="Arial"/>
                <w:sz w:val="16"/>
                <w:szCs w:val="16"/>
              </w:rPr>
            </w:pPr>
            <w:r w:rsidRPr="00664FF0">
              <w:rPr>
                <w:rFonts w:eastAsiaTheme="minorEastAsia" w:cs="Arial"/>
                <w:sz w:val="16"/>
                <w:szCs w:val="16"/>
              </w:rPr>
              <w:t> </w:t>
            </w:r>
          </w:p>
        </w:tc>
        <w:tc>
          <w:tcPr>
            <w:tcW w:w="0" w:type="auto"/>
            <w:tcBorders>
              <w:top w:val="single" w:sz="4" w:space="0" w:color="auto"/>
              <w:bottom w:val="single" w:sz="4" w:space="0" w:color="auto"/>
            </w:tcBorders>
            <w:shd w:val="clear" w:color="auto" w:fill="auto"/>
            <w:vAlign w:val="center"/>
            <w:hideMark/>
          </w:tcPr>
          <w:p w:rsidR="006A4109" w:rsidRPr="00664FF0" w:rsidRDefault="006A4109" w:rsidP="00E930B2">
            <w:pPr>
              <w:rPr>
                <w:rFonts w:eastAsiaTheme="minorEastAsia" w:cs="Arial"/>
                <w:sz w:val="16"/>
                <w:szCs w:val="16"/>
              </w:rPr>
            </w:pPr>
            <w:r w:rsidRPr="00664FF0">
              <w:rPr>
                <w:rFonts w:eastAsiaTheme="minorEastAsia" w:cs="Arial"/>
                <w:sz w:val="16"/>
                <w:szCs w:val="16"/>
              </w:rPr>
              <w:t> </w:t>
            </w:r>
          </w:p>
        </w:tc>
        <w:tc>
          <w:tcPr>
            <w:tcW w:w="0" w:type="auto"/>
            <w:tcBorders>
              <w:top w:val="single" w:sz="4" w:space="0" w:color="auto"/>
              <w:bottom w:val="single" w:sz="4" w:space="0" w:color="auto"/>
            </w:tcBorders>
            <w:shd w:val="clear" w:color="auto" w:fill="auto"/>
            <w:vAlign w:val="center"/>
            <w:hideMark/>
          </w:tcPr>
          <w:p w:rsidR="006A4109" w:rsidRPr="00664FF0" w:rsidRDefault="006A4109" w:rsidP="00E930B2">
            <w:pPr>
              <w:rPr>
                <w:rFonts w:eastAsiaTheme="minorEastAsia" w:cs="Arial"/>
                <w:sz w:val="16"/>
                <w:szCs w:val="16"/>
              </w:rPr>
            </w:pPr>
            <w:r w:rsidRPr="00664FF0">
              <w:rPr>
                <w:rFonts w:eastAsiaTheme="minorEastAsia" w:cs="Arial"/>
                <w:sz w:val="16"/>
                <w:szCs w:val="16"/>
              </w:rPr>
              <w:t>√</w:t>
            </w:r>
          </w:p>
        </w:tc>
        <w:tc>
          <w:tcPr>
            <w:tcW w:w="0" w:type="auto"/>
            <w:tcBorders>
              <w:top w:val="single" w:sz="4" w:space="0" w:color="auto"/>
              <w:bottom w:val="single" w:sz="4" w:space="0" w:color="auto"/>
            </w:tcBorders>
            <w:shd w:val="clear" w:color="auto" w:fill="auto"/>
            <w:vAlign w:val="center"/>
            <w:hideMark/>
          </w:tcPr>
          <w:p w:rsidR="006A4109" w:rsidRPr="00664FF0" w:rsidRDefault="006A4109" w:rsidP="00E930B2">
            <w:pPr>
              <w:rPr>
                <w:rFonts w:eastAsiaTheme="minorEastAsia" w:cs="Arial"/>
                <w:sz w:val="16"/>
                <w:szCs w:val="16"/>
              </w:rPr>
            </w:pPr>
            <w:r w:rsidRPr="00664FF0">
              <w:rPr>
                <w:rFonts w:eastAsiaTheme="minorEastAsia" w:cs="Arial"/>
                <w:sz w:val="16"/>
                <w:szCs w:val="16"/>
              </w:rPr>
              <w:t> </w:t>
            </w:r>
          </w:p>
        </w:tc>
        <w:tc>
          <w:tcPr>
            <w:tcW w:w="0" w:type="auto"/>
            <w:tcBorders>
              <w:top w:val="single" w:sz="4" w:space="0" w:color="auto"/>
              <w:bottom w:val="single" w:sz="4" w:space="0" w:color="auto"/>
            </w:tcBorders>
            <w:shd w:val="clear" w:color="auto" w:fill="auto"/>
            <w:vAlign w:val="center"/>
            <w:hideMark/>
          </w:tcPr>
          <w:p w:rsidR="006A4109" w:rsidRPr="00664FF0" w:rsidRDefault="006A4109" w:rsidP="00E930B2">
            <w:pPr>
              <w:rPr>
                <w:rFonts w:eastAsiaTheme="minorEastAsia" w:cs="Arial"/>
                <w:sz w:val="16"/>
                <w:szCs w:val="16"/>
              </w:rPr>
            </w:pPr>
            <w:r w:rsidRPr="00664FF0">
              <w:rPr>
                <w:rFonts w:eastAsiaTheme="minorEastAsia" w:cs="Arial"/>
                <w:sz w:val="16"/>
                <w:szCs w:val="16"/>
              </w:rPr>
              <w:t> </w:t>
            </w:r>
          </w:p>
        </w:tc>
        <w:tc>
          <w:tcPr>
            <w:tcW w:w="0" w:type="auto"/>
            <w:tcBorders>
              <w:top w:val="single" w:sz="4" w:space="0" w:color="auto"/>
              <w:bottom w:val="single" w:sz="4" w:space="0" w:color="auto"/>
            </w:tcBorders>
            <w:shd w:val="clear" w:color="auto" w:fill="auto"/>
            <w:vAlign w:val="center"/>
            <w:hideMark/>
          </w:tcPr>
          <w:p w:rsidR="006A4109" w:rsidRPr="00664FF0" w:rsidRDefault="006A4109" w:rsidP="00E930B2">
            <w:pPr>
              <w:rPr>
                <w:rFonts w:eastAsiaTheme="minorEastAsia" w:cs="Arial"/>
                <w:sz w:val="16"/>
                <w:szCs w:val="16"/>
              </w:rPr>
            </w:pPr>
            <w:r w:rsidRPr="00664FF0">
              <w:rPr>
                <w:rFonts w:eastAsiaTheme="minorEastAsia" w:cs="Arial"/>
                <w:sz w:val="16"/>
                <w:szCs w:val="16"/>
              </w:rPr>
              <w:t> </w:t>
            </w:r>
          </w:p>
        </w:tc>
        <w:tc>
          <w:tcPr>
            <w:tcW w:w="0" w:type="auto"/>
            <w:tcBorders>
              <w:top w:val="single" w:sz="4" w:space="0" w:color="auto"/>
              <w:bottom w:val="single" w:sz="4" w:space="0" w:color="auto"/>
            </w:tcBorders>
            <w:shd w:val="clear" w:color="auto" w:fill="auto"/>
            <w:vAlign w:val="center"/>
            <w:hideMark/>
          </w:tcPr>
          <w:p w:rsidR="006A4109" w:rsidRPr="00664FF0" w:rsidRDefault="006A4109" w:rsidP="00E930B2">
            <w:pPr>
              <w:rPr>
                <w:rFonts w:eastAsiaTheme="minorEastAsia" w:cs="Arial"/>
                <w:sz w:val="16"/>
                <w:szCs w:val="16"/>
              </w:rPr>
            </w:pPr>
            <w:r w:rsidRPr="00664FF0">
              <w:rPr>
                <w:rFonts w:eastAsiaTheme="minorEastAsia" w:cs="Arial"/>
                <w:sz w:val="16"/>
                <w:szCs w:val="16"/>
              </w:rPr>
              <w:t> </w:t>
            </w:r>
          </w:p>
        </w:tc>
      </w:tr>
      <w:tr w:rsidR="006A4109" w:rsidRPr="00664FF0" w:rsidTr="00E930B2">
        <w:trPr>
          <w:trHeight w:val="562"/>
        </w:trPr>
        <w:tc>
          <w:tcPr>
            <w:tcW w:w="0" w:type="auto"/>
            <w:tcBorders>
              <w:top w:val="single" w:sz="4" w:space="0" w:color="auto"/>
              <w:bottom w:val="single" w:sz="4" w:space="0" w:color="auto"/>
            </w:tcBorders>
            <w:shd w:val="clear" w:color="auto" w:fill="auto"/>
            <w:vAlign w:val="center"/>
            <w:hideMark/>
          </w:tcPr>
          <w:p w:rsidR="006A4109" w:rsidRPr="00664FF0" w:rsidRDefault="006A4109" w:rsidP="00E930B2">
            <w:pPr>
              <w:rPr>
                <w:rFonts w:eastAsiaTheme="minorEastAsia" w:cs="Arial"/>
                <w:sz w:val="16"/>
                <w:szCs w:val="16"/>
              </w:rPr>
            </w:pPr>
            <w:r w:rsidRPr="00664FF0">
              <w:rPr>
                <w:rFonts w:eastAsiaTheme="minorEastAsia" w:cs="Arial"/>
                <w:sz w:val="16"/>
                <w:szCs w:val="16"/>
              </w:rPr>
              <w:t>Operacions bàsiques de restaurant i bar</w:t>
            </w:r>
          </w:p>
        </w:tc>
        <w:tc>
          <w:tcPr>
            <w:tcW w:w="0" w:type="auto"/>
            <w:tcBorders>
              <w:top w:val="single" w:sz="4" w:space="0" w:color="auto"/>
              <w:bottom w:val="single" w:sz="4" w:space="0" w:color="auto"/>
            </w:tcBorders>
            <w:shd w:val="clear" w:color="auto" w:fill="auto"/>
            <w:vAlign w:val="center"/>
            <w:hideMark/>
          </w:tcPr>
          <w:p w:rsidR="006A4109" w:rsidRPr="00664FF0" w:rsidRDefault="006A4109" w:rsidP="00E930B2">
            <w:pPr>
              <w:rPr>
                <w:rFonts w:eastAsiaTheme="minorEastAsia" w:cs="Arial"/>
                <w:sz w:val="16"/>
                <w:szCs w:val="16"/>
              </w:rPr>
            </w:pPr>
            <w:r w:rsidRPr="00664FF0">
              <w:rPr>
                <w:rFonts w:eastAsiaTheme="minorEastAsia" w:cs="Arial"/>
                <w:sz w:val="16"/>
                <w:szCs w:val="16"/>
              </w:rPr>
              <w:t> </w:t>
            </w:r>
          </w:p>
        </w:tc>
        <w:tc>
          <w:tcPr>
            <w:tcW w:w="0" w:type="auto"/>
            <w:tcBorders>
              <w:top w:val="single" w:sz="4" w:space="0" w:color="auto"/>
              <w:bottom w:val="single" w:sz="4" w:space="0" w:color="auto"/>
            </w:tcBorders>
            <w:shd w:val="clear" w:color="auto" w:fill="auto"/>
            <w:vAlign w:val="center"/>
            <w:hideMark/>
          </w:tcPr>
          <w:p w:rsidR="006A4109" w:rsidRPr="00664FF0" w:rsidRDefault="006A4109" w:rsidP="00E930B2">
            <w:pPr>
              <w:rPr>
                <w:rFonts w:eastAsiaTheme="minorEastAsia" w:cs="Arial"/>
                <w:sz w:val="16"/>
                <w:szCs w:val="16"/>
              </w:rPr>
            </w:pPr>
            <w:r w:rsidRPr="00664FF0">
              <w:rPr>
                <w:rFonts w:eastAsiaTheme="minorEastAsia" w:cs="Arial"/>
                <w:sz w:val="16"/>
                <w:szCs w:val="16"/>
              </w:rPr>
              <w:t> </w:t>
            </w:r>
          </w:p>
        </w:tc>
        <w:tc>
          <w:tcPr>
            <w:tcW w:w="0" w:type="auto"/>
            <w:tcBorders>
              <w:top w:val="single" w:sz="4" w:space="0" w:color="auto"/>
              <w:bottom w:val="single" w:sz="4" w:space="0" w:color="auto"/>
            </w:tcBorders>
            <w:shd w:val="clear" w:color="auto" w:fill="auto"/>
            <w:vAlign w:val="center"/>
            <w:hideMark/>
          </w:tcPr>
          <w:p w:rsidR="006A4109" w:rsidRPr="00664FF0" w:rsidRDefault="006A4109" w:rsidP="00E930B2">
            <w:pPr>
              <w:rPr>
                <w:rFonts w:eastAsiaTheme="minorEastAsia" w:cs="Arial"/>
                <w:sz w:val="16"/>
                <w:szCs w:val="16"/>
              </w:rPr>
            </w:pPr>
            <w:r w:rsidRPr="00664FF0">
              <w:rPr>
                <w:rFonts w:eastAsiaTheme="minorEastAsia" w:cs="Arial"/>
                <w:sz w:val="16"/>
                <w:szCs w:val="16"/>
              </w:rPr>
              <w:t> </w:t>
            </w:r>
          </w:p>
        </w:tc>
        <w:tc>
          <w:tcPr>
            <w:tcW w:w="0" w:type="auto"/>
            <w:tcBorders>
              <w:top w:val="single" w:sz="4" w:space="0" w:color="auto"/>
              <w:bottom w:val="single" w:sz="4" w:space="0" w:color="auto"/>
            </w:tcBorders>
            <w:shd w:val="clear" w:color="auto" w:fill="auto"/>
            <w:vAlign w:val="center"/>
            <w:hideMark/>
          </w:tcPr>
          <w:p w:rsidR="006A4109" w:rsidRPr="00664FF0" w:rsidRDefault="006A4109" w:rsidP="00E930B2">
            <w:pPr>
              <w:rPr>
                <w:rFonts w:eastAsiaTheme="minorEastAsia" w:cs="Arial"/>
                <w:sz w:val="16"/>
                <w:szCs w:val="16"/>
              </w:rPr>
            </w:pPr>
            <w:r w:rsidRPr="00664FF0">
              <w:rPr>
                <w:rFonts w:eastAsiaTheme="minorEastAsia" w:cs="Arial"/>
                <w:sz w:val="16"/>
                <w:szCs w:val="16"/>
              </w:rPr>
              <w:t> </w:t>
            </w:r>
          </w:p>
        </w:tc>
        <w:tc>
          <w:tcPr>
            <w:tcW w:w="0" w:type="auto"/>
            <w:tcBorders>
              <w:top w:val="single" w:sz="4" w:space="0" w:color="auto"/>
              <w:bottom w:val="single" w:sz="4" w:space="0" w:color="auto"/>
            </w:tcBorders>
            <w:shd w:val="clear" w:color="auto" w:fill="auto"/>
            <w:vAlign w:val="center"/>
            <w:hideMark/>
          </w:tcPr>
          <w:p w:rsidR="006A4109" w:rsidRPr="00664FF0" w:rsidRDefault="006A4109" w:rsidP="00E930B2">
            <w:pPr>
              <w:rPr>
                <w:rFonts w:eastAsiaTheme="minorEastAsia" w:cs="Arial"/>
                <w:sz w:val="16"/>
                <w:szCs w:val="16"/>
              </w:rPr>
            </w:pPr>
            <w:r w:rsidRPr="00664FF0">
              <w:rPr>
                <w:rFonts w:eastAsiaTheme="minorEastAsia" w:cs="Arial"/>
                <w:sz w:val="16"/>
                <w:szCs w:val="16"/>
              </w:rPr>
              <w:t> </w:t>
            </w:r>
          </w:p>
        </w:tc>
        <w:tc>
          <w:tcPr>
            <w:tcW w:w="0" w:type="auto"/>
            <w:tcBorders>
              <w:top w:val="single" w:sz="4" w:space="0" w:color="auto"/>
              <w:bottom w:val="single" w:sz="4" w:space="0" w:color="auto"/>
            </w:tcBorders>
            <w:shd w:val="clear" w:color="auto" w:fill="auto"/>
            <w:vAlign w:val="center"/>
            <w:hideMark/>
          </w:tcPr>
          <w:p w:rsidR="006A4109" w:rsidRPr="00664FF0" w:rsidRDefault="006A4109" w:rsidP="00E930B2">
            <w:pPr>
              <w:rPr>
                <w:rFonts w:eastAsiaTheme="minorEastAsia" w:cs="Arial"/>
                <w:sz w:val="16"/>
                <w:szCs w:val="16"/>
              </w:rPr>
            </w:pPr>
            <w:r w:rsidRPr="00664FF0">
              <w:rPr>
                <w:rFonts w:eastAsiaTheme="minorEastAsia" w:cs="Arial"/>
                <w:sz w:val="16"/>
                <w:szCs w:val="16"/>
              </w:rPr>
              <w:t> </w:t>
            </w:r>
          </w:p>
        </w:tc>
        <w:tc>
          <w:tcPr>
            <w:tcW w:w="0" w:type="auto"/>
            <w:tcBorders>
              <w:top w:val="single" w:sz="4" w:space="0" w:color="auto"/>
              <w:bottom w:val="single" w:sz="4" w:space="0" w:color="auto"/>
            </w:tcBorders>
            <w:shd w:val="clear" w:color="auto" w:fill="auto"/>
            <w:vAlign w:val="center"/>
            <w:hideMark/>
          </w:tcPr>
          <w:p w:rsidR="006A4109" w:rsidRPr="00664FF0" w:rsidRDefault="006A4109" w:rsidP="00E930B2">
            <w:pPr>
              <w:rPr>
                <w:rFonts w:eastAsiaTheme="minorEastAsia" w:cs="Arial"/>
                <w:sz w:val="16"/>
                <w:szCs w:val="16"/>
              </w:rPr>
            </w:pPr>
            <w:r w:rsidRPr="00664FF0">
              <w:rPr>
                <w:rFonts w:eastAsiaTheme="minorEastAsia" w:cs="Arial"/>
                <w:sz w:val="16"/>
                <w:szCs w:val="16"/>
              </w:rPr>
              <w:t> </w:t>
            </w:r>
          </w:p>
        </w:tc>
        <w:tc>
          <w:tcPr>
            <w:tcW w:w="0" w:type="auto"/>
            <w:tcBorders>
              <w:top w:val="single" w:sz="4" w:space="0" w:color="auto"/>
              <w:bottom w:val="single" w:sz="4" w:space="0" w:color="auto"/>
            </w:tcBorders>
            <w:shd w:val="clear" w:color="auto" w:fill="auto"/>
            <w:vAlign w:val="center"/>
            <w:hideMark/>
          </w:tcPr>
          <w:p w:rsidR="006A4109" w:rsidRPr="00664FF0" w:rsidRDefault="006A4109" w:rsidP="00E930B2">
            <w:pPr>
              <w:rPr>
                <w:rFonts w:eastAsiaTheme="minorEastAsia" w:cs="Arial"/>
                <w:sz w:val="16"/>
                <w:szCs w:val="16"/>
              </w:rPr>
            </w:pPr>
            <w:r w:rsidRPr="00664FF0">
              <w:rPr>
                <w:rFonts w:eastAsiaTheme="minorEastAsia" w:cs="Arial"/>
                <w:sz w:val="16"/>
                <w:szCs w:val="16"/>
              </w:rPr>
              <w:t> </w:t>
            </w:r>
          </w:p>
        </w:tc>
        <w:tc>
          <w:tcPr>
            <w:tcW w:w="0" w:type="auto"/>
            <w:tcBorders>
              <w:top w:val="single" w:sz="4" w:space="0" w:color="auto"/>
              <w:bottom w:val="single" w:sz="4" w:space="0" w:color="auto"/>
            </w:tcBorders>
            <w:shd w:val="clear" w:color="auto" w:fill="auto"/>
            <w:vAlign w:val="center"/>
            <w:hideMark/>
          </w:tcPr>
          <w:p w:rsidR="006A4109" w:rsidRPr="00664FF0" w:rsidRDefault="006A4109" w:rsidP="00E930B2">
            <w:pPr>
              <w:rPr>
                <w:rFonts w:eastAsiaTheme="minorEastAsia" w:cs="Arial"/>
                <w:sz w:val="16"/>
                <w:szCs w:val="16"/>
              </w:rPr>
            </w:pPr>
            <w:r w:rsidRPr="00664FF0">
              <w:rPr>
                <w:rFonts w:eastAsiaTheme="minorEastAsia" w:cs="Arial"/>
                <w:sz w:val="16"/>
                <w:szCs w:val="16"/>
              </w:rPr>
              <w:t>√</w:t>
            </w:r>
          </w:p>
        </w:tc>
        <w:tc>
          <w:tcPr>
            <w:tcW w:w="0" w:type="auto"/>
            <w:tcBorders>
              <w:top w:val="single" w:sz="4" w:space="0" w:color="auto"/>
              <w:bottom w:val="single" w:sz="4" w:space="0" w:color="auto"/>
            </w:tcBorders>
            <w:shd w:val="clear" w:color="auto" w:fill="auto"/>
            <w:vAlign w:val="center"/>
            <w:hideMark/>
          </w:tcPr>
          <w:p w:rsidR="006A4109" w:rsidRPr="00664FF0" w:rsidRDefault="006A4109" w:rsidP="00E930B2">
            <w:pPr>
              <w:rPr>
                <w:rFonts w:eastAsiaTheme="minorEastAsia" w:cs="Arial"/>
                <w:sz w:val="16"/>
                <w:szCs w:val="16"/>
              </w:rPr>
            </w:pPr>
            <w:r w:rsidRPr="00664FF0">
              <w:rPr>
                <w:rFonts w:eastAsiaTheme="minorEastAsia" w:cs="Arial"/>
                <w:sz w:val="16"/>
                <w:szCs w:val="16"/>
              </w:rPr>
              <w:t> </w:t>
            </w:r>
          </w:p>
        </w:tc>
        <w:tc>
          <w:tcPr>
            <w:tcW w:w="0" w:type="auto"/>
            <w:tcBorders>
              <w:top w:val="single" w:sz="4" w:space="0" w:color="auto"/>
              <w:bottom w:val="single" w:sz="4" w:space="0" w:color="auto"/>
            </w:tcBorders>
            <w:shd w:val="clear" w:color="auto" w:fill="auto"/>
            <w:vAlign w:val="center"/>
            <w:hideMark/>
          </w:tcPr>
          <w:p w:rsidR="006A4109" w:rsidRPr="00664FF0" w:rsidRDefault="006A4109" w:rsidP="00E930B2">
            <w:pPr>
              <w:rPr>
                <w:rFonts w:eastAsiaTheme="minorEastAsia" w:cs="Arial"/>
                <w:sz w:val="16"/>
                <w:szCs w:val="16"/>
              </w:rPr>
            </w:pPr>
            <w:r w:rsidRPr="00664FF0">
              <w:rPr>
                <w:rFonts w:eastAsiaTheme="minorEastAsia" w:cs="Arial"/>
                <w:sz w:val="16"/>
                <w:szCs w:val="16"/>
              </w:rPr>
              <w:t>√</w:t>
            </w:r>
          </w:p>
        </w:tc>
        <w:tc>
          <w:tcPr>
            <w:tcW w:w="0" w:type="auto"/>
            <w:tcBorders>
              <w:top w:val="single" w:sz="4" w:space="0" w:color="auto"/>
              <w:bottom w:val="single" w:sz="4" w:space="0" w:color="auto"/>
            </w:tcBorders>
            <w:shd w:val="clear" w:color="auto" w:fill="auto"/>
            <w:vAlign w:val="center"/>
            <w:hideMark/>
          </w:tcPr>
          <w:p w:rsidR="006A4109" w:rsidRPr="00664FF0" w:rsidRDefault="006A4109" w:rsidP="00E930B2">
            <w:pPr>
              <w:rPr>
                <w:rFonts w:eastAsiaTheme="minorEastAsia" w:cs="Arial"/>
                <w:sz w:val="16"/>
                <w:szCs w:val="16"/>
              </w:rPr>
            </w:pPr>
            <w:r w:rsidRPr="00664FF0">
              <w:rPr>
                <w:rFonts w:eastAsiaTheme="minorEastAsia" w:cs="Arial"/>
                <w:sz w:val="16"/>
                <w:szCs w:val="16"/>
              </w:rPr>
              <w:t> </w:t>
            </w:r>
          </w:p>
        </w:tc>
      </w:tr>
      <w:tr w:rsidR="006A4109" w:rsidRPr="00664FF0" w:rsidTr="00E930B2">
        <w:trPr>
          <w:trHeight w:val="681"/>
        </w:trPr>
        <w:tc>
          <w:tcPr>
            <w:tcW w:w="0" w:type="auto"/>
            <w:tcBorders>
              <w:top w:val="single" w:sz="4" w:space="0" w:color="auto"/>
              <w:bottom w:val="single" w:sz="4" w:space="0" w:color="auto"/>
            </w:tcBorders>
            <w:shd w:val="clear" w:color="auto" w:fill="auto"/>
            <w:vAlign w:val="center"/>
            <w:hideMark/>
          </w:tcPr>
          <w:p w:rsidR="006A4109" w:rsidRPr="00664FF0" w:rsidRDefault="006A4109" w:rsidP="00E930B2">
            <w:pPr>
              <w:rPr>
                <w:rFonts w:eastAsiaTheme="minorEastAsia" w:cs="Arial"/>
                <w:sz w:val="16"/>
                <w:szCs w:val="16"/>
              </w:rPr>
            </w:pPr>
            <w:r w:rsidRPr="00664FF0">
              <w:rPr>
                <w:rFonts w:eastAsiaTheme="minorEastAsia" w:cs="Arial"/>
                <w:sz w:val="16"/>
                <w:szCs w:val="16"/>
              </w:rPr>
              <w:t>Retocs i adaptacions de peces i articles en tèxtil i pell</w:t>
            </w:r>
          </w:p>
        </w:tc>
        <w:tc>
          <w:tcPr>
            <w:tcW w:w="0" w:type="auto"/>
            <w:tcBorders>
              <w:top w:val="single" w:sz="4" w:space="0" w:color="auto"/>
              <w:bottom w:val="single" w:sz="4" w:space="0" w:color="auto"/>
            </w:tcBorders>
            <w:shd w:val="clear" w:color="auto" w:fill="auto"/>
            <w:vAlign w:val="center"/>
            <w:hideMark/>
          </w:tcPr>
          <w:p w:rsidR="006A4109" w:rsidRPr="00664FF0" w:rsidRDefault="006A4109" w:rsidP="00E930B2">
            <w:pPr>
              <w:rPr>
                <w:rFonts w:eastAsiaTheme="minorEastAsia" w:cs="Arial"/>
                <w:sz w:val="16"/>
                <w:szCs w:val="16"/>
              </w:rPr>
            </w:pPr>
            <w:r w:rsidRPr="00664FF0">
              <w:rPr>
                <w:rFonts w:eastAsiaTheme="minorEastAsia" w:cs="Arial"/>
                <w:sz w:val="16"/>
                <w:szCs w:val="16"/>
              </w:rPr>
              <w:t> </w:t>
            </w:r>
          </w:p>
        </w:tc>
        <w:tc>
          <w:tcPr>
            <w:tcW w:w="0" w:type="auto"/>
            <w:tcBorders>
              <w:top w:val="single" w:sz="4" w:space="0" w:color="auto"/>
              <w:bottom w:val="single" w:sz="4" w:space="0" w:color="auto"/>
            </w:tcBorders>
            <w:shd w:val="clear" w:color="auto" w:fill="auto"/>
            <w:vAlign w:val="center"/>
            <w:hideMark/>
          </w:tcPr>
          <w:p w:rsidR="006A4109" w:rsidRPr="00664FF0" w:rsidRDefault="006A4109" w:rsidP="00E930B2">
            <w:pPr>
              <w:rPr>
                <w:rFonts w:eastAsiaTheme="minorEastAsia" w:cs="Arial"/>
                <w:sz w:val="16"/>
                <w:szCs w:val="16"/>
              </w:rPr>
            </w:pPr>
            <w:r w:rsidRPr="00664FF0">
              <w:rPr>
                <w:rFonts w:eastAsiaTheme="minorEastAsia" w:cs="Arial"/>
                <w:sz w:val="16"/>
                <w:szCs w:val="16"/>
              </w:rPr>
              <w:t>√</w:t>
            </w:r>
          </w:p>
        </w:tc>
        <w:tc>
          <w:tcPr>
            <w:tcW w:w="0" w:type="auto"/>
            <w:tcBorders>
              <w:top w:val="single" w:sz="4" w:space="0" w:color="auto"/>
              <w:bottom w:val="single" w:sz="4" w:space="0" w:color="auto"/>
            </w:tcBorders>
            <w:shd w:val="clear" w:color="auto" w:fill="auto"/>
            <w:vAlign w:val="center"/>
            <w:hideMark/>
          </w:tcPr>
          <w:p w:rsidR="006A4109" w:rsidRPr="00664FF0" w:rsidRDefault="006A4109" w:rsidP="00E930B2">
            <w:pPr>
              <w:rPr>
                <w:rFonts w:eastAsiaTheme="minorEastAsia" w:cs="Arial"/>
                <w:sz w:val="16"/>
                <w:szCs w:val="16"/>
              </w:rPr>
            </w:pPr>
            <w:r w:rsidRPr="00664FF0">
              <w:rPr>
                <w:rFonts w:eastAsiaTheme="minorEastAsia" w:cs="Arial"/>
                <w:sz w:val="16"/>
                <w:szCs w:val="16"/>
              </w:rPr>
              <w:t> </w:t>
            </w:r>
          </w:p>
        </w:tc>
        <w:tc>
          <w:tcPr>
            <w:tcW w:w="0" w:type="auto"/>
            <w:tcBorders>
              <w:top w:val="single" w:sz="4" w:space="0" w:color="auto"/>
              <w:bottom w:val="single" w:sz="4" w:space="0" w:color="auto"/>
            </w:tcBorders>
            <w:shd w:val="clear" w:color="auto" w:fill="auto"/>
            <w:vAlign w:val="center"/>
            <w:hideMark/>
          </w:tcPr>
          <w:p w:rsidR="006A4109" w:rsidRPr="00664FF0" w:rsidRDefault="006A4109" w:rsidP="00E930B2">
            <w:pPr>
              <w:rPr>
                <w:rFonts w:eastAsiaTheme="minorEastAsia" w:cs="Arial"/>
                <w:sz w:val="16"/>
                <w:szCs w:val="16"/>
              </w:rPr>
            </w:pPr>
            <w:r w:rsidRPr="00664FF0">
              <w:rPr>
                <w:rFonts w:eastAsiaTheme="minorEastAsia" w:cs="Arial"/>
                <w:sz w:val="16"/>
                <w:szCs w:val="16"/>
              </w:rPr>
              <w:t> </w:t>
            </w:r>
          </w:p>
        </w:tc>
        <w:tc>
          <w:tcPr>
            <w:tcW w:w="0" w:type="auto"/>
            <w:tcBorders>
              <w:top w:val="single" w:sz="4" w:space="0" w:color="auto"/>
              <w:bottom w:val="single" w:sz="4" w:space="0" w:color="auto"/>
            </w:tcBorders>
            <w:shd w:val="clear" w:color="auto" w:fill="auto"/>
            <w:vAlign w:val="center"/>
            <w:hideMark/>
          </w:tcPr>
          <w:p w:rsidR="006A4109" w:rsidRPr="00664FF0" w:rsidRDefault="006A4109" w:rsidP="00E930B2">
            <w:pPr>
              <w:rPr>
                <w:rFonts w:eastAsiaTheme="minorEastAsia" w:cs="Arial"/>
                <w:sz w:val="16"/>
                <w:szCs w:val="16"/>
              </w:rPr>
            </w:pPr>
            <w:r w:rsidRPr="00664FF0">
              <w:rPr>
                <w:rFonts w:eastAsiaTheme="minorEastAsia" w:cs="Arial"/>
                <w:sz w:val="16"/>
                <w:szCs w:val="16"/>
              </w:rPr>
              <w:t>√ </w:t>
            </w:r>
          </w:p>
        </w:tc>
        <w:tc>
          <w:tcPr>
            <w:tcW w:w="0" w:type="auto"/>
            <w:tcBorders>
              <w:top w:val="single" w:sz="4" w:space="0" w:color="auto"/>
              <w:bottom w:val="single" w:sz="4" w:space="0" w:color="auto"/>
            </w:tcBorders>
            <w:shd w:val="clear" w:color="auto" w:fill="auto"/>
            <w:vAlign w:val="center"/>
            <w:hideMark/>
          </w:tcPr>
          <w:p w:rsidR="006A4109" w:rsidRPr="00664FF0" w:rsidRDefault="006A4109" w:rsidP="00E930B2">
            <w:pPr>
              <w:rPr>
                <w:rFonts w:eastAsiaTheme="minorEastAsia" w:cs="Arial"/>
                <w:sz w:val="16"/>
                <w:szCs w:val="16"/>
              </w:rPr>
            </w:pPr>
            <w:r w:rsidRPr="00664FF0">
              <w:rPr>
                <w:rFonts w:eastAsiaTheme="minorEastAsia" w:cs="Arial"/>
                <w:sz w:val="16"/>
                <w:szCs w:val="16"/>
              </w:rPr>
              <w:t>√</w:t>
            </w:r>
          </w:p>
        </w:tc>
        <w:tc>
          <w:tcPr>
            <w:tcW w:w="0" w:type="auto"/>
            <w:tcBorders>
              <w:top w:val="single" w:sz="4" w:space="0" w:color="auto"/>
              <w:bottom w:val="single" w:sz="4" w:space="0" w:color="auto"/>
            </w:tcBorders>
            <w:shd w:val="clear" w:color="auto" w:fill="auto"/>
            <w:vAlign w:val="center"/>
            <w:hideMark/>
          </w:tcPr>
          <w:p w:rsidR="006A4109" w:rsidRPr="00664FF0" w:rsidRDefault="006A4109" w:rsidP="00E930B2">
            <w:pPr>
              <w:rPr>
                <w:rFonts w:eastAsiaTheme="minorEastAsia" w:cs="Arial"/>
                <w:sz w:val="16"/>
                <w:szCs w:val="16"/>
              </w:rPr>
            </w:pPr>
            <w:r w:rsidRPr="00664FF0">
              <w:rPr>
                <w:rFonts w:eastAsiaTheme="minorEastAsia" w:cs="Arial"/>
                <w:sz w:val="16"/>
                <w:szCs w:val="16"/>
              </w:rPr>
              <w:t>√</w:t>
            </w:r>
          </w:p>
        </w:tc>
        <w:tc>
          <w:tcPr>
            <w:tcW w:w="0" w:type="auto"/>
            <w:tcBorders>
              <w:top w:val="single" w:sz="4" w:space="0" w:color="auto"/>
              <w:bottom w:val="single" w:sz="4" w:space="0" w:color="auto"/>
            </w:tcBorders>
            <w:shd w:val="clear" w:color="auto" w:fill="auto"/>
            <w:vAlign w:val="center"/>
            <w:hideMark/>
          </w:tcPr>
          <w:p w:rsidR="006A4109" w:rsidRPr="00664FF0" w:rsidRDefault="006A4109" w:rsidP="00E930B2">
            <w:pPr>
              <w:rPr>
                <w:rFonts w:eastAsiaTheme="minorEastAsia" w:cs="Arial"/>
                <w:sz w:val="16"/>
                <w:szCs w:val="16"/>
              </w:rPr>
            </w:pPr>
            <w:r w:rsidRPr="00664FF0">
              <w:rPr>
                <w:rFonts w:eastAsiaTheme="minorEastAsia" w:cs="Arial"/>
                <w:sz w:val="16"/>
                <w:szCs w:val="16"/>
              </w:rPr>
              <w:t> </w:t>
            </w:r>
          </w:p>
        </w:tc>
        <w:tc>
          <w:tcPr>
            <w:tcW w:w="0" w:type="auto"/>
            <w:tcBorders>
              <w:top w:val="single" w:sz="4" w:space="0" w:color="auto"/>
              <w:bottom w:val="single" w:sz="4" w:space="0" w:color="auto"/>
            </w:tcBorders>
            <w:shd w:val="clear" w:color="auto" w:fill="auto"/>
            <w:vAlign w:val="center"/>
            <w:hideMark/>
          </w:tcPr>
          <w:p w:rsidR="006A4109" w:rsidRPr="00664FF0" w:rsidRDefault="006A4109" w:rsidP="00E930B2">
            <w:pPr>
              <w:rPr>
                <w:rFonts w:eastAsiaTheme="minorEastAsia" w:cs="Arial"/>
                <w:sz w:val="16"/>
                <w:szCs w:val="16"/>
              </w:rPr>
            </w:pPr>
            <w:r w:rsidRPr="00664FF0">
              <w:rPr>
                <w:rFonts w:eastAsiaTheme="minorEastAsia" w:cs="Arial"/>
                <w:sz w:val="16"/>
                <w:szCs w:val="16"/>
              </w:rPr>
              <w:t> </w:t>
            </w:r>
          </w:p>
        </w:tc>
        <w:tc>
          <w:tcPr>
            <w:tcW w:w="0" w:type="auto"/>
            <w:tcBorders>
              <w:top w:val="single" w:sz="4" w:space="0" w:color="auto"/>
              <w:bottom w:val="single" w:sz="4" w:space="0" w:color="auto"/>
            </w:tcBorders>
            <w:shd w:val="clear" w:color="auto" w:fill="auto"/>
            <w:vAlign w:val="center"/>
            <w:hideMark/>
          </w:tcPr>
          <w:p w:rsidR="006A4109" w:rsidRPr="00664FF0" w:rsidRDefault="006A4109" w:rsidP="00E930B2">
            <w:pPr>
              <w:rPr>
                <w:rFonts w:eastAsiaTheme="minorEastAsia" w:cs="Arial"/>
                <w:sz w:val="16"/>
                <w:szCs w:val="16"/>
              </w:rPr>
            </w:pPr>
            <w:r w:rsidRPr="00664FF0">
              <w:rPr>
                <w:rFonts w:eastAsiaTheme="minorEastAsia" w:cs="Arial"/>
                <w:sz w:val="16"/>
                <w:szCs w:val="16"/>
              </w:rPr>
              <w:t> </w:t>
            </w:r>
          </w:p>
        </w:tc>
        <w:tc>
          <w:tcPr>
            <w:tcW w:w="0" w:type="auto"/>
            <w:tcBorders>
              <w:top w:val="single" w:sz="4" w:space="0" w:color="auto"/>
              <w:bottom w:val="single" w:sz="4" w:space="0" w:color="auto"/>
            </w:tcBorders>
            <w:shd w:val="clear" w:color="auto" w:fill="auto"/>
            <w:vAlign w:val="center"/>
            <w:hideMark/>
          </w:tcPr>
          <w:p w:rsidR="006A4109" w:rsidRPr="00664FF0" w:rsidRDefault="006A4109" w:rsidP="00E930B2">
            <w:pPr>
              <w:rPr>
                <w:rFonts w:eastAsiaTheme="minorEastAsia" w:cs="Arial"/>
                <w:sz w:val="16"/>
                <w:szCs w:val="16"/>
              </w:rPr>
            </w:pPr>
            <w:r w:rsidRPr="00664FF0">
              <w:rPr>
                <w:rFonts w:eastAsiaTheme="minorEastAsia" w:cs="Arial"/>
                <w:sz w:val="16"/>
                <w:szCs w:val="16"/>
              </w:rPr>
              <w:t> </w:t>
            </w:r>
          </w:p>
        </w:tc>
        <w:tc>
          <w:tcPr>
            <w:tcW w:w="0" w:type="auto"/>
            <w:tcBorders>
              <w:top w:val="single" w:sz="4" w:space="0" w:color="auto"/>
              <w:bottom w:val="single" w:sz="4" w:space="0" w:color="auto"/>
            </w:tcBorders>
            <w:shd w:val="clear" w:color="auto" w:fill="auto"/>
            <w:vAlign w:val="center"/>
            <w:hideMark/>
          </w:tcPr>
          <w:p w:rsidR="006A4109" w:rsidRPr="00664FF0" w:rsidRDefault="006A4109" w:rsidP="00E930B2">
            <w:pPr>
              <w:rPr>
                <w:rFonts w:eastAsiaTheme="minorEastAsia" w:cs="Arial"/>
                <w:sz w:val="16"/>
                <w:szCs w:val="16"/>
              </w:rPr>
            </w:pPr>
            <w:r w:rsidRPr="00664FF0">
              <w:rPr>
                <w:rFonts w:eastAsiaTheme="minorEastAsia" w:cs="Arial"/>
                <w:sz w:val="16"/>
                <w:szCs w:val="16"/>
              </w:rPr>
              <w:t> </w:t>
            </w:r>
          </w:p>
        </w:tc>
      </w:tr>
      <w:tr w:rsidR="006A4109" w:rsidRPr="00664FF0" w:rsidTr="00E930B2">
        <w:trPr>
          <w:trHeight w:val="562"/>
        </w:trPr>
        <w:tc>
          <w:tcPr>
            <w:tcW w:w="0" w:type="auto"/>
            <w:tcBorders>
              <w:top w:val="single" w:sz="4" w:space="0" w:color="auto"/>
              <w:bottom w:val="single" w:sz="4" w:space="0" w:color="auto"/>
            </w:tcBorders>
            <w:shd w:val="clear" w:color="auto" w:fill="auto"/>
            <w:vAlign w:val="center"/>
            <w:hideMark/>
          </w:tcPr>
          <w:p w:rsidR="006A4109" w:rsidRPr="00664FF0" w:rsidRDefault="006A4109" w:rsidP="00E930B2">
            <w:pPr>
              <w:rPr>
                <w:rFonts w:eastAsiaTheme="minorEastAsia" w:cs="Arial"/>
                <w:sz w:val="16"/>
                <w:szCs w:val="16"/>
              </w:rPr>
            </w:pPr>
            <w:r w:rsidRPr="00664FF0">
              <w:rPr>
                <w:rFonts w:eastAsiaTheme="minorEastAsia" w:cs="Arial"/>
                <w:sz w:val="16"/>
                <w:szCs w:val="16"/>
              </w:rPr>
              <w:t>Operacions de fontaneria i calefacció-climatització domèstica</w:t>
            </w:r>
          </w:p>
        </w:tc>
        <w:tc>
          <w:tcPr>
            <w:tcW w:w="0" w:type="auto"/>
            <w:tcBorders>
              <w:top w:val="single" w:sz="4" w:space="0" w:color="auto"/>
              <w:bottom w:val="single" w:sz="4" w:space="0" w:color="auto"/>
            </w:tcBorders>
            <w:shd w:val="clear" w:color="auto" w:fill="auto"/>
            <w:vAlign w:val="center"/>
            <w:hideMark/>
          </w:tcPr>
          <w:p w:rsidR="006A4109" w:rsidRPr="00664FF0" w:rsidRDefault="006A4109" w:rsidP="00E930B2">
            <w:pPr>
              <w:rPr>
                <w:rFonts w:eastAsiaTheme="minorEastAsia" w:cs="Arial"/>
                <w:sz w:val="16"/>
                <w:szCs w:val="16"/>
              </w:rPr>
            </w:pPr>
            <w:r w:rsidRPr="00664FF0">
              <w:rPr>
                <w:rFonts w:eastAsiaTheme="minorEastAsia" w:cs="Arial"/>
                <w:sz w:val="16"/>
                <w:szCs w:val="16"/>
              </w:rPr>
              <w:t> </w:t>
            </w:r>
          </w:p>
        </w:tc>
        <w:tc>
          <w:tcPr>
            <w:tcW w:w="0" w:type="auto"/>
            <w:tcBorders>
              <w:top w:val="single" w:sz="4" w:space="0" w:color="auto"/>
              <w:bottom w:val="single" w:sz="4" w:space="0" w:color="auto"/>
            </w:tcBorders>
            <w:shd w:val="clear" w:color="auto" w:fill="auto"/>
            <w:vAlign w:val="center"/>
            <w:hideMark/>
          </w:tcPr>
          <w:p w:rsidR="006A4109" w:rsidRPr="00664FF0" w:rsidRDefault="006A4109" w:rsidP="00E930B2">
            <w:pPr>
              <w:rPr>
                <w:rFonts w:eastAsiaTheme="minorEastAsia" w:cs="Arial"/>
                <w:sz w:val="16"/>
                <w:szCs w:val="16"/>
              </w:rPr>
            </w:pPr>
            <w:r w:rsidRPr="00664FF0">
              <w:rPr>
                <w:rFonts w:eastAsiaTheme="minorEastAsia" w:cs="Arial"/>
                <w:sz w:val="16"/>
                <w:szCs w:val="16"/>
              </w:rPr>
              <w:t> </w:t>
            </w:r>
          </w:p>
        </w:tc>
        <w:tc>
          <w:tcPr>
            <w:tcW w:w="0" w:type="auto"/>
            <w:tcBorders>
              <w:top w:val="single" w:sz="4" w:space="0" w:color="auto"/>
              <w:bottom w:val="single" w:sz="4" w:space="0" w:color="auto"/>
            </w:tcBorders>
            <w:shd w:val="clear" w:color="auto" w:fill="auto"/>
            <w:vAlign w:val="center"/>
            <w:hideMark/>
          </w:tcPr>
          <w:p w:rsidR="006A4109" w:rsidRPr="00664FF0" w:rsidRDefault="006A4109" w:rsidP="00E930B2">
            <w:pPr>
              <w:rPr>
                <w:rFonts w:eastAsiaTheme="minorEastAsia" w:cs="Arial"/>
                <w:sz w:val="16"/>
                <w:szCs w:val="16"/>
              </w:rPr>
            </w:pPr>
            <w:r w:rsidRPr="00664FF0">
              <w:rPr>
                <w:rFonts w:eastAsiaTheme="minorEastAsia" w:cs="Arial"/>
                <w:sz w:val="16"/>
                <w:szCs w:val="16"/>
              </w:rPr>
              <w:t> </w:t>
            </w:r>
          </w:p>
        </w:tc>
        <w:tc>
          <w:tcPr>
            <w:tcW w:w="0" w:type="auto"/>
            <w:tcBorders>
              <w:top w:val="single" w:sz="4" w:space="0" w:color="auto"/>
              <w:bottom w:val="single" w:sz="4" w:space="0" w:color="auto"/>
            </w:tcBorders>
            <w:shd w:val="clear" w:color="auto" w:fill="auto"/>
            <w:vAlign w:val="center"/>
            <w:hideMark/>
          </w:tcPr>
          <w:p w:rsidR="006A4109" w:rsidRPr="00664FF0" w:rsidRDefault="006A4109" w:rsidP="00E930B2">
            <w:pPr>
              <w:rPr>
                <w:rFonts w:eastAsiaTheme="minorEastAsia" w:cs="Arial"/>
                <w:sz w:val="16"/>
                <w:szCs w:val="16"/>
              </w:rPr>
            </w:pPr>
            <w:r w:rsidRPr="00664FF0">
              <w:rPr>
                <w:rFonts w:eastAsiaTheme="minorEastAsia" w:cs="Arial"/>
                <w:sz w:val="16"/>
                <w:szCs w:val="16"/>
              </w:rPr>
              <w:t>√ </w:t>
            </w:r>
          </w:p>
        </w:tc>
        <w:tc>
          <w:tcPr>
            <w:tcW w:w="0" w:type="auto"/>
            <w:tcBorders>
              <w:top w:val="single" w:sz="4" w:space="0" w:color="auto"/>
              <w:bottom w:val="single" w:sz="4" w:space="0" w:color="auto"/>
            </w:tcBorders>
            <w:shd w:val="clear" w:color="auto" w:fill="auto"/>
            <w:vAlign w:val="center"/>
            <w:hideMark/>
          </w:tcPr>
          <w:p w:rsidR="006A4109" w:rsidRPr="00664FF0" w:rsidRDefault="006A4109" w:rsidP="00E930B2">
            <w:pPr>
              <w:rPr>
                <w:rFonts w:eastAsiaTheme="minorEastAsia" w:cs="Arial"/>
                <w:sz w:val="16"/>
                <w:szCs w:val="16"/>
              </w:rPr>
            </w:pPr>
            <w:r w:rsidRPr="00664FF0">
              <w:rPr>
                <w:rFonts w:eastAsiaTheme="minorEastAsia" w:cs="Arial"/>
                <w:sz w:val="16"/>
                <w:szCs w:val="16"/>
              </w:rPr>
              <w:t> </w:t>
            </w:r>
          </w:p>
        </w:tc>
        <w:tc>
          <w:tcPr>
            <w:tcW w:w="0" w:type="auto"/>
            <w:tcBorders>
              <w:top w:val="single" w:sz="4" w:space="0" w:color="auto"/>
              <w:bottom w:val="single" w:sz="4" w:space="0" w:color="auto"/>
            </w:tcBorders>
            <w:shd w:val="clear" w:color="auto" w:fill="auto"/>
            <w:vAlign w:val="center"/>
            <w:hideMark/>
          </w:tcPr>
          <w:p w:rsidR="006A4109" w:rsidRPr="00664FF0" w:rsidRDefault="006A4109" w:rsidP="00E930B2">
            <w:pPr>
              <w:rPr>
                <w:rFonts w:eastAsiaTheme="minorEastAsia" w:cs="Arial"/>
                <w:sz w:val="16"/>
                <w:szCs w:val="16"/>
              </w:rPr>
            </w:pPr>
            <w:r w:rsidRPr="00664FF0">
              <w:rPr>
                <w:rFonts w:eastAsiaTheme="minorEastAsia" w:cs="Arial"/>
                <w:sz w:val="16"/>
                <w:szCs w:val="16"/>
              </w:rPr>
              <w:t>√ </w:t>
            </w:r>
          </w:p>
        </w:tc>
        <w:tc>
          <w:tcPr>
            <w:tcW w:w="0" w:type="auto"/>
            <w:tcBorders>
              <w:top w:val="single" w:sz="4" w:space="0" w:color="auto"/>
              <w:bottom w:val="single" w:sz="4" w:space="0" w:color="auto"/>
            </w:tcBorders>
            <w:shd w:val="clear" w:color="auto" w:fill="auto"/>
            <w:vAlign w:val="center"/>
            <w:hideMark/>
          </w:tcPr>
          <w:p w:rsidR="006A4109" w:rsidRPr="00664FF0" w:rsidRDefault="006A4109" w:rsidP="00E930B2">
            <w:pPr>
              <w:rPr>
                <w:rFonts w:eastAsiaTheme="minorEastAsia" w:cs="Arial"/>
                <w:sz w:val="16"/>
                <w:szCs w:val="16"/>
              </w:rPr>
            </w:pPr>
            <w:r w:rsidRPr="00664FF0">
              <w:rPr>
                <w:rFonts w:eastAsiaTheme="minorEastAsia" w:cs="Arial"/>
                <w:sz w:val="16"/>
                <w:szCs w:val="16"/>
              </w:rPr>
              <w:t> </w:t>
            </w:r>
          </w:p>
        </w:tc>
        <w:tc>
          <w:tcPr>
            <w:tcW w:w="0" w:type="auto"/>
            <w:tcBorders>
              <w:top w:val="single" w:sz="4" w:space="0" w:color="auto"/>
              <w:bottom w:val="single" w:sz="4" w:space="0" w:color="auto"/>
            </w:tcBorders>
            <w:shd w:val="clear" w:color="auto" w:fill="auto"/>
            <w:vAlign w:val="center"/>
            <w:hideMark/>
          </w:tcPr>
          <w:p w:rsidR="006A4109" w:rsidRPr="00664FF0" w:rsidRDefault="006A4109" w:rsidP="00E930B2">
            <w:pPr>
              <w:rPr>
                <w:rFonts w:eastAsiaTheme="minorEastAsia" w:cs="Arial"/>
                <w:sz w:val="16"/>
                <w:szCs w:val="16"/>
              </w:rPr>
            </w:pPr>
            <w:r w:rsidRPr="00664FF0">
              <w:rPr>
                <w:rFonts w:eastAsiaTheme="minorEastAsia" w:cs="Arial"/>
                <w:sz w:val="16"/>
                <w:szCs w:val="16"/>
              </w:rPr>
              <w:t> </w:t>
            </w:r>
          </w:p>
        </w:tc>
        <w:tc>
          <w:tcPr>
            <w:tcW w:w="0" w:type="auto"/>
            <w:tcBorders>
              <w:top w:val="single" w:sz="4" w:space="0" w:color="auto"/>
              <w:bottom w:val="single" w:sz="4" w:space="0" w:color="auto"/>
            </w:tcBorders>
            <w:shd w:val="clear" w:color="auto" w:fill="auto"/>
            <w:vAlign w:val="center"/>
            <w:hideMark/>
          </w:tcPr>
          <w:p w:rsidR="006A4109" w:rsidRPr="00664FF0" w:rsidRDefault="006A4109" w:rsidP="00E930B2">
            <w:pPr>
              <w:rPr>
                <w:rFonts w:eastAsiaTheme="minorEastAsia" w:cs="Arial"/>
                <w:sz w:val="16"/>
                <w:szCs w:val="16"/>
              </w:rPr>
            </w:pPr>
            <w:r w:rsidRPr="00664FF0">
              <w:rPr>
                <w:rFonts w:eastAsiaTheme="minorEastAsia" w:cs="Arial"/>
                <w:sz w:val="16"/>
                <w:szCs w:val="16"/>
              </w:rPr>
              <w:t> </w:t>
            </w:r>
          </w:p>
        </w:tc>
        <w:tc>
          <w:tcPr>
            <w:tcW w:w="0" w:type="auto"/>
            <w:tcBorders>
              <w:top w:val="single" w:sz="4" w:space="0" w:color="auto"/>
              <w:bottom w:val="single" w:sz="4" w:space="0" w:color="auto"/>
            </w:tcBorders>
            <w:shd w:val="clear" w:color="auto" w:fill="auto"/>
            <w:vAlign w:val="center"/>
            <w:hideMark/>
          </w:tcPr>
          <w:p w:rsidR="006A4109" w:rsidRPr="00664FF0" w:rsidRDefault="006A4109" w:rsidP="00E930B2">
            <w:pPr>
              <w:rPr>
                <w:rFonts w:eastAsiaTheme="minorEastAsia" w:cs="Arial"/>
                <w:sz w:val="16"/>
                <w:szCs w:val="16"/>
              </w:rPr>
            </w:pPr>
            <w:r w:rsidRPr="00664FF0">
              <w:rPr>
                <w:rFonts w:eastAsiaTheme="minorEastAsia" w:cs="Arial"/>
                <w:sz w:val="16"/>
                <w:szCs w:val="16"/>
              </w:rPr>
              <w:t>√</w:t>
            </w:r>
          </w:p>
        </w:tc>
        <w:tc>
          <w:tcPr>
            <w:tcW w:w="0" w:type="auto"/>
            <w:tcBorders>
              <w:top w:val="single" w:sz="4" w:space="0" w:color="auto"/>
              <w:bottom w:val="single" w:sz="4" w:space="0" w:color="auto"/>
            </w:tcBorders>
            <w:shd w:val="clear" w:color="auto" w:fill="auto"/>
            <w:vAlign w:val="center"/>
            <w:hideMark/>
          </w:tcPr>
          <w:p w:rsidR="006A4109" w:rsidRPr="00664FF0" w:rsidRDefault="006A4109" w:rsidP="00E930B2">
            <w:pPr>
              <w:rPr>
                <w:rFonts w:eastAsiaTheme="minorEastAsia" w:cs="Arial"/>
                <w:sz w:val="16"/>
                <w:szCs w:val="16"/>
              </w:rPr>
            </w:pPr>
            <w:r w:rsidRPr="00664FF0">
              <w:rPr>
                <w:rFonts w:eastAsiaTheme="minorEastAsia" w:cs="Arial"/>
                <w:sz w:val="16"/>
                <w:szCs w:val="16"/>
              </w:rPr>
              <w:t>√</w:t>
            </w:r>
          </w:p>
        </w:tc>
        <w:tc>
          <w:tcPr>
            <w:tcW w:w="0" w:type="auto"/>
            <w:tcBorders>
              <w:top w:val="single" w:sz="4" w:space="0" w:color="auto"/>
              <w:bottom w:val="single" w:sz="4" w:space="0" w:color="auto"/>
            </w:tcBorders>
            <w:shd w:val="clear" w:color="auto" w:fill="auto"/>
            <w:vAlign w:val="center"/>
            <w:hideMark/>
          </w:tcPr>
          <w:p w:rsidR="006A4109" w:rsidRPr="00664FF0" w:rsidRDefault="006A4109" w:rsidP="00E930B2">
            <w:pPr>
              <w:rPr>
                <w:rFonts w:eastAsiaTheme="minorEastAsia" w:cs="Arial"/>
                <w:sz w:val="16"/>
                <w:szCs w:val="16"/>
              </w:rPr>
            </w:pPr>
            <w:r w:rsidRPr="00664FF0">
              <w:rPr>
                <w:rFonts w:eastAsiaTheme="minorEastAsia" w:cs="Arial"/>
                <w:sz w:val="16"/>
                <w:szCs w:val="16"/>
              </w:rPr>
              <w:t> </w:t>
            </w:r>
          </w:p>
        </w:tc>
      </w:tr>
      <w:tr w:rsidR="006A4109" w:rsidRPr="00664FF0" w:rsidTr="00E930B2">
        <w:trPr>
          <w:trHeight w:val="703"/>
        </w:trPr>
        <w:tc>
          <w:tcPr>
            <w:tcW w:w="0" w:type="auto"/>
            <w:tcBorders>
              <w:top w:val="single" w:sz="4" w:space="0" w:color="auto"/>
              <w:bottom w:val="single" w:sz="4" w:space="0" w:color="auto"/>
            </w:tcBorders>
            <w:shd w:val="clear" w:color="auto" w:fill="auto"/>
            <w:vAlign w:val="center"/>
            <w:hideMark/>
          </w:tcPr>
          <w:p w:rsidR="006A4109" w:rsidRPr="00664FF0" w:rsidRDefault="006A4109" w:rsidP="00E930B2">
            <w:pPr>
              <w:rPr>
                <w:rFonts w:eastAsiaTheme="minorEastAsia" w:cs="Arial"/>
                <w:sz w:val="16"/>
                <w:szCs w:val="16"/>
              </w:rPr>
            </w:pPr>
            <w:r w:rsidRPr="00664FF0">
              <w:rPr>
                <w:rFonts w:eastAsiaTheme="minorEastAsia" w:cs="Arial"/>
                <w:sz w:val="16"/>
                <w:szCs w:val="16"/>
              </w:rPr>
              <w:t>Operacions d’enregistrament i tractament de dades i documents</w:t>
            </w:r>
          </w:p>
        </w:tc>
        <w:tc>
          <w:tcPr>
            <w:tcW w:w="0" w:type="auto"/>
            <w:tcBorders>
              <w:top w:val="single" w:sz="4" w:space="0" w:color="auto"/>
              <w:bottom w:val="single" w:sz="4" w:space="0" w:color="auto"/>
            </w:tcBorders>
            <w:shd w:val="clear" w:color="auto" w:fill="auto"/>
            <w:vAlign w:val="center"/>
            <w:hideMark/>
          </w:tcPr>
          <w:p w:rsidR="006A4109" w:rsidRPr="00664FF0" w:rsidRDefault="006A4109" w:rsidP="00E930B2">
            <w:pPr>
              <w:rPr>
                <w:rFonts w:eastAsiaTheme="minorEastAsia" w:cs="Arial"/>
                <w:sz w:val="16"/>
                <w:szCs w:val="16"/>
              </w:rPr>
            </w:pPr>
            <w:r w:rsidRPr="00664FF0">
              <w:rPr>
                <w:rFonts w:eastAsiaTheme="minorEastAsia" w:cs="Arial"/>
                <w:sz w:val="16"/>
                <w:szCs w:val="16"/>
              </w:rPr>
              <w:t> </w:t>
            </w:r>
          </w:p>
        </w:tc>
        <w:tc>
          <w:tcPr>
            <w:tcW w:w="0" w:type="auto"/>
            <w:tcBorders>
              <w:top w:val="single" w:sz="4" w:space="0" w:color="auto"/>
              <w:bottom w:val="single" w:sz="4" w:space="0" w:color="auto"/>
            </w:tcBorders>
            <w:shd w:val="clear" w:color="auto" w:fill="auto"/>
            <w:vAlign w:val="center"/>
            <w:hideMark/>
          </w:tcPr>
          <w:p w:rsidR="006A4109" w:rsidRPr="00664FF0" w:rsidRDefault="006A4109" w:rsidP="00E930B2">
            <w:pPr>
              <w:rPr>
                <w:rFonts w:eastAsiaTheme="minorEastAsia" w:cs="Arial"/>
                <w:sz w:val="16"/>
                <w:szCs w:val="16"/>
              </w:rPr>
            </w:pPr>
            <w:r w:rsidRPr="00664FF0">
              <w:rPr>
                <w:rFonts w:eastAsiaTheme="minorEastAsia" w:cs="Arial"/>
                <w:sz w:val="16"/>
                <w:szCs w:val="16"/>
              </w:rPr>
              <w:t>√ </w:t>
            </w:r>
          </w:p>
        </w:tc>
        <w:tc>
          <w:tcPr>
            <w:tcW w:w="0" w:type="auto"/>
            <w:tcBorders>
              <w:top w:val="single" w:sz="4" w:space="0" w:color="auto"/>
              <w:bottom w:val="single" w:sz="4" w:space="0" w:color="auto"/>
            </w:tcBorders>
            <w:shd w:val="clear" w:color="auto" w:fill="auto"/>
            <w:vAlign w:val="center"/>
            <w:hideMark/>
          </w:tcPr>
          <w:p w:rsidR="006A4109" w:rsidRPr="00664FF0" w:rsidRDefault="006A4109" w:rsidP="00E930B2">
            <w:pPr>
              <w:rPr>
                <w:rFonts w:eastAsiaTheme="minorEastAsia" w:cs="Arial"/>
                <w:sz w:val="16"/>
                <w:szCs w:val="16"/>
              </w:rPr>
            </w:pPr>
            <w:r w:rsidRPr="00664FF0">
              <w:rPr>
                <w:rFonts w:eastAsiaTheme="minorEastAsia" w:cs="Arial"/>
                <w:sz w:val="16"/>
                <w:szCs w:val="16"/>
              </w:rPr>
              <w:t> </w:t>
            </w:r>
          </w:p>
        </w:tc>
        <w:tc>
          <w:tcPr>
            <w:tcW w:w="0" w:type="auto"/>
            <w:tcBorders>
              <w:top w:val="single" w:sz="4" w:space="0" w:color="auto"/>
              <w:bottom w:val="single" w:sz="4" w:space="0" w:color="auto"/>
            </w:tcBorders>
            <w:shd w:val="clear" w:color="auto" w:fill="auto"/>
            <w:vAlign w:val="center"/>
            <w:hideMark/>
          </w:tcPr>
          <w:p w:rsidR="006A4109" w:rsidRPr="00664FF0" w:rsidRDefault="006A4109" w:rsidP="00E930B2">
            <w:pPr>
              <w:rPr>
                <w:rFonts w:eastAsiaTheme="minorEastAsia" w:cs="Arial"/>
                <w:sz w:val="16"/>
                <w:szCs w:val="16"/>
              </w:rPr>
            </w:pPr>
            <w:r w:rsidRPr="00664FF0">
              <w:rPr>
                <w:rFonts w:eastAsiaTheme="minorEastAsia" w:cs="Arial"/>
                <w:sz w:val="16"/>
                <w:szCs w:val="16"/>
              </w:rPr>
              <w:t>√ </w:t>
            </w:r>
          </w:p>
        </w:tc>
        <w:tc>
          <w:tcPr>
            <w:tcW w:w="0" w:type="auto"/>
            <w:tcBorders>
              <w:top w:val="single" w:sz="4" w:space="0" w:color="auto"/>
              <w:bottom w:val="single" w:sz="4" w:space="0" w:color="auto"/>
            </w:tcBorders>
            <w:shd w:val="clear" w:color="auto" w:fill="auto"/>
            <w:vAlign w:val="center"/>
            <w:hideMark/>
          </w:tcPr>
          <w:p w:rsidR="006A4109" w:rsidRPr="00664FF0" w:rsidRDefault="006A4109" w:rsidP="00E930B2">
            <w:pPr>
              <w:rPr>
                <w:rFonts w:eastAsiaTheme="minorEastAsia" w:cs="Arial"/>
                <w:sz w:val="16"/>
                <w:szCs w:val="16"/>
              </w:rPr>
            </w:pPr>
            <w:r w:rsidRPr="00664FF0">
              <w:rPr>
                <w:rFonts w:eastAsiaTheme="minorEastAsia" w:cs="Arial"/>
                <w:sz w:val="16"/>
                <w:szCs w:val="16"/>
              </w:rPr>
              <w:t>√ </w:t>
            </w:r>
          </w:p>
        </w:tc>
        <w:tc>
          <w:tcPr>
            <w:tcW w:w="0" w:type="auto"/>
            <w:tcBorders>
              <w:top w:val="single" w:sz="4" w:space="0" w:color="auto"/>
              <w:bottom w:val="single" w:sz="4" w:space="0" w:color="auto"/>
            </w:tcBorders>
            <w:shd w:val="clear" w:color="auto" w:fill="auto"/>
            <w:vAlign w:val="center"/>
            <w:hideMark/>
          </w:tcPr>
          <w:p w:rsidR="006A4109" w:rsidRPr="00664FF0" w:rsidRDefault="006A4109" w:rsidP="00E930B2">
            <w:pPr>
              <w:rPr>
                <w:rFonts w:eastAsiaTheme="minorEastAsia" w:cs="Arial"/>
                <w:sz w:val="16"/>
                <w:szCs w:val="16"/>
              </w:rPr>
            </w:pPr>
            <w:r w:rsidRPr="00664FF0">
              <w:rPr>
                <w:rFonts w:eastAsiaTheme="minorEastAsia" w:cs="Arial"/>
                <w:sz w:val="16"/>
                <w:szCs w:val="16"/>
              </w:rPr>
              <w:t>√ </w:t>
            </w:r>
          </w:p>
        </w:tc>
        <w:tc>
          <w:tcPr>
            <w:tcW w:w="0" w:type="auto"/>
            <w:tcBorders>
              <w:top w:val="single" w:sz="4" w:space="0" w:color="auto"/>
              <w:bottom w:val="single" w:sz="4" w:space="0" w:color="auto"/>
            </w:tcBorders>
            <w:shd w:val="clear" w:color="auto" w:fill="auto"/>
            <w:vAlign w:val="center"/>
            <w:hideMark/>
          </w:tcPr>
          <w:p w:rsidR="006A4109" w:rsidRPr="00664FF0" w:rsidRDefault="006A4109" w:rsidP="00E930B2">
            <w:pPr>
              <w:rPr>
                <w:rFonts w:eastAsiaTheme="minorEastAsia" w:cs="Arial"/>
                <w:sz w:val="16"/>
                <w:szCs w:val="16"/>
              </w:rPr>
            </w:pPr>
            <w:r w:rsidRPr="00664FF0">
              <w:rPr>
                <w:rFonts w:eastAsiaTheme="minorEastAsia" w:cs="Arial"/>
                <w:sz w:val="16"/>
                <w:szCs w:val="16"/>
              </w:rPr>
              <w:t>√ </w:t>
            </w:r>
          </w:p>
        </w:tc>
        <w:tc>
          <w:tcPr>
            <w:tcW w:w="0" w:type="auto"/>
            <w:tcBorders>
              <w:top w:val="single" w:sz="4" w:space="0" w:color="auto"/>
              <w:bottom w:val="single" w:sz="4" w:space="0" w:color="auto"/>
            </w:tcBorders>
            <w:shd w:val="clear" w:color="auto" w:fill="auto"/>
            <w:vAlign w:val="center"/>
            <w:hideMark/>
          </w:tcPr>
          <w:p w:rsidR="006A4109" w:rsidRPr="00664FF0" w:rsidRDefault="006A4109" w:rsidP="00E930B2">
            <w:pPr>
              <w:rPr>
                <w:rFonts w:eastAsiaTheme="minorEastAsia" w:cs="Arial"/>
                <w:sz w:val="16"/>
                <w:szCs w:val="16"/>
              </w:rPr>
            </w:pPr>
            <w:r w:rsidRPr="00664FF0">
              <w:rPr>
                <w:rFonts w:eastAsiaTheme="minorEastAsia" w:cs="Arial"/>
                <w:sz w:val="16"/>
                <w:szCs w:val="16"/>
              </w:rPr>
              <w:t> </w:t>
            </w:r>
          </w:p>
        </w:tc>
        <w:tc>
          <w:tcPr>
            <w:tcW w:w="0" w:type="auto"/>
            <w:tcBorders>
              <w:top w:val="single" w:sz="4" w:space="0" w:color="auto"/>
              <w:bottom w:val="single" w:sz="4" w:space="0" w:color="auto"/>
            </w:tcBorders>
            <w:shd w:val="clear" w:color="auto" w:fill="auto"/>
            <w:vAlign w:val="center"/>
            <w:hideMark/>
          </w:tcPr>
          <w:p w:rsidR="006A4109" w:rsidRPr="00664FF0" w:rsidRDefault="006A4109" w:rsidP="00E930B2">
            <w:pPr>
              <w:rPr>
                <w:rFonts w:eastAsiaTheme="minorEastAsia" w:cs="Arial"/>
                <w:sz w:val="16"/>
                <w:szCs w:val="16"/>
              </w:rPr>
            </w:pPr>
            <w:r w:rsidRPr="00664FF0">
              <w:rPr>
                <w:rFonts w:eastAsiaTheme="minorEastAsia" w:cs="Arial"/>
                <w:sz w:val="16"/>
                <w:szCs w:val="16"/>
              </w:rPr>
              <w:t> </w:t>
            </w:r>
          </w:p>
        </w:tc>
        <w:tc>
          <w:tcPr>
            <w:tcW w:w="0" w:type="auto"/>
            <w:tcBorders>
              <w:top w:val="single" w:sz="4" w:space="0" w:color="auto"/>
              <w:bottom w:val="single" w:sz="4" w:space="0" w:color="auto"/>
            </w:tcBorders>
            <w:shd w:val="clear" w:color="auto" w:fill="auto"/>
            <w:vAlign w:val="center"/>
            <w:hideMark/>
          </w:tcPr>
          <w:p w:rsidR="006A4109" w:rsidRPr="00664FF0" w:rsidRDefault="006A4109" w:rsidP="00E930B2">
            <w:pPr>
              <w:rPr>
                <w:rFonts w:eastAsiaTheme="minorEastAsia" w:cs="Arial"/>
                <w:sz w:val="16"/>
                <w:szCs w:val="16"/>
              </w:rPr>
            </w:pPr>
            <w:r w:rsidRPr="00664FF0">
              <w:rPr>
                <w:rFonts w:eastAsiaTheme="minorEastAsia" w:cs="Arial"/>
                <w:sz w:val="16"/>
                <w:szCs w:val="16"/>
              </w:rPr>
              <w:t> </w:t>
            </w:r>
          </w:p>
        </w:tc>
        <w:tc>
          <w:tcPr>
            <w:tcW w:w="0" w:type="auto"/>
            <w:tcBorders>
              <w:top w:val="single" w:sz="4" w:space="0" w:color="auto"/>
              <w:bottom w:val="single" w:sz="4" w:space="0" w:color="auto"/>
            </w:tcBorders>
            <w:shd w:val="clear" w:color="auto" w:fill="auto"/>
            <w:vAlign w:val="center"/>
            <w:hideMark/>
          </w:tcPr>
          <w:p w:rsidR="006A4109" w:rsidRPr="00664FF0" w:rsidRDefault="006A4109" w:rsidP="00E930B2">
            <w:pPr>
              <w:rPr>
                <w:rFonts w:eastAsiaTheme="minorEastAsia" w:cs="Arial"/>
                <w:sz w:val="16"/>
                <w:szCs w:val="16"/>
              </w:rPr>
            </w:pPr>
            <w:r w:rsidRPr="00664FF0">
              <w:rPr>
                <w:rFonts w:eastAsiaTheme="minorEastAsia" w:cs="Arial"/>
                <w:sz w:val="16"/>
                <w:szCs w:val="16"/>
              </w:rPr>
              <w:t> </w:t>
            </w:r>
          </w:p>
        </w:tc>
        <w:tc>
          <w:tcPr>
            <w:tcW w:w="0" w:type="auto"/>
            <w:tcBorders>
              <w:top w:val="single" w:sz="4" w:space="0" w:color="auto"/>
              <w:bottom w:val="single" w:sz="4" w:space="0" w:color="auto"/>
            </w:tcBorders>
            <w:shd w:val="clear" w:color="auto" w:fill="auto"/>
            <w:vAlign w:val="center"/>
            <w:hideMark/>
          </w:tcPr>
          <w:p w:rsidR="006A4109" w:rsidRPr="00664FF0" w:rsidRDefault="006A4109" w:rsidP="00E930B2">
            <w:pPr>
              <w:rPr>
                <w:rFonts w:eastAsiaTheme="minorEastAsia" w:cs="Arial"/>
                <w:sz w:val="16"/>
                <w:szCs w:val="16"/>
              </w:rPr>
            </w:pPr>
            <w:r w:rsidRPr="00664FF0">
              <w:rPr>
                <w:rFonts w:eastAsiaTheme="minorEastAsia" w:cs="Arial"/>
                <w:sz w:val="16"/>
                <w:szCs w:val="16"/>
              </w:rPr>
              <w:t> </w:t>
            </w:r>
          </w:p>
        </w:tc>
      </w:tr>
      <w:tr w:rsidR="006A4109" w:rsidRPr="00664FF0" w:rsidTr="00E930B2">
        <w:trPr>
          <w:trHeight w:val="529"/>
        </w:trPr>
        <w:tc>
          <w:tcPr>
            <w:tcW w:w="0" w:type="auto"/>
            <w:tcBorders>
              <w:top w:val="single" w:sz="4" w:space="0" w:color="auto"/>
              <w:bottom w:val="single" w:sz="4" w:space="0" w:color="auto"/>
            </w:tcBorders>
            <w:shd w:val="clear" w:color="auto" w:fill="auto"/>
            <w:vAlign w:val="center"/>
            <w:hideMark/>
          </w:tcPr>
          <w:p w:rsidR="006A4109" w:rsidRPr="00664FF0" w:rsidRDefault="006A4109" w:rsidP="00E930B2">
            <w:pPr>
              <w:rPr>
                <w:rFonts w:eastAsiaTheme="minorEastAsia" w:cs="Arial"/>
                <w:sz w:val="16"/>
                <w:szCs w:val="16"/>
              </w:rPr>
            </w:pPr>
            <w:r w:rsidRPr="00664FF0">
              <w:rPr>
                <w:rFonts w:eastAsiaTheme="minorEastAsia" w:cs="Arial"/>
                <w:sz w:val="16"/>
                <w:szCs w:val="16"/>
              </w:rPr>
              <w:t>Soldadura amb elèctrode revestit i TIG</w:t>
            </w:r>
          </w:p>
        </w:tc>
        <w:tc>
          <w:tcPr>
            <w:tcW w:w="0" w:type="auto"/>
            <w:tcBorders>
              <w:top w:val="single" w:sz="4" w:space="0" w:color="auto"/>
              <w:bottom w:val="single" w:sz="4" w:space="0" w:color="auto"/>
            </w:tcBorders>
            <w:shd w:val="clear" w:color="auto" w:fill="auto"/>
            <w:vAlign w:val="center"/>
            <w:hideMark/>
          </w:tcPr>
          <w:p w:rsidR="006A4109" w:rsidRPr="00664FF0" w:rsidRDefault="006A4109" w:rsidP="00E930B2">
            <w:pPr>
              <w:rPr>
                <w:rFonts w:eastAsiaTheme="minorEastAsia" w:cs="Arial"/>
                <w:sz w:val="16"/>
                <w:szCs w:val="16"/>
              </w:rPr>
            </w:pPr>
            <w:r w:rsidRPr="00664FF0">
              <w:rPr>
                <w:rFonts w:eastAsiaTheme="minorEastAsia" w:cs="Arial"/>
                <w:sz w:val="16"/>
                <w:szCs w:val="16"/>
              </w:rPr>
              <w:t> </w:t>
            </w:r>
          </w:p>
        </w:tc>
        <w:tc>
          <w:tcPr>
            <w:tcW w:w="0" w:type="auto"/>
            <w:tcBorders>
              <w:top w:val="single" w:sz="4" w:space="0" w:color="auto"/>
              <w:bottom w:val="single" w:sz="4" w:space="0" w:color="auto"/>
            </w:tcBorders>
            <w:shd w:val="clear" w:color="auto" w:fill="auto"/>
            <w:vAlign w:val="center"/>
            <w:hideMark/>
          </w:tcPr>
          <w:p w:rsidR="006A4109" w:rsidRPr="00664FF0" w:rsidRDefault="006A4109" w:rsidP="00E930B2">
            <w:pPr>
              <w:rPr>
                <w:rFonts w:eastAsiaTheme="minorEastAsia" w:cs="Arial"/>
                <w:sz w:val="16"/>
                <w:szCs w:val="16"/>
              </w:rPr>
            </w:pPr>
            <w:r w:rsidRPr="00664FF0">
              <w:rPr>
                <w:rFonts w:eastAsiaTheme="minorEastAsia" w:cs="Arial"/>
                <w:sz w:val="16"/>
                <w:szCs w:val="16"/>
              </w:rPr>
              <w:t> </w:t>
            </w:r>
          </w:p>
        </w:tc>
        <w:tc>
          <w:tcPr>
            <w:tcW w:w="0" w:type="auto"/>
            <w:tcBorders>
              <w:top w:val="single" w:sz="4" w:space="0" w:color="auto"/>
              <w:bottom w:val="single" w:sz="4" w:space="0" w:color="auto"/>
            </w:tcBorders>
            <w:shd w:val="clear" w:color="auto" w:fill="auto"/>
            <w:vAlign w:val="center"/>
            <w:hideMark/>
          </w:tcPr>
          <w:p w:rsidR="006A4109" w:rsidRPr="00664FF0" w:rsidRDefault="006A4109" w:rsidP="00E930B2">
            <w:pPr>
              <w:rPr>
                <w:rFonts w:eastAsiaTheme="minorEastAsia" w:cs="Arial"/>
                <w:sz w:val="16"/>
                <w:szCs w:val="16"/>
              </w:rPr>
            </w:pPr>
            <w:r w:rsidRPr="00664FF0">
              <w:rPr>
                <w:rFonts w:eastAsiaTheme="minorEastAsia" w:cs="Arial"/>
                <w:sz w:val="16"/>
                <w:szCs w:val="16"/>
              </w:rPr>
              <w:t>√</w:t>
            </w:r>
          </w:p>
        </w:tc>
        <w:tc>
          <w:tcPr>
            <w:tcW w:w="0" w:type="auto"/>
            <w:tcBorders>
              <w:top w:val="single" w:sz="4" w:space="0" w:color="auto"/>
              <w:bottom w:val="single" w:sz="4" w:space="0" w:color="auto"/>
            </w:tcBorders>
            <w:shd w:val="clear" w:color="auto" w:fill="auto"/>
            <w:vAlign w:val="center"/>
            <w:hideMark/>
          </w:tcPr>
          <w:p w:rsidR="006A4109" w:rsidRPr="00664FF0" w:rsidRDefault="006A4109" w:rsidP="00E930B2">
            <w:pPr>
              <w:rPr>
                <w:rFonts w:eastAsiaTheme="minorEastAsia" w:cs="Arial"/>
                <w:sz w:val="16"/>
                <w:szCs w:val="16"/>
              </w:rPr>
            </w:pPr>
            <w:r w:rsidRPr="00664FF0">
              <w:rPr>
                <w:rFonts w:eastAsiaTheme="minorEastAsia" w:cs="Arial"/>
                <w:sz w:val="16"/>
                <w:szCs w:val="16"/>
              </w:rPr>
              <w:t> </w:t>
            </w:r>
          </w:p>
        </w:tc>
        <w:tc>
          <w:tcPr>
            <w:tcW w:w="0" w:type="auto"/>
            <w:tcBorders>
              <w:top w:val="single" w:sz="4" w:space="0" w:color="auto"/>
              <w:bottom w:val="single" w:sz="4" w:space="0" w:color="auto"/>
            </w:tcBorders>
            <w:shd w:val="clear" w:color="auto" w:fill="auto"/>
            <w:vAlign w:val="center"/>
            <w:hideMark/>
          </w:tcPr>
          <w:p w:rsidR="006A4109" w:rsidRPr="00664FF0" w:rsidRDefault="006A4109" w:rsidP="00E930B2">
            <w:pPr>
              <w:rPr>
                <w:rFonts w:eastAsiaTheme="minorEastAsia" w:cs="Arial"/>
                <w:sz w:val="16"/>
                <w:szCs w:val="16"/>
              </w:rPr>
            </w:pPr>
            <w:r w:rsidRPr="00664FF0">
              <w:rPr>
                <w:rFonts w:eastAsiaTheme="minorEastAsia" w:cs="Arial"/>
                <w:sz w:val="16"/>
                <w:szCs w:val="16"/>
              </w:rPr>
              <w:t> </w:t>
            </w:r>
          </w:p>
        </w:tc>
        <w:tc>
          <w:tcPr>
            <w:tcW w:w="0" w:type="auto"/>
            <w:tcBorders>
              <w:top w:val="single" w:sz="4" w:space="0" w:color="auto"/>
              <w:bottom w:val="single" w:sz="4" w:space="0" w:color="auto"/>
            </w:tcBorders>
            <w:shd w:val="clear" w:color="auto" w:fill="auto"/>
            <w:vAlign w:val="center"/>
            <w:hideMark/>
          </w:tcPr>
          <w:p w:rsidR="006A4109" w:rsidRPr="00664FF0" w:rsidRDefault="006A4109" w:rsidP="00E930B2">
            <w:pPr>
              <w:rPr>
                <w:rFonts w:eastAsiaTheme="minorEastAsia" w:cs="Arial"/>
                <w:sz w:val="16"/>
                <w:szCs w:val="16"/>
              </w:rPr>
            </w:pPr>
            <w:r w:rsidRPr="00664FF0">
              <w:rPr>
                <w:rFonts w:eastAsiaTheme="minorEastAsia" w:cs="Arial"/>
                <w:sz w:val="16"/>
                <w:szCs w:val="16"/>
              </w:rPr>
              <w:t> </w:t>
            </w:r>
          </w:p>
        </w:tc>
        <w:tc>
          <w:tcPr>
            <w:tcW w:w="0" w:type="auto"/>
            <w:tcBorders>
              <w:top w:val="single" w:sz="4" w:space="0" w:color="auto"/>
              <w:bottom w:val="single" w:sz="4" w:space="0" w:color="auto"/>
            </w:tcBorders>
            <w:shd w:val="clear" w:color="auto" w:fill="auto"/>
            <w:vAlign w:val="center"/>
            <w:hideMark/>
          </w:tcPr>
          <w:p w:rsidR="006A4109" w:rsidRPr="00664FF0" w:rsidRDefault="006A4109" w:rsidP="00E930B2">
            <w:pPr>
              <w:rPr>
                <w:rFonts w:eastAsiaTheme="minorEastAsia" w:cs="Arial"/>
                <w:sz w:val="16"/>
                <w:szCs w:val="16"/>
              </w:rPr>
            </w:pPr>
            <w:r w:rsidRPr="00664FF0">
              <w:rPr>
                <w:rFonts w:eastAsiaTheme="minorEastAsia" w:cs="Arial"/>
                <w:sz w:val="16"/>
                <w:szCs w:val="16"/>
              </w:rPr>
              <w:t> </w:t>
            </w:r>
          </w:p>
        </w:tc>
        <w:tc>
          <w:tcPr>
            <w:tcW w:w="0" w:type="auto"/>
            <w:tcBorders>
              <w:top w:val="single" w:sz="4" w:space="0" w:color="auto"/>
              <w:bottom w:val="single" w:sz="4" w:space="0" w:color="auto"/>
            </w:tcBorders>
            <w:shd w:val="clear" w:color="auto" w:fill="auto"/>
            <w:vAlign w:val="center"/>
            <w:hideMark/>
          </w:tcPr>
          <w:p w:rsidR="006A4109" w:rsidRPr="00664FF0" w:rsidRDefault="006A4109" w:rsidP="00E930B2">
            <w:pPr>
              <w:rPr>
                <w:rFonts w:eastAsiaTheme="minorEastAsia" w:cs="Arial"/>
                <w:sz w:val="16"/>
                <w:szCs w:val="16"/>
              </w:rPr>
            </w:pPr>
            <w:r w:rsidRPr="00664FF0">
              <w:rPr>
                <w:rFonts w:eastAsiaTheme="minorEastAsia" w:cs="Arial"/>
                <w:sz w:val="16"/>
                <w:szCs w:val="16"/>
              </w:rPr>
              <w:t> </w:t>
            </w:r>
          </w:p>
        </w:tc>
        <w:tc>
          <w:tcPr>
            <w:tcW w:w="0" w:type="auto"/>
            <w:tcBorders>
              <w:top w:val="single" w:sz="4" w:space="0" w:color="auto"/>
              <w:bottom w:val="single" w:sz="4" w:space="0" w:color="auto"/>
            </w:tcBorders>
            <w:shd w:val="clear" w:color="auto" w:fill="auto"/>
            <w:vAlign w:val="center"/>
            <w:hideMark/>
          </w:tcPr>
          <w:p w:rsidR="006A4109" w:rsidRPr="00664FF0" w:rsidRDefault="006A4109" w:rsidP="00E930B2">
            <w:pPr>
              <w:rPr>
                <w:rFonts w:eastAsiaTheme="minorEastAsia" w:cs="Arial"/>
                <w:sz w:val="16"/>
                <w:szCs w:val="16"/>
              </w:rPr>
            </w:pPr>
            <w:r w:rsidRPr="00664FF0">
              <w:rPr>
                <w:rFonts w:eastAsiaTheme="minorEastAsia" w:cs="Arial"/>
                <w:sz w:val="16"/>
                <w:szCs w:val="16"/>
              </w:rPr>
              <w:t> </w:t>
            </w:r>
          </w:p>
        </w:tc>
        <w:tc>
          <w:tcPr>
            <w:tcW w:w="0" w:type="auto"/>
            <w:tcBorders>
              <w:top w:val="single" w:sz="4" w:space="0" w:color="auto"/>
              <w:bottom w:val="single" w:sz="4" w:space="0" w:color="auto"/>
            </w:tcBorders>
            <w:shd w:val="clear" w:color="auto" w:fill="auto"/>
            <w:vAlign w:val="center"/>
            <w:hideMark/>
          </w:tcPr>
          <w:p w:rsidR="006A4109" w:rsidRPr="00664FF0" w:rsidRDefault="006A4109" w:rsidP="00E930B2">
            <w:pPr>
              <w:rPr>
                <w:rFonts w:eastAsiaTheme="minorEastAsia" w:cs="Arial"/>
                <w:sz w:val="16"/>
                <w:szCs w:val="16"/>
              </w:rPr>
            </w:pPr>
            <w:r w:rsidRPr="00664FF0">
              <w:rPr>
                <w:rFonts w:eastAsiaTheme="minorEastAsia" w:cs="Arial"/>
                <w:sz w:val="16"/>
                <w:szCs w:val="16"/>
              </w:rPr>
              <w:t>√</w:t>
            </w:r>
          </w:p>
        </w:tc>
        <w:tc>
          <w:tcPr>
            <w:tcW w:w="0" w:type="auto"/>
            <w:tcBorders>
              <w:top w:val="single" w:sz="4" w:space="0" w:color="auto"/>
              <w:bottom w:val="single" w:sz="4" w:space="0" w:color="auto"/>
            </w:tcBorders>
            <w:shd w:val="clear" w:color="auto" w:fill="auto"/>
            <w:vAlign w:val="center"/>
            <w:hideMark/>
          </w:tcPr>
          <w:p w:rsidR="006A4109" w:rsidRPr="00664FF0" w:rsidRDefault="006A4109" w:rsidP="00E930B2">
            <w:pPr>
              <w:rPr>
                <w:rFonts w:eastAsiaTheme="minorEastAsia" w:cs="Arial"/>
                <w:sz w:val="16"/>
                <w:szCs w:val="16"/>
              </w:rPr>
            </w:pPr>
            <w:r w:rsidRPr="00664FF0">
              <w:rPr>
                <w:rFonts w:eastAsiaTheme="minorEastAsia" w:cs="Arial"/>
                <w:sz w:val="16"/>
                <w:szCs w:val="16"/>
              </w:rPr>
              <w:t> </w:t>
            </w:r>
          </w:p>
        </w:tc>
        <w:tc>
          <w:tcPr>
            <w:tcW w:w="0" w:type="auto"/>
            <w:tcBorders>
              <w:top w:val="single" w:sz="4" w:space="0" w:color="auto"/>
              <w:bottom w:val="single" w:sz="4" w:space="0" w:color="auto"/>
            </w:tcBorders>
            <w:shd w:val="clear" w:color="auto" w:fill="auto"/>
            <w:vAlign w:val="center"/>
            <w:hideMark/>
          </w:tcPr>
          <w:p w:rsidR="006A4109" w:rsidRPr="00664FF0" w:rsidRDefault="006A4109" w:rsidP="00E930B2">
            <w:pPr>
              <w:rPr>
                <w:rFonts w:eastAsiaTheme="minorEastAsia" w:cs="Arial"/>
                <w:sz w:val="16"/>
                <w:szCs w:val="16"/>
              </w:rPr>
            </w:pPr>
            <w:r w:rsidRPr="00664FF0">
              <w:rPr>
                <w:rFonts w:eastAsiaTheme="minorEastAsia" w:cs="Arial"/>
                <w:sz w:val="16"/>
                <w:szCs w:val="16"/>
              </w:rPr>
              <w:t> </w:t>
            </w:r>
          </w:p>
        </w:tc>
      </w:tr>
      <w:tr w:rsidR="006A4109" w:rsidRPr="00664FF0" w:rsidTr="00E930B2">
        <w:trPr>
          <w:trHeight w:val="414"/>
        </w:trPr>
        <w:tc>
          <w:tcPr>
            <w:tcW w:w="0" w:type="auto"/>
            <w:tcBorders>
              <w:top w:val="single" w:sz="4" w:space="0" w:color="auto"/>
              <w:bottom w:val="single" w:sz="4" w:space="0" w:color="auto"/>
            </w:tcBorders>
            <w:shd w:val="clear" w:color="auto" w:fill="auto"/>
            <w:vAlign w:val="center"/>
            <w:hideMark/>
          </w:tcPr>
          <w:p w:rsidR="006A4109" w:rsidRPr="00664FF0" w:rsidRDefault="006A4109" w:rsidP="00E930B2">
            <w:pPr>
              <w:rPr>
                <w:rFonts w:eastAsiaTheme="minorEastAsia" w:cs="Arial"/>
                <w:sz w:val="16"/>
                <w:szCs w:val="16"/>
              </w:rPr>
            </w:pPr>
            <w:r w:rsidRPr="00664FF0">
              <w:rPr>
                <w:rFonts w:eastAsiaTheme="minorEastAsia" w:cs="Arial"/>
                <w:sz w:val="16"/>
                <w:szCs w:val="16"/>
              </w:rPr>
              <w:t>Serveis auxiliars de perruqueria</w:t>
            </w:r>
          </w:p>
        </w:tc>
        <w:tc>
          <w:tcPr>
            <w:tcW w:w="0" w:type="auto"/>
            <w:tcBorders>
              <w:top w:val="single" w:sz="4" w:space="0" w:color="auto"/>
              <w:bottom w:val="single" w:sz="4" w:space="0" w:color="auto"/>
            </w:tcBorders>
            <w:shd w:val="clear" w:color="auto" w:fill="auto"/>
            <w:vAlign w:val="center"/>
            <w:hideMark/>
          </w:tcPr>
          <w:p w:rsidR="006A4109" w:rsidRPr="00664FF0" w:rsidRDefault="006A4109" w:rsidP="00E930B2">
            <w:pPr>
              <w:rPr>
                <w:rFonts w:eastAsiaTheme="minorEastAsia" w:cs="Arial"/>
                <w:sz w:val="16"/>
                <w:szCs w:val="16"/>
              </w:rPr>
            </w:pPr>
            <w:r w:rsidRPr="00664FF0">
              <w:rPr>
                <w:rFonts w:eastAsiaTheme="minorEastAsia" w:cs="Arial"/>
                <w:sz w:val="16"/>
                <w:szCs w:val="16"/>
              </w:rPr>
              <w:t> </w:t>
            </w:r>
          </w:p>
        </w:tc>
        <w:tc>
          <w:tcPr>
            <w:tcW w:w="0" w:type="auto"/>
            <w:tcBorders>
              <w:top w:val="single" w:sz="4" w:space="0" w:color="auto"/>
              <w:bottom w:val="single" w:sz="4" w:space="0" w:color="auto"/>
            </w:tcBorders>
            <w:shd w:val="clear" w:color="auto" w:fill="auto"/>
            <w:vAlign w:val="center"/>
            <w:hideMark/>
          </w:tcPr>
          <w:p w:rsidR="006A4109" w:rsidRPr="00664FF0" w:rsidRDefault="006A4109" w:rsidP="00E930B2">
            <w:pPr>
              <w:rPr>
                <w:rFonts w:eastAsiaTheme="minorEastAsia" w:cs="Arial"/>
                <w:sz w:val="16"/>
                <w:szCs w:val="16"/>
              </w:rPr>
            </w:pPr>
            <w:r w:rsidRPr="00664FF0">
              <w:rPr>
                <w:rFonts w:eastAsiaTheme="minorEastAsia" w:cs="Arial"/>
                <w:sz w:val="16"/>
                <w:szCs w:val="16"/>
              </w:rPr>
              <w:t>√</w:t>
            </w:r>
          </w:p>
        </w:tc>
        <w:tc>
          <w:tcPr>
            <w:tcW w:w="0" w:type="auto"/>
            <w:tcBorders>
              <w:top w:val="single" w:sz="4" w:space="0" w:color="auto"/>
              <w:bottom w:val="single" w:sz="4" w:space="0" w:color="auto"/>
            </w:tcBorders>
            <w:shd w:val="clear" w:color="auto" w:fill="auto"/>
            <w:vAlign w:val="center"/>
            <w:hideMark/>
          </w:tcPr>
          <w:p w:rsidR="006A4109" w:rsidRPr="00664FF0" w:rsidRDefault="006A4109" w:rsidP="00E930B2">
            <w:pPr>
              <w:rPr>
                <w:rFonts w:eastAsiaTheme="minorEastAsia" w:cs="Arial"/>
                <w:sz w:val="16"/>
                <w:szCs w:val="16"/>
              </w:rPr>
            </w:pPr>
            <w:r w:rsidRPr="00664FF0">
              <w:rPr>
                <w:rFonts w:eastAsiaTheme="minorEastAsia" w:cs="Arial"/>
                <w:sz w:val="16"/>
                <w:szCs w:val="16"/>
              </w:rPr>
              <w:t> </w:t>
            </w:r>
          </w:p>
        </w:tc>
        <w:tc>
          <w:tcPr>
            <w:tcW w:w="0" w:type="auto"/>
            <w:tcBorders>
              <w:top w:val="single" w:sz="4" w:space="0" w:color="auto"/>
              <w:bottom w:val="single" w:sz="4" w:space="0" w:color="auto"/>
            </w:tcBorders>
            <w:shd w:val="clear" w:color="auto" w:fill="auto"/>
            <w:vAlign w:val="center"/>
            <w:hideMark/>
          </w:tcPr>
          <w:p w:rsidR="006A4109" w:rsidRPr="00664FF0" w:rsidRDefault="006A4109" w:rsidP="00E930B2">
            <w:pPr>
              <w:rPr>
                <w:rFonts w:eastAsiaTheme="minorEastAsia" w:cs="Arial"/>
                <w:sz w:val="16"/>
                <w:szCs w:val="16"/>
              </w:rPr>
            </w:pPr>
            <w:r w:rsidRPr="00664FF0">
              <w:rPr>
                <w:rFonts w:eastAsiaTheme="minorEastAsia" w:cs="Arial"/>
                <w:sz w:val="16"/>
                <w:szCs w:val="16"/>
              </w:rPr>
              <w:t> </w:t>
            </w:r>
          </w:p>
        </w:tc>
        <w:tc>
          <w:tcPr>
            <w:tcW w:w="0" w:type="auto"/>
            <w:tcBorders>
              <w:top w:val="single" w:sz="4" w:space="0" w:color="auto"/>
              <w:bottom w:val="single" w:sz="4" w:space="0" w:color="auto"/>
            </w:tcBorders>
            <w:shd w:val="clear" w:color="auto" w:fill="auto"/>
            <w:vAlign w:val="center"/>
            <w:hideMark/>
          </w:tcPr>
          <w:p w:rsidR="006A4109" w:rsidRPr="00664FF0" w:rsidRDefault="006A4109" w:rsidP="00E930B2">
            <w:pPr>
              <w:rPr>
                <w:rFonts w:eastAsiaTheme="minorEastAsia" w:cs="Arial"/>
                <w:sz w:val="16"/>
                <w:szCs w:val="16"/>
              </w:rPr>
            </w:pPr>
            <w:r w:rsidRPr="00664FF0">
              <w:rPr>
                <w:rFonts w:eastAsiaTheme="minorEastAsia" w:cs="Arial"/>
                <w:sz w:val="16"/>
                <w:szCs w:val="16"/>
              </w:rPr>
              <w:t> </w:t>
            </w:r>
          </w:p>
        </w:tc>
        <w:tc>
          <w:tcPr>
            <w:tcW w:w="0" w:type="auto"/>
            <w:tcBorders>
              <w:top w:val="single" w:sz="4" w:space="0" w:color="auto"/>
              <w:bottom w:val="single" w:sz="4" w:space="0" w:color="auto"/>
            </w:tcBorders>
            <w:shd w:val="clear" w:color="auto" w:fill="auto"/>
            <w:vAlign w:val="center"/>
            <w:hideMark/>
          </w:tcPr>
          <w:p w:rsidR="006A4109" w:rsidRPr="00664FF0" w:rsidRDefault="006A4109" w:rsidP="00E930B2">
            <w:pPr>
              <w:rPr>
                <w:rFonts w:eastAsiaTheme="minorEastAsia" w:cs="Arial"/>
                <w:sz w:val="16"/>
                <w:szCs w:val="16"/>
              </w:rPr>
            </w:pPr>
            <w:r w:rsidRPr="00664FF0">
              <w:rPr>
                <w:rFonts w:eastAsiaTheme="minorEastAsia" w:cs="Arial"/>
                <w:sz w:val="16"/>
                <w:szCs w:val="16"/>
              </w:rPr>
              <w:t> </w:t>
            </w:r>
          </w:p>
        </w:tc>
        <w:tc>
          <w:tcPr>
            <w:tcW w:w="0" w:type="auto"/>
            <w:tcBorders>
              <w:top w:val="single" w:sz="4" w:space="0" w:color="auto"/>
              <w:bottom w:val="single" w:sz="4" w:space="0" w:color="auto"/>
            </w:tcBorders>
            <w:shd w:val="clear" w:color="auto" w:fill="auto"/>
            <w:vAlign w:val="center"/>
            <w:hideMark/>
          </w:tcPr>
          <w:p w:rsidR="006A4109" w:rsidRPr="00664FF0" w:rsidRDefault="006A4109" w:rsidP="00E930B2">
            <w:pPr>
              <w:rPr>
                <w:rFonts w:eastAsiaTheme="minorEastAsia" w:cs="Arial"/>
                <w:sz w:val="16"/>
                <w:szCs w:val="16"/>
              </w:rPr>
            </w:pPr>
            <w:r w:rsidRPr="00664FF0">
              <w:rPr>
                <w:rFonts w:eastAsiaTheme="minorEastAsia" w:cs="Arial"/>
                <w:sz w:val="16"/>
                <w:szCs w:val="16"/>
              </w:rPr>
              <w:t> </w:t>
            </w:r>
          </w:p>
        </w:tc>
        <w:tc>
          <w:tcPr>
            <w:tcW w:w="0" w:type="auto"/>
            <w:tcBorders>
              <w:top w:val="single" w:sz="4" w:space="0" w:color="auto"/>
              <w:bottom w:val="single" w:sz="4" w:space="0" w:color="auto"/>
            </w:tcBorders>
            <w:shd w:val="clear" w:color="auto" w:fill="auto"/>
            <w:vAlign w:val="center"/>
            <w:hideMark/>
          </w:tcPr>
          <w:p w:rsidR="006A4109" w:rsidRPr="00664FF0" w:rsidRDefault="006A4109" w:rsidP="00E930B2">
            <w:pPr>
              <w:rPr>
                <w:rFonts w:eastAsiaTheme="minorEastAsia" w:cs="Arial"/>
                <w:sz w:val="16"/>
                <w:szCs w:val="16"/>
              </w:rPr>
            </w:pPr>
            <w:r w:rsidRPr="00664FF0">
              <w:rPr>
                <w:rFonts w:eastAsiaTheme="minorEastAsia" w:cs="Arial"/>
                <w:sz w:val="16"/>
                <w:szCs w:val="16"/>
              </w:rPr>
              <w:t> </w:t>
            </w:r>
          </w:p>
        </w:tc>
        <w:tc>
          <w:tcPr>
            <w:tcW w:w="0" w:type="auto"/>
            <w:tcBorders>
              <w:top w:val="single" w:sz="4" w:space="0" w:color="auto"/>
              <w:bottom w:val="single" w:sz="4" w:space="0" w:color="auto"/>
            </w:tcBorders>
            <w:shd w:val="clear" w:color="auto" w:fill="auto"/>
            <w:vAlign w:val="center"/>
            <w:hideMark/>
          </w:tcPr>
          <w:p w:rsidR="006A4109" w:rsidRPr="00664FF0" w:rsidRDefault="006A4109" w:rsidP="00E930B2">
            <w:pPr>
              <w:rPr>
                <w:rFonts w:eastAsiaTheme="minorEastAsia" w:cs="Arial"/>
                <w:sz w:val="16"/>
                <w:szCs w:val="16"/>
              </w:rPr>
            </w:pPr>
            <w:r w:rsidRPr="00664FF0">
              <w:rPr>
                <w:rFonts w:eastAsiaTheme="minorEastAsia" w:cs="Arial"/>
                <w:sz w:val="16"/>
                <w:szCs w:val="16"/>
              </w:rPr>
              <w:t> </w:t>
            </w:r>
          </w:p>
        </w:tc>
        <w:tc>
          <w:tcPr>
            <w:tcW w:w="0" w:type="auto"/>
            <w:tcBorders>
              <w:top w:val="single" w:sz="4" w:space="0" w:color="auto"/>
              <w:bottom w:val="single" w:sz="4" w:space="0" w:color="auto"/>
            </w:tcBorders>
            <w:shd w:val="clear" w:color="auto" w:fill="auto"/>
            <w:vAlign w:val="center"/>
            <w:hideMark/>
          </w:tcPr>
          <w:p w:rsidR="006A4109" w:rsidRPr="00664FF0" w:rsidRDefault="006A4109" w:rsidP="00E930B2">
            <w:pPr>
              <w:rPr>
                <w:rFonts w:eastAsiaTheme="minorEastAsia" w:cs="Arial"/>
                <w:sz w:val="16"/>
                <w:szCs w:val="16"/>
              </w:rPr>
            </w:pPr>
            <w:r w:rsidRPr="00664FF0">
              <w:rPr>
                <w:rFonts w:eastAsiaTheme="minorEastAsia" w:cs="Arial"/>
                <w:sz w:val="16"/>
                <w:szCs w:val="16"/>
              </w:rPr>
              <w:t> </w:t>
            </w:r>
          </w:p>
        </w:tc>
        <w:tc>
          <w:tcPr>
            <w:tcW w:w="0" w:type="auto"/>
            <w:tcBorders>
              <w:top w:val="single" w:sz="4" w:space="0" w:color="auto"/>
              <w:bottom w:val="single" w:sz="4" w:space="0" w:color="auto"/>
            </w:tcBorders>
            <w:shd w:val="clear" w:color="auto" w:fill="auto"/>
            <w:vAlign w:val="center"/>
            <w:hideMark/>
          </w:tcPr>
          <w:p w:rsidR="006A4109" w:rsidRPr="00664FF0" w:rsidRDefault="006A4109" w:rsidP="00E930B2">
            <w:pPr>
              <w:rPr>
                <w:rFonts w:eastAsiaTheme="minorEastAsia" w:cs="Arial"/>
                <w:sz w:val="16"/>
                <w:szCs w:val="16"/>
              </w:rPr>
            </w:pPr>
            <w:r w:rsidRPr="00664FF0">
              <w:rPr>
                <w:rFonts w:eastAsiaTheme="minorEastAsia" w:cs="Arial"/>
                <w:sz w:val="16"/>
                <w:szCs w:val="16"/>
              </w:rPr>
              <w:t> </w:t>
            </w:r>
          </w:p>
        </w:tc>
        <w:tc>
          <w:tcPr>
            <w:tcW w:w="0" w:type="auto"/>
            <w:tcBorders>
              <w:top w:val="single" w:sz="4" w:space="0" w:color="auto"/>
              <w:bottom w:val="single" w:sz="4" w:space="0" w:color="auto"/>
            </w:tcBorders>
            <w:shd w:val="clear" w:color="auto" w:fill="auto"/>
            <w:vAlign w:val="center"/>
            <w:hideMark/>
          </w:tcPr>
          <w:p w:rsidR="006A4109" w:rsidRPr="00664FF0" w:rsidRDefault="006A4109" w:rsidP="00E930B2">
            <w:pPr>
              <w:rPr>
                <w:rFonts w:eastAsiaTheme="minorEastAsia" w:cs="Arial"/>
                <w:sz w:val="16"/>
                <w:szCs w:val="16"/>
              </w:rPr>
            </w:pPr>
            <w:r w:rsidRPr="00664FF0">
              <w:rPr>
                <w:rFonts w:eastAsiaTheme="minorEastAsia" w:cs="Arial"/>
                <w:sz w:val="16"/>
                <w:szCs w:val="16"/>
              </w:rPr>
              <w:t> </w:t>
            </w:r>
          </w:p>
        </w:tc>
      </w:tr>
      <w:tr w:rsidR="006A4109" w:rsidRPr="00664FF0" w:rsidTr="00E930B2">
        <w:trPr>
          <w:trHeight w:val="419"/>
        </w:trPr>
        <w:tc>
          <w:tcPr>
            <w:tcW w:w="0" w:type="auto"/>
            <w:tcBorders>
              <w:top w:val="single" w:sz="4" w:space="0" w:color="auto"/>
              <w:bottom w:val="single" w:sz="12" w:space="0" w:color="auto"/>
            </w:tcBorders>
            <w:shd w:val="clear" w:color="auto" w:fill="auto"/>
            <w:vAlign w:val="center"/>
            <w:hideMark/>
          </w:tcPr>
          <w:p w:rsidR="006A4109" w:rsidRPr="00664FF0" w:rsidRDefault="006A4109" w:rsidP="00E930B2">
            <w:pPr>
              <w:rPr>
                <w:rFonts w:eastAsiaTheme="minorEastAsia" w:cs="Arial"/>
                <w:sz w:val="16"/>
                <w:szCs w:val="16"/>
              </w:rPr>
            </w:pPr>
            <w:r w:rsidRPr="00664FF0">
              <w:rPr>
                <w:rFonts w:eastAsiaTheme="minorEastAsia" w:cs="Arial"/>
                <w:sz w:val="16"/>
                <w:szCs w:val="16"/>
              </w:rPr>
              <w:t>Auxiliar d’infermeria i geriatria</w:t>
            </w:r>
          </w:p>
        </w:tc>
        <w:tc>
          <w:tcPr>
            <w:tcW w:w="0" w:type="auto"/>
            <w:tcBorders>
              <w:top w:val="single" w:sz="4" w:space="0" w:color="auto"/>
              <w:bottom w:val="single" w:sz="12" w:space="0" w:color="auto"/>
            </w:tcBorders>
            <w:shd w:val="clear" w:color="auto" w:fill="auto"/>
            <w:vAlign w:val="center"/>
            <w:hideMark/>
          </w:tcPr>
          <w:p w:rsidR="006A4109" w:rsidRPr="00664FF0" w:rsidRDefault="006A4109" w:rsidP="00E930B2">
            <w:pPr>
              <w:rPr>
                <w:rFonts w:eastAsiaTheme="minorEastAsia" w:cs="Arial"/>
                <w:sz w:val="16"/>
                <w:szCs w:val="16"/>
              </w:rPr>
            </w:pPr>
            <w:r w:rsidRPr="00664FF0">
              <w:rPr>
                <w:rFonts w:eastAsiaTheme="minorEastAsia" w:cs="Arial"/>
                <w:sz w:val="16"/>
                <w:szCs w:val="16"/>
              </w:rPr>
              <w:t> </w:t>
            </w:r>
          </w:p>
        </w:tc>
        <w:tc>
          <w:tcPr>
            <w:tcW w:w="0" w:type="auto"/>
            <w:tcBorders>
              <w:top w:val="single" w:sz="4" w:space="0" w:color="auto"/>
              <w:bottom w:val="single" w:sz="12" w:space="0" w:color="auto"/>
            </w:tcBorders>
            <w:shd w:val="clear" w:color="auto" w:fill="auto"/>
            <w:vAlign w:val="center"/>
            <w:hideMark/>
          </w:tcPr>
          <w:p w:rsidR="006A4109" w:rsidRPr="00664FF0" w:rsidRDefault="006A4109" w:rsidP="00E930B2">
            <w:pPr>
              <w:rPr>
                <w:rFonts w:eastAsiaTheme="minorEastAsia" w:cs="Arial"/>
                <w:sz w:val="16"/>
                <w:szCs w:val="16"/>
              </w:rPr>
            </w:pPr>
            <w:r w:rsidRPr="00664FF0">
              <w:rPr>
                <w:rFonts w:eastAsiaTheme="minorEastAsia" w:cs="Arial"/>
                <w:sz w:val="16"/>
                <w:szCs w:val="16"/>
              </w:rPr>
              <w:t> </w:t>
            </w:r>
          </w:p>
        </w:tc>
        <w:tc>
          <w:tcPr>
            <w:tcW w:w="0" w:type="auto"/>
            <w:tcBorders>
              <w:top w:val="single" w:sz="4" w:space="0" w:color="auto"/>
              <w:bottom w:val="single" w:sz="12" w:space="0" w:color="auto"/>
            </w:tcBorders>
            <w:shd w:val="clear" w:color="auto" w:fill="auto"/>
            <w:vAlign w:val="center"/>
            <w:hideMark/>
          </w:tcPr>
          <w:p w:rsidR="006A4109" w:rsidRPr="00664FF0" w:rsidRDefault="006A4109" w:rsidP="00E930B2">
            <w:pPr>
              <w:rPr>
                <w:rFonts w:eastAsiaTheme="minorEastAsia" w:cs="Arial"/>
                <w:sz w:val="16"/>
                <w:szCs w:val="16"/>
              </w:rPr>
            </w:pPr>
            <w:r w:rsidRPr="00664FF0">
              <w:rPr>
                <w:rFonts w:eastAsiaTheme="minorEastAsia" w:cs="Arial"/>
                <w:sz w:val="16"/>
                <w:szCs w:val="16"/>
              </w:rPr>
              <w:t> </w:t>
            </w:r>
          </w:p>
        </w:tc>
        <w:tc>
          <w:tcPr>
            <w:tcW w:w="0" w:type="auto"/>
            <w:tcBorders>
              <w:top w:val="single" w:sz="4" w:space="0" w:color="auto"/>
              <w:bottom w:val="single" w:sz="12" w:space="0" w:color="auto"/>
            </w:tcBorders>
            <w:shd w:val="clear" w:color="auto" w:fill="auto"/>
            <w:vAlign w:val="center"/>
            <w:hideMark/>
          </w:tcPr>
          <w:p w:rsidR="006A4109" w:rsidRPr="00664FF0" w:rsidRDefault="006A4109" w:rsidP="00E930B2">
            <w:pPr>
              <w:rPr>
                <w:rFonts w:eastAsiaTheme="minorEastAsia" w:cs="Arial"/>
                <w:sz w:val="16"/>
                <w:szCs w:val="16"/>
              </w:rPr>
            </w:pPr>
            <w:r w:rsidRPr="00664FF0">
              <w:rPr>
                <w:rFonts w:eastAsiaTheme="minorEastAsia" w:cs="Arial"/>
                <w:sz w:val="16"/>
                <w:szCs w:val="16"/>
              </w:rPr>
              <w:t> </w:t>
            </w:r>
          </w:p>
        </w:tc>
        <w:tc>
          <w:tcPr>
            <w:tcW w:w="0" w:type="auto"/>
            <w:tcBorders>
              <w:top w:val="single" w:sz="4" w:space="0" w:color="auto"/>
              <w:bottom w:val="single" w:sz="12" w:space="0" w:color="auto"/>
            </w:tcBorders>
            <w:shd w:val="clear" w:color="auto" w:fill="auto"/>
            <w:vAlign w:val="center"/>
            <w:hideMark/>
          </w:tcPr>
          <w:p w:rsidR="006A4109" w:rsidRPr="00664FF0" w:rsidRDefault="006A4109" w:rsidP="00E930B2">
            <w:pPr>
              <w:rPr>
                <w:rFonts w:eastAsiaTheme="minorEastAsia" w:cs="Arial"/>
                <w:sz w:val="16"/>
                <w:szCs w:val="16"/>
              </w:rPr>
            </w:pPr>
            <w:r w:rsidRPr="00664FF0">
              <w:rPr>
                <w:rFonts w:eastAsiaTheme="minorEastAsia" w:cs="Arial"/>
                <w:sz w:val="16"/>
                <w:szCs w:val="16"/>
              </w:rPr>
              <w:t>√ </w:t>
            </w:r>
          </w:p>
        </w:tc>
        <w:tc>
          <w:tcPr>
            <w:tcW w:w="0" w:type="auto"/>
            <w:tcBorders>
              <w:top w:val="single" w:sz="4" w:space="0" w:color="auto"/>
              <w:bottom w:val="single" w:sz="12" w:space="0" w:color="auto"/>
            </w:tcBorders>
            <w:shd w:val="clear" w:color="auto" w:fill="auto"/>
            <w:vAlign w:val="center"/>
            <w:hideMark/>
          </w:tcPr>
          <w:p w:rsidR="006A4109" w:rsidRPr="00664FF0" w:rsidRDefault="006A4109" w:rsidP="00E930B2">
            <w:pPr>
              <w:rPr>
                <w:rFonts w:eastAsiaTheme="minorEastAsia" w:cs="Arial"/>
                <w:sz w:val="16"/>
                <w:szCs w:val="16"/>
              </w:rPr>
            </w:pPr>
            <w:r w:rsidRPr="00664FF0">
              <w:rPr>
                <w:rFonts w:eastAsiaTheme="minorEastAsia" w:cs="Arial"/>
                <w:sz w:val="16"/>
                <w:szCs w:val="16"/>
              </w:rPr>
              <w:t> </w:t>
            </w:r>
          </w:p>
        </w:tc>
        <w:tc>
          <w:tcPr>
            <w:tcW w:w="0" w:type="auto"/>
            <w:tcBorders>
              <w:top w:val="single" w:sz="4" w:space="0" w:color="auto"/>
              <w:bottom w:val="single" w:sz="12" w:space="0" w:color="auto"/>
            </w:tcBorders>
            <w:shd w:val="clear" w:color="auto" w:fill="auto"/>
            <w:vAlign w:val="center"/>
            <w:hideMark/>
          </w:tcPr>
          <w:p w:rsidR="006A4109" w:rsidRPr="00664FF0" w:rsidRDefault="006A4109" w:rsidP="00E930B2">
            <w:pPr>
              <w:rPr>
                <w:rFonts w:eastAsiaTheme="minorEastAsia" w:cs="Arial"/>
                <w:sz w:val="16"/>
                <w:szCs w:val="16"/>
              </w:rPr>
            </w:pPr>
            <w:r w:rsidRPr="00664FF0">
              <w:rPr>
                <w:rFonts w:eastAsiaTheme="minorEastAsia" w:cs="Arial"/>
                <w:sz w:val="16"/>
                <w:szCs w:val="16"/>
              </w:rPr>
              <w:t> </w:t>
            </w:r>
          </w:p>
        </w:tc>
        <w:tc>
          <w:tcPr>
            <w:tcW w:w="0" w:type="auto"/>
            <w:tcBorders>
              <w:top w:val="single" w:sz="4" w:space="0" w:color="auto"/>
              <w:bottom w:val="single" w:sz="12" w:space="0" w:color="auto"/>
            </w:tcBorders>
            <w:shd w:val="clear" w:color="auto" w:fill="auto"/>
            <w:vAlign w:val="center"/>
            <w:hideMark/>
          </w:tcPr>
          <w:p w:rsidR="006A4109" w:rsidRPr="00664FF0" w:rsidRDefault="006A4109" w:rsidP="00E930B2">
            <w:pPr>
              <w:rPr>
                <w:rFonts w:eastAsiaTheme="minorEastAsia" w:cs="Arial"/>
                <w:sz w:val="16"/>
                <w:szCs w:val="16"/>
              </w:rPr>
            </w:pPr>
            <w:r w:rsidRPr="00664FF0">
              <w:rPr>
                <w:rFonts w:eastAsiaTheme="minorEastAsia" w:cs="Arial"/>
                <w:sz w:val="16"/>
                <w:szCs w:val="16"/>
              </w:rPr>
              <w:t> </w:t>
            </w:r>
          </w:p>
        </w:tc>
        <w:tc>
          <w:tcPr>
            <w:tcW w:w="0" w:type="auto"/>
            <w:tcBorders>
              <w:top w:val="single" w:sz="4" w:space="0" w:color="auto"/>
              <w:bottom w:val="single" w:sz="12" w:space="0" w:color="auto"/>
            </w:tcBorders>
            <w:shd w:val="clear" w:color="auto" w:fill="auto"/>
            <w:vAlign w:val="center"/>
            <w:hideMark/>
          </w:tcPr>
          <w:p w:rsidR="006A4109" w:rsidRPr="00664FF0" w:rsidRDefault="006A4109" w:rsidP="00E930B2">
            <w:pPr>
              <w:rPr>
                <w:rFonts w:eastAsiaTheme="minorEastAsia" w:cs="Arial"/>
                <w:sz w:val="16"/>
                <w:szCs w:val="16"/>
              </w:rPr>
            </w:pPr>
            <w:r w:rsidRPr="00664FF0">
              <w:rPr>
                <w:rFonts w:eastAsiaTheme="minorEastAsia" w:cs="Arial"/>
                <w:sz w:val="16"/>
                <w:szCs w:val="16"/>
              </w:rPr>
              <w:t> </w:t>
            </w:r>
          </w:p>
        </w:tc>
        <w:tc>
          <w:tcPr>
            <w:tcW w:w="0" w:type="auto"/>
            <w:tcBorders>
              <w:top w:val="single" w:sz="4" w:space="0" w:color="auto"/>
              <w:bottom w:val="single" w:sz="12" w:space="0" w:color="auto"/>
            </w:tcBorders>
            <w:shd w:val="clear" w:color="auto" w:fill="auto"/>
            <w:vAlign w:val="center"/>
            <w:hideMark/>
          </w:tcPr>
          <w:p w:rsidR="006A4109" w:rsidRPr="00664FF0" w:rsidRDefault="006A4109" w:rsidP="00E930B2">
            <w:pPr>
              <w:rPr>
                <w:rFonts w:eastAsiaTheme="minorEastAsia" w:cs="Arial"/>
                <w:sz w:val="16"/>
                <w:szCs w:val="16"/>
              </w:rPr>
            </w:pPr>
            <w:r w:rsidRPr="00664FF0">
              <w:rPr>
                <w:rFonts w:eastAsiaTheme="minorEastAsia" w:cs="Arial"/>
                <w:sz w:val="16"/>
                <w:szCs w:val="16"/>
              </w:rPr>
              <w:t> </w:t>
            </w:r>
          </w:p>
        </w:tc>
        <w:tc>
          <w:tcPr>
            <w:tcW w:w="0" w:type="auto"/>
            <w:tcBorders>
              <w:top w:val="single" w:sz="4" w:space="0" w:color="auto"/>
              <w:bottom w:val="single" w:sz="12" w:space="0" w:color="auto"/>
            </w:tcBorders>
            <w:shd w:val="clear" w:color="auto" w:fill="auto"/>
            <w:vAlign w:val="center"/>
            <w:hideMark/>
          </w:tcPr>
          <w:p w:rsidR="006A4109" w:rsidRPr="00664FF0" w:rsidRDefault="006A4109" w:rsidP="00E930B2">
            <w:pPr>
              <w:rPr>
                <w:rFonts w:eastAsiaTheme="minorEastAsia" w:cs="Arial"/>
                <w:sz w:val="16"/>
                <w:szCs w:val="16"/>
              </w:rPr>
            </w:pPr>
            <w:r w:rsidRPr="00664FF0">
              <w:rPr>
                <w:rFonts w:eastAsiaTheme="minorEastAsia" w:cs="Arial"/>
                <w:sz w:val="16"/>
                <w:szCs w:val="16"/>
              </w:rPr>
              <w:t> </w:t>
            </w:r>
          </w:p>
        </w:tc>
        <w:tc>
          <w:tcPr>
            <w:tcW w:w="0" w:type="auto"/>
            <w:tcBorders>
              <w:top w:val="single" w:sz="4" w:space="0" w:color="auto"/>
              <w:bottom w:val="single" w:sz="12" w:space="0" w:color="auto"/>
            </w:tcBorders>
            <w:shd w:val="clear" w:color="auto" w:fill="auto"/>
            <w:vAlign w:val="center"/>
            <w:hideMark/>
          </w:tcPr>
          <w:p w:rsidR="006A4109" w:rsidRPr="00664FF0" w:rsidRDefault="006A4109" w:rsidP="00E930B2">
            <w:pPr>
              <w:rPr>
                <w:rFonts w:eastAsiaTheme="minorEastAsia" w:cs="Arial"/>
                <w:sz w:val="16"/>
                <w:szCs w:val="16"/>
              </w:rPr>
            </w:pPr>
            <w:r w:rsidRPr="00664FF0">
              <w:rPr>
                <w:rFonts w:eastAsiaTheme="minorEastAsia" w:cs="Arial"/>
                <w:sz w:val="16"/>
                <w:szCs w:val="16"/>
              </w:rPr>
              <w:t> </w:t>
            </w:r>
          </w:p>
        </w:tc>
      </w:tr>
    </w:tbl>
    <w:p w:rsidR="006A4109" w:rsidRPr="00F02D52" w:rsidRDefault="006A4109" w:rsidP="00E930B2">
      <w:pPr>
        <w:rPr>
          <w:rFonts w:cs="Arial"/>
          <w:u w:val="single"/>
        </w:rPr>
      </w:pPr>
    </w:p>
    <w:p w:rsidR="006A4109" w:rsidRPr="00F02D52" w:rsidRDefault="006A4109" w:rsidP="002A7616">
      <w:pPr>
        <w:pStyle w:val="Ttol5"/>
      </w:pPr>
      <w:bookmarkStart w:id="359" w:name="_Toc463867807"/>
      <w:r w:rsidRPr="002A7616">
        <w:t>Programes</w:t>
      </w:r>
      <w:r w:rsidRPr="00F02D52">
        <w:t xml:space="preserve"> d’inserció</w:t>
      </w:r>
      <w:bookmarkEnd w:id="359"/>
    </w:p>
    <w:p w:rsidR="006A4109" w:rsidRPr="00F02D52" w:rsidRDefault="006A4109" w:rsidP="00E930B2">
      <w:pPr>
        <w:rPr>
          <w:rFonts w:cs="Arial"/>
          <w:u w:val="single"/>
        </w:rPr>
      </w:pPr>
    </w:p>
    <w:p w:rsidR="006A4109" w:rsidRPr="007507A8" w:rsidRDefault="006A4109" w:rsidP="00E930B2">
      <w:pPr>
        <w:rPr>
          <w:rFonts w:cs="Arial"/>
        </w:rPr>
      </w:pPr>
      <w:r w:rsidRPr="007507A8">
        <w:rPr>
          <w:rFonts w:cs="Arial"/>
        </w:rPr>
        <w:t xml:space="preserve">L’any 2003 </w:t>
      </w:r>
      <w:r>
        <w:rPr>
          <w:rFonts w:cs="Arial"/>
        </w:rPr>
        <w:t>es va iniciar</w:t>
      </w:r>
      <w:r w:rsidRPr="007507A8">
        <w:rPr>
          <w:rFonts w:cs="Arial"/>
        </w:rPr>
        <w:t xml:space="preserve"> l’àrea d’inserció del CIRE amb la creació d’un equip d’inserció específic que es dedica a tutelar i acompanyar a la persona sota mesura judicial en el seu procés de recerca de feina. A partir de</w:t>
      </w:r>
      <w:r>
        <w:rPr>
          <w:rFonts w:cs="Arial"/>
        </w:rPr>
        <w:t xml:space="preserve"> l’any 2006, es constitueix la b</w:t>
      </w:r>
      <w:r w:rsidRPr="007507A8">
        <w:rPr>
          <w:rFonts w:cs="Arial"/>
        </w:rPr>
        <w:t xml:space="preserve">orsa de </w:t>
      </w:r>
      <w:r>
        <w:rPr>
          <w:rFonts w:cs="Arial"/>
        </w:rPr>
        <w:t>t</w:t>
      </w:r>
      <w:r w:rsidRPr="007507A8">
        <w:rPr>
          <w:rFonts w:cs="Arial"/>
        </w:rPr>
        <w:t xml:space="preserve">reball del CIRE (primera borsa d'una entitat pública de tot l'Estat </w:t>
      </w:r>
      <w:r>
        <w:rPr>
          <w:rFonts w:cs="Arial"/>
        </w:rPr>
        <w:t>adreçada</w:t>
      </w:r>
      <w:r w:rsidRPr="007507A8">
        <w:rPr>
          <w:rFonts w:cs="Arial"/>
        </w:rPr>
        <w:t xml:space="preserve"> a la inserció de les persones privades de llibertat) com a eina per fer de pont entre el món penitenciari i el món laboral de què disposen les </w:t>
      </w:r>
      <w:r>
        <w:rPr>
          <w:rFonts w:cs="Arial"/>
        </w:rPr>
        <w:t xml:space="preserve">persones sota mesura judicial. </w:t>
      </w:r>
    </w:p>
    <w:p w:rsidR="006A4109" w:rsidRPr="007507A8" w:rsidRDefault="006A4109" w:rsidP="00E930B2">
      <w:pPr>
        <w:rPr>
          <w:rFonts w:cs="Arial"/>
        </w:rPr>
      </w:pPr>
      <w:r>
        <w:rPr>
          <w:rFonts w:cs="Arial"/>
        </w:rPr>
        <w:lastRenderedPageBreak/>
        <w:t>El col·</w:t>
      </w:r>
      <w:r w:rsidRPr="007507A8">
        <w:rPr>
          <w:rFonts w:cs="Arial"/>
        </w:rPr>
        <w:t xml:space="preserve">lectiu d’usuaris està format per persones que estan sota mesura judicial i amb un alt risc d'exclusió social. El perfil es correspon a una persona de baixa qualificació, amb un grau formatiu i d’experiència laboral per sota de la mitjana global, tenint present que els internaments prolongats agreugen el problema de l’exclusió. </w:t>
      </w:r>
      <w:r>
        <w:rPr>
          <w:rFonts w:cs="Arial"/>
        </w:rPr>
        <w:t xml:space="preserve">Es </w:t>
      </w:r>
      <w:r w:rsidRPr="007507A8">
        <w:rPr>
          <w:rFonts w:cs="Arial"/>
        </w:rPr>
        <w:t xml:space="preserve">troben currículums amb períodes llargs d’inactivitat </w:t>
      </w:r>
      <w:r>
        <w:rPr>
          <w:rFonts w:cs="Arial"/>
        </w:rPr>
        <w:t xml:space="preserve">i sense experiència, que en dificulta l’ocupació. </w:t>
      </w:r>
    </w:p>
    <w:p w:rsidR="006A4109" w:rsidRPr="007507A8" w:rsidRDefault="006A4109" w:rsidP="00E930B2">
      <w:pPr>
        <w:rPr>
          <w:rFonts w:cs="Arial"/>
        </w:rPr>
      </w:pPr>
      <w:r w:rsidRPr="007507A8">
        <w:rPr>
          <w:rFonts w:cs="Arial"/>
        </w:rPr>
        <w:t>Per les peculiaritats dels usuaris d’aquest programa, abans descrites, es requereix d’act</w:t>
      </w:r>
      <w:r>
        <w:rPr>
          <w:rFonts w:cs="Arial"/>
        </w:rPr>
        <w:t>uacions específiques en l’àmbit</w:t>
      </w:r>
      <w:r w:rsidRPr="007507A8">
        <w:rPr>
          <w:rFonts w:cs="Arial"/>
        </w:rPr>
        <w:t xml:space="preserve"> de l’orientació individualitzada, acompanyament,</w:t>
      </w:r>
      <w:r>
        <w:rPr>
          <w:rFonts w:cs="Arial"/>
        </w:rPr>
        <w:t xml:space="preserve"> avaluació, assessorament, etc.</w:t>
      </w:r>
      <w:r w:rsidRPr="007507A8">
        <w:rPr>
          <w:rFonts w:cs="Arial"/>
        </w:rPr>
        <w:t xml:space="preserve"> així com de la coordinació estreta amb les empreses.</w:t>
      </w:r>
    </w:p>
    <w:p w:rsidR="006A4109" w:rsidRDefault="006A4109" w:rsidP="00E930B2">
      <w:pPr>
        <w:spacing w:before="0"/>
        <w:jc w:val="left"/>
        <w:rPr>
          <w:rFonts w:cs="Arial"/>
          <w:u w:val="single"/>
        </w:rPr>
      </w:pPr>
    </w:p>
    <w:tbl>
      <w:tblPr>
        <w:tblW w:w="4962" w:type="pct"/>
        <w:tblInd w:w="70" w:type="dxa"/>
        <w:tblLayout w:type="fixed"/>
        <w:tblCellMar>
          <w:left w:w="70" w:type="dxa"/>
          <w:right w:w="70" w:type="dxa"/>
        </w:tblCellMar>
        <w:tblLook w:val="04A0" w:firstRow="1" w:lastRow="0" w:firstColumn="1" w:lastColumn="0" w:noHBand="0" w:noVBand="1"/>
      </w:tblPr>
      <w:tblGrid>
        <w:gridCol w:w="4398"/>
        <w:gridCol w:w="1177"/>
        <w:gridCol w:w="892"/>
        <w:gridCol w:w="892"/>
        <w:gridCol w:w="892"/>
        <w:gridCol w:w="890"/>
      </w:tblGrid>
      <w:tr w:rsidR="006A4109" w:rsidRPr="00664FF0" w:rsidTr="007B2744">
        <w:trPr>
          <w:trHeight w:val="510"/>
        </w:trPr>
        <w:tc>
          <w:tcPr>
            <w:tcW w:w="2405" w:type="pct"/>
            <w:tcBorders>
              <w:bottom w:val="single" w:sz="12" w:space="0" w:color="auto"/>
            </w:tcBorders>
            <w:shd w:val="clear" w:color="auto" w:fill="D9D9D9" w:themeFill="background1" w:themeFillShade="D9"/>
            <w:vAlign w:val="center"/>
            <w:hideMark/>
          </w:tcPr>
          <w:p w:rsidR="006A4109" w:rsidRPr="00664FF0" w:rsidRDefault="006A4109" w:rsidP="00E930B2">
            <w:pPr>
              <w:rPr>
                <w:rFonts w:eastAsia="Times New Roman" w:cs="Arial"/>
                <w:b/>
                <w:sz w:val="16"/>
                <w:szCs w:val="16"/>
                <w:lang w:eastAsia="ca-ES"/>
              </w:rPr>
            </w:pPr>
            <w:r w:rsidRPr="00664FF0">
              <w:rPr>
                <w:rFonts w:eastAsia="Times New Roman" w:cs="Arial"/>
                <w:b/>
                <w:sz w:val="16"/>
                <w:szCs w:val="16"/>
                <w:lang w:eastAsia="ca-ES"/>
              </w:rPr>
              <w:t>Comparativa 2012-2013-2014-2015-2016 (fins</w:t>
            </w:r>
            <w:r>
              <w:rPr>
                <w:rFonts w:eastAsia="Times New Roman" w:cs="Arial"/>
                <w:b/>
                <w:sz w:val="16"/>
                <w:szCs w:val="16"/>
                <w:lang w:eastAsia="ca-ES"/>
              </w:rPr>
              <w:t xml:space="preserve"> a l’</w:t>
            </w:r>
            <w:r w:rsidRPr="00664FF0">
              <w:rPr>
                <w:rFonts w:eastAsia="Times New Roman" w:cs="Arial"/>
                <w:b/>
                <w:sz w:val="16"/>
                <w:szCs w:val="16"/>
                <w:lang w:eastAsia="ca-ES"/>
              </w:rPr>
              <w:t xml:space="preserve">agost) Indicadors </w:t>
            </w:r>
            <w:r>
              <w:rPr>
                <w:rFonts w:eastAsia="Times New Roman" w:cs="Arial"/>
                <w:b/>
                <w:sz w:val="16"/>
                <w:szCs w:val="16"/>
                <w:lang w:eastAsia="ca-ES"/>
              </w:rPr>
              <w:t>de l’À</w:t>
            </w:r>
            <w:r w:rsidRPr="00664FF0">
              <w:rPr>
                <w:rFonts w:eastAsia="Times New Roman" w:cs="Arial"/>
                <w:b/>
                <w:sz w:val="16"/>
                <w:szCs w:val="16"/>
                <w:lang w:eastAsia="ca-ES"/>
              </w:rPr>
              <w:t>rea d'Inserció Laboral</w:t>
            </w:r>
          </w:p>
        </w:tc>
        <w:tc>
          <w:tcPr>
            <w:tcW w:w="644" w:type="pct"/>
            <w:tcBorders>
              <w:bottom w:val="single" w:sz="12" w:space="0" w:color="auto"/>
            </w:tcBorders>
            <w:shd w:val="clear" w:color="auto" w:fill="D9D9D9" w:themeFill="background1" w:themeFillShade="D9"/>
            <w:noWrap/>
            <w:vAlign w:val="center"/>
            <w:hideMark/>
          </w:tcPr>
          <w:p w:rsidR="006A4109" w:rsidRPr="00664FF0" w:rsidRDefault="006A4109" w:rsidP="00E930B2">
            <w:pPr>
              <w:rPr>
                <w:rFonts w:eastAsia="Times New Roman" w:cs="Arial"/>
                <w:b/>
                <w:sz w:val="16"/>
                <w:szCs w:val="16"/>
                <w:lang w:eastAsia="ca-ES"/>
              </w:rPr>
            </w:pPr>
            <w:r w:rsidRPr="00664FF0">
              <w:rPr>
                <w:rFonts w:eastAsia="Times New Roman" w:cs="Arial"/>
                <w:b/>
                <w:sz w:val="16"/>
                <w:szCs w:val="16"/>
                <w:lang w:eastAsia="ca-ES"/>
              </w:rPr>
              <w:t>2012</w:t>
            </w:r>
          </w:p>
        </w:tc>
        <w:tc>
          <w:tcPr>
            <w:tcW w:w="488" w:type="pct"/>
            <w:tcBorders>
              <w:bottom w:val="single" w:sz="12" w:space="0" w:color="auto"/>
            </w:tcBorders>
            <w:shd w:val="clear" w:color="auto" w:fill="D9D9D9" w:themeFill="background1" w:themeFillShade="D9"/>
            <w:noWrap/>
            <w:vAlign w:val="center"/>
            <w:hideMark/>
          </w:tcPr>
          <w:p w:rsidR="006A4109" w:rsidRPr="00664FF0" w:rsidRDefault="006A4109" w:rsidP="00E930B2">
            <w:pPr>
              <w:rPr>
                <w:rFonts w:eastAsia="Times New Roman" w:cs="Arial"/>
                <w:b/>
                <w:sz w:val="16"/>
                <w:szCs w:val="16"/>
                <w:lang w:eastAsia="ca-ES"/>
              </w:rPr>
            </w:pPr>
            <w:r w:rsidRPr="00664FF0">
              <w:rPr>
                <w:rFonts w:eastAsia="Times New Roman" w:cs="Arial"/>
                <w:b/>
                <w:sz w:val="16"/>
                <w:szCs w:val="16"/>
                <w:lang w:eastAsia="ca-ES"/>
              </w:rPr>
              <w:t>2013</w:t>
            </w:r>
          </w:p>
        </w:tc>
        <w:tc>
          <w:tcPr>
            <w:tcW w:w="488" w:type="pct"/>
            <w:tcBorders>
              <w:bottom w:val="single" w:sz="12" w:space="0" w:color="auto"/>
            </w:tcBorders>
            <w:shd w:val="clear" w:color="auto" w:fill="D9D9D9" w:themeFill="background1" w:themeFillShade="D9"/>
            <w:noWrap/>
            <w:vAlign w:val="center"/>
            <w:hideMark/>
          </w:tcPr>
          <w:p w:rsidR="006A4109" w:rsidRPr="00664FF0" w:rsidRDefault="006A4109" w:rsidP="00E930B2">
            <w:pPr>
              <w:rPr>
                <w:rFonts w:eastAsia="Times New Roman" w:cs="Arial"/>
                <w:b/>
                <w:sz w:val="16"/>
                <w:szCs w:val="16"/>
                <w:lang w:eastAsia="ca-ES"/>
              </w:rPr>
            </w:pPr>
            <w:r w:rsidRPr="00664FF0">
              <w:rPr>
                <w:rFonts w:eastAsia="Times New Roman" w:cs="Arial"/>
                <w:b/>
                <w:sz w:val="16"/>
                <w:szCs w:val="16"/>
                <w:lang w:eastAsia="ca-ES"/>
              </w:rPr>
              <w:t>2014</w:t>
            </w:r>
          </w:p>
        </w:tc>
        <w:tc>
          <w:tcPr>
            <w:tcW w:w="488" w:type="pct"/>
            <w:tcBorders>
              <w:bottom w:val="single" w:sz="12" w:space="0" w:color="auto"/>
            </w:tcBorders>
            <w:shd w:val="clear" w:color="auto" w:fill="D9D9D9" w:themeFill="background1" w:themeFillShade="D9"/>
            <w:noWrap/>
            <w:vAlign w:val="center"/>
            <w:hideMark/>
          </w:tcPr>
          <w:p w:rsidR="006A4109" w:rsidRPr="00664FF0" w:rsidRDefault="006A4109" w:rsidP="00E930B2">
            <w:pPr>
              <w:rPr>
                <w:rFonts w:eastAsia="Times New Roman" w:cs="Arial"/>
                <w:b/>
                <w:sz w:val="16"/>
                <w:szCs w:val="16"/>
                <w:lang w:eastAsia="ca-ES"/>
              </w:rPr>
            </w:pPr>
            <w:r w:rsidRPr="00664FF0">
              <w:rPr>
                <w:rFonts w:eastAsia="Times New Roman" w:cs="Arial"/>
                <w:b/>
                <w:sz w:val="16"/>
                <w:szCs w:val="16"/>
                <w:lang w:eastAsia="ca-ES"/>
              </w:rPr>
              <w:t>2015</w:t>
            </w:r>
          </w:p>
        </w:tc>
        <w:tc>
          <w:tcPr>
            <w:tcW w:w="488" w:type="pct"/>
            <w:tcBorders>
              <w:bottom w:val="single" w:sz="12" w:space="0" w:color="auto"/>
            </w:tcBorders>
            <w:shd w:val="clear" w:color="auto" w:fill="D9D9D9" w:themeFill="background1" w:themeFillShade="D9"/>
            <w:vAlign w:val="center"/>
            <w:hideMark/>
          </w:tcPr>
          <w:p w:rsidR="006A4109" w:rsidRPr="00664FF0" w:rsidRDefault="006A4109" w:rsidP="00E930B2">
            <w:pPr>
              <w:rPr>
                <w:rFonts w:eastAsia="Times New Roman" w:cs="Arial"/>
                <w:b/>
                <w:sz w:val="16"/>
                <w:szCs w:val="16"/>
                <w:lang w:eastAsia="ca-ES"/>
              </w:rPr>
            </w:pPr>
            <w:r w:rsidRPr="00664FF0">
              <w:rPr>
                <w:rFonts w:eastAsia="Times New Roman" w:cs="Arial"/>
                <w:b/>
                <w:sz w:val="16"/>
                <w:szCs w:val="16"/>
                <w:lang w:eastAsia="ca-ES"/>
              </w:rPr>
              <w:t xml:space="preserve">2016 (fins </w:t>
            </w:r>
            <w:r>
              <w:rPr>
                <w:rFonts w:eastAsia="Times New Roman" w:cs="Arial"/>
                <w:b/>
                <w:sz w:val="16"/>
                <w:szCs w:val="16"/>
                <w:lang w:eastAsia="ca-ES"/>
              </w:rPr>
              <w:t>a l’</w:t>
            </w:r>
            <w:r w:rsidRPr="00664FF0">
              <w:rPr>
                <w:rFonts w:eastAsia="Times New Roman" w:cs="Arial"/>
                <w:b/>
                <w:sz w:val="16"/>
                <w:szCs w:val="16"/>
                <w:lang w:eastAsia="ca-ES"/>
              </w:rPr>
              <w:t>agost)</w:t>
            </w:r>
          </w:p>
        </w:tc>
      </w:tr>
      <w:tr w:rsidR="006A4109" w:rsidRPr="00664FF0" w:rsidTr="007B2744">
        <w:trPr>
          <w:trHeight w:val="340"/>
        </w:trPr>
        <w:tc>
          <w:tcPr>
            <w:tcW w:w="2405" w:type="pct"/>
            <w:tcBorders>
              <w:top w:val="single" w:sz="12" w:space="0" w:color="auto"/>
              <w:bottom w:val="single" w:sz="4" w:space="0" w:color="auto"/>
            </w:tcBorders>
            <w:shd w:val="clear" w:color="auto" w:fill="auto"/>
            <w:noWrap/>
            <w:vAlign w:val="center"/>
            <w:hideMark/>
          </w:tcPr>
          <w:p w:rsidR="006A4109" w:rsidRPr="00664FF0" w:rsidRDefault="006A4109" w:rsidP="00E930B2">
            <w:pPr>
              <w:rPr>
                <w:rFonts w:eastAsia="Times New Roman" w:cs="Arial"/>
                <w:sz w:val="16"/>
                <w:szCs w:val="16"/>
                <w:lang w:eastAsia="ca-ES"/>
              </w:rPr>
            </w:pPr>
            <w:r w:rsidRPr="00664FF0">
              <w:rPr>
                <w:rFonts w:eastAsia="Times New Roman" w:cs="Arial"/>
                <w:sz w:val="16"/>
                <w:szCs w:val="16"/>
                <w:lang w:eastAsia="ca-ES"/>
              </w:rPr>
              <w:t xml:space="preserve">Empreses </w:t>
            </w:r>
            <w:r>
              <w:rPr>
                <w:rFonts w:eastAsia="Times New Roman" w:cs="Arial"/>
                <w:sz w:val="16"/>
                <w:szCs w:val="16"/>
                <w:lang w:eastAsia="ca-ES"/>
              </w:rPr>
              <w:t>o</w:t>
            </w:r>
            <w:r w:rsidRPr="00664FF0">
              <w:rPr>
                <w:rFonts w:eastAsia="Times New Roman" w:cs="Arial"/>
                <w:sz w:val="16"/>
                <w:szCs w:val="16"/>
                <w:lang w:eastAsia="ca-ES"/>
              </w:rPr>
              <w:t>rdinàries</w:t>
            </w:r>
            <w:r>
              <w:rPr>
                <w:rFonts w:eastAsia="Times New Roman" w:cs="Arial"/>
                <w:sz w:val="16"/>
                <w:szCs w:val="16"/>
                <w:lang w:eastAsia="ca-ES"/>
              </w:rPr>
              <w:t xml:space="preserve"> c</w:t>
            </w:r>
            <w:r w:rsidRPr="00664FF0">
              <w:rPr>
                <w:rFonts w:eastAsia="Times New Roman" w:cs="Arial"/>
                <w:sz w:val="16"/>
                <w:szCs w:val="16"/>
                <w:lang w:eastAsia="ca-ES"/>
              </w:rPr>
              <w:t>ol·laboradores</w:t>
            </w:r>
          </w:p>
        </w:tc>
        <w:tc>
          <w:tcPr>
            <w:tcW w:w="644" w:type="pct"/>
            <w:tcBorders>
              <w:top w:val="single" w:sz="12" w:space="0" w:color="auto"/>
              <w:bottom w:val="single" w:sz="4" w:space="0" w:color="auto"/>
            </w:tcBorders>
            <w:shd w:val="clear" w:color="auto" w:fill="auto"/>
            <w:noWrap/>
            <w:vAlign w:val="bottom"/>
            <w:hideMark/>
          </w:tcPr>
          <w:p w:rsidR="006A4109" w:rsidRPr="00664FF0" w:rsidRDefault="006A4109" w:rsidP="00E930B2">
            <w:pPr>
              <w:jc w:val="right"/>
              <w:rPr>
                <w:rFonts w:eastAsia="Times New Roman" w:cs="Arial"/>
                <w:sz w:val="16"/>
                <w:szCs w:val="16"/>
                <w:lang w:eastAsia="ca-ES"/>
              </w:rPr>
            </w:pPr>
            <w:r w:rsidRPr="00664FF0">
              <w:rPr>
                <w:rFonts w:eastAsia="Times New Roman" w:cs="Arial"/>
                <w:sz w:val="16"/>
                <w:szCs w:val="16"/>
                <w:lang w:eastAsia="ca-ES"/>
              </w:rPr>
              <w:t>18</w:t>
            </w:r>
          </w:p>
        </w:tc>
        <w:tc>
          <w:tcPr>
            <w:tcW w:w="488" w:type="pct"/>
            <w:tcBorders>
              <w:top w:val="single" w:sz="12" w:space="0" w:color="auto"/>
              <w:bottom w:val="single" w:sz="4" w:space="0" w:color="auto"/>
            </w:tcBorders>
            <w:shd w:val="clear" w:color="auto" w:fill="auto"/>
            <w:noWrap/>
            <w:vAlign w:val="bottom"/>
            <w:hideMark/>
          </w:tcPr>
          <w:p w:rsidR="006A4109" w:rsidRPr="00664FF0" w:rsidRDefault="006A4109" w:rsidP="00E930B2">
            <w:pPr>
              <w:jc w:val="right"/>
              <w:rPr>
                <w:rFonts w:eastAsia="Times New Roman" w:cs="Arial"/>
                <w:sz w:val="16"/>
                <w:szCs w:val="16"/>
                <w:lang w:eastAsia="ca-ES"/>
              </w:rPr>
            </w:pPr>
            <w:r w:rsidRPr="00664FF0">
              <w:rPr>
                <w:rFonts w:eastAsia="Times New Roman" w:cs="Arial"/>
                <w:sz w:val="16"/>
                <w:szCs w:val="16"/>
                <w:lang w:eastAsia="ca-ES"/>
              </w:rPr>
              <w:t>24</w:t>
            </w:r>
          </w:p>
        </w:tc>
        <w:tc>
          <w:tcPr>
            <w:tcW w:w="488" w:type="pct"/>
            <w:tcBorders>
              <w:top w:val="single" w:sz="12" w:space="0" w:color="auto"/>
              <w:bottom w:val="single" w:sz="4" w:space="0" w:color="auto"/>
            </w:tcBorders>
            <w:shd w:val="clear" w:color="auto" w:fill="auto"/>
            <w:noWrap/>
            <w:vAlign w:val="bottom"/>
            <w:hideMark/>
          </w:tcPr>
          <w:p w:rsidR="006A4109" w:rsidRPr="00664FF0" w:rsidRDefault="006A4109" w:rsidP="00E930B2">
            <w:pPr>
              <w:jc w:val="right"/>
              <w:rPr>
                <w:rFonts w:eastAsia="Times New Roman" w:cs="Arial"/>
                <w:sz w:val="16"/>
                <w:szCs w:val="16"/>
                <w:lang w:eastAsia="ca-ES"/>
              </w:rPr>
            </w:pPr>
            <w:r w:rsidRPr="00664FF0">
              <w:rPr>
                <w:rFonts w:eastAsia="Times New Roman" w:cs="Arial"/>
                <w:sz w:val="16"/>
                <w:szCs w:val="16"/>
                <w:lang w:eastAsia="ca-ES"/>
              </w:rPr>
              <w:t>18</w:t>
            </w:r>
          </w:p>
        </w:tc>
        <w:tc>
          <w:tcPr>
            <w:tcW w:w="488" w:type="pct"/>
            <w:tcBorders>
              <w:top w:val="single" w:sz="12" w:space="0" w:color="auto"/>
              <w:bottom w:val="single" w:sz="4" w:space="0" w:color="auto"/>
            </w:tcBorders>
            <w:shd w:val="clear" w:color="auto" w:fill="auto"/>
            <w:noWrap/>
            <w:vAlign w:val="bottom"/>
            <w:hideMark/>
          </w:tcPr>
          <w:p w:rsidR="006A4109" w:rsidRPr="00664FF0" w:rsidRDefault="006A4109" w:rsidP="00E930B2">
            <w:pPr>
              <w:jc w:val="right"/>
              <w:rPr>
                <w:rFonts w:eastAsia="Times New Roman" w:cs="Arial"/>
                <w:sz w:val="16"/>
                <w:szCs w:val="16"/>
                <w:lang w:eastAsia="ca-ES"/>
              </w:rPr>
            </w:pPr>
            <w:r w:rsidRPr="00664FF0">
              <w:rPr>
                <w:rFonts w:eastAsia="Times New Roman" w:cs="Arial"/>
                <w:sz w:val="16"/>
                <w:szCs w:val="16"/>
                <w:lang w:eastAsia="ca-ES"/>
              </w:rPr>
              <w:t>12</w:t>
            </w:r>
          </w:p>
        </w:tc>
        <w:tc>
          <w:tcPr>
            <w:tcW w:w="488" w:type="pct"/>
            <w:tcBorders>
              <w:top w:val="single" w:sz="12" w:space="0" w:color="auto"/>
              <w:bottom w:val="single" w:sz="4" w:space="0" w:color="auto"/>
            </w:tcBorders>
            <w:shd w:val="clear" w:color="auto" w:fill="auto"/>
            <w:noWrap/>
            <w:vAlign w:val="bottom"/>
            <w:hideMark/>
          </w:tcPr>
          <w:p w:rsidR="006A4109" w:rsidRPr="00664FF0" w:rsidRDefault="006A4109" w:rsidP="00E930B2">
            <w:pPr>
              <w:jc w:val="right"/>
              <w:rPr>
                <w:rFonts w:eastAsia="Times New Roman" w:cs="Arial"/>
                <w:sz w:val="16"/>
                <w:szCs w:val="16"/>
                <w:lang w:eastAsia="ca-ES"/>
              </w:rPr>
            </w:pPr>
            <w:r w:rsidRPr="00664FF0">
              <w:rPr>
                <w:rFonts w:eastAsia="Times New Roman" w:cs="Arial"/>
                <w:sz w:val="16"/>
                <w:szCs w:val="16"/>
                <w:lang w:eastAsia="ca-ES"/>
              </w:rPr>
              <w:t>19</w:t>
            </w:r>
          </w:p>
        </w:tc>
      </w:tr>
      <w:tr w:rsidR="006A4109" w:rsidRPr="00664FF0" w:rsidTr="007B2744">
        <w:trPr>
          <w:trHeight w:val="340"/>
        </w:trPr>
        <w:tc>
          <w:tcPr>
            <w:tcW w:w="2405" w:type="pct"/>
            <w:tcBorders>
              <w:top w:val="single" w:sz="4" w:space="0" w:color="auto"/>
              <w:bottom w:val="single" w:sz="4" w:space="0" w:color="auto"/>
            </w:tcBorders>
            <w:shd w:val="clear" w:color="auto" w:fill="auto"/>
            <w:noWrap/>
            <w:vAlign w:val="center"/>
            <w:hideMark/>
          </w:tcPr>
          <w:p w:rsidR="006A4109" w:rsidRPr="00664FF0" w:rsidRDefault="006A4109" w:rsidP="00E930B2">
            <w:pPr>
              <w:rPr>
                <w:rFonts w:eastAsia="Times New Roman" w:cs="Arial"/>
                <w:sz w:val="16"/>
                <w:szCs w:val="16"/>
                <w:lang w:eastAsia="ca-ES"/>
              </w:rPr>
            </w:pPr>
            <w:r>
              <w:rPr>
                <w:rFonts w:eastAsia="Times New Roman" w:cs="Arial"/>
                <w:sz w:val="16"/>
                <w:szCs w:val="16"/>
                <w:lang w:eastAsia="ca-ES"/>
              </w:rPr>
              <w:t>Empreses del 3</w:t>
            </w:r>
            <w:r w:rsidRPr="00664FF0">
              <w:rPr>
                <w:rFonts w:eastAsia="Times New Roman" w:cs="Arial"/>
                <w:sz w:val="16"/>
                <w:szCs w:val="16"/>
                <w:lang w:eastAsia="ca-ES"/>
              </w:rPr>
              <w:t xml:space="preserve">r </w:t>
            </w:r>
            <w:r>
              <w:rPr>
                <w:rFonts w:eastAsia="Times New Roman" w:cs="Arial"/>
                <w:sz w:val="16"/>
                <w:szCs w:val="16"/>
                <w:lang w:eastAsia="ca-ES"/>
              </w:rPr>
              <w:t>s</w:t>
            </w:r>
            <w:r w:rsidRPr="00664FF0">
              <w:rPr>
                <w:rFonts w:eastAsia="Times New Roman" w:cs="Arial"/>
                <w:sz w:val="16"/>
                <w:szCs w:val="16"/>
                <w:lang w:eastAsia="ca-ES"/>
              </w:rPr>
              <w:t xml:space="preserve">ector </w:t>
            </w:r>
            <w:r>
              <w:rPr>
                <w:rFonts w:eastAsia="Times New Roman" w:cs="Arial"/>
                <w:sz w:val="16"/>
                <w:szCs w:val="16"/>
                <w:lang w:eastAsia="ca-ES"/>
              </w:rPr>
              <w:t>a</w:t>
            </w:r>
            <w:r w:rsidRPr="00664FF0">
              <w:rPr>
                <w:rFonts w:eastAsia="Times New Roman" w:cs="Arial"/>
                <w:sz w:val="16"/>
                <w:szCs w:val="16"/>
                <w:lang w:eastAsia="ca-ES"/>
              </w:rPr>
              <w:t xml:space="preserve">djudicatàries i </w:t>
            </w:r>
            <w:r>
              <w:rPr>
                <w:rFonts w:eastAsia="Times New Roman" w:cs="Arial"/>
                <w:sz w:val="16"/>
                <w:szCs w:val="16"/>
                <w:lang w:eastAsia="ca-ES"/>
              </w:rPr>
              <w:t>c</w:t>
            </w:r>
            <w:r w:rsidRPr="00664FF0">
              <w:rPr>
                <w:rFonts w:eastAsia="Times New Roman" w:cs="Arial"/>
                <w:sz w:val="16"/>
                <w:szCs w:val="16"/>
                <w:lang w:eastAsia="ca-ES"/>
              </w:rPr>
              <w:t>ol·laboradores</w:t>
            </w:r>
          </w:p>
        </w:tc>
        <w:tc>
          <w:tcPr>
            <w:tcW w:w="644" w:type="pct"/>
            <w:tcBorders>
              <w:top w:val="single" w:sz="4" w:space="0" w:color="auto"/>
              <w:bottom w:val="single" w:sz="4" w:space="0" w:color="auto"/>
            </w:tcBorders>
            <w:shd w:val="clear" w:color="auto" w:fill="auto"/>
            <w:noWrap/>
            <w:vAlign w:val="bottom"/>
            <w:hideMark/>
          </w:tcPr>
          <w:p w:rsidR="006A4109" w:rsidRPr="00664FF0" w:rsidRDefault="006A4109" w:rsidP="00E930B2">
            <w:pPr>
              <w:jc w:val="right"/>
              <w:rPr>
                <w:rFonts w:eastAsia="Times New Roman" w:cs="Arial"/>
                <w:sz w:val="16"/>
                <w:szCs w:val="16"/>
                <w:lang w:eastAsia="ca-ES"/>
              </w:rPr>
            </w:pPr>
            <w:r w:rsidRPr="00664FF0">
              <w:rPr>
                <w:rFonts w:eastAsia="Times New Roman" w:cs="Arial"/>
                <w:sz w:val="16"/>
                <w:szCs w:val="16"/>
                <w:lang w:eastAsia="ca-ES"/>
              </w:rPr>
              <w:t>32</w:t>
            </w:r>
          </w:p>
        </w:tc>
        <w:tc>
          <w:tcPr>
            <w:tcW w:w="488" w:type="pct"/>
            <w:tcBorders>
              <w:top w:val="single" w:sz="4" w:space="0" w:color="auto"/>
              <w:bottom w:val="single" w:sz="4" w:space="0" w:color="auto"/>
            </w:tcBorders>
            <w:shd w:val="clear" w:color="auto" w:fill="auto"/>
            <w:noWrap/>
            <w:vAlign w:val="bottom"/>
            <w:hideMark/>
          </w:tcPr>
          <w:p w:rsidR="006A4109" w:rsidRPr="00664FF0" w:rsidRDefault="006A4109" w:rsidP="00E930B2">
            <w:pPr>
              <w:jc w:val="right"/>
              <w:rPr>
                <w:rFonts w:eastAsia="Times New Roman" w:cs="Arial"/>
                <w:sz w:val="16"/>
                <w:szCs w:val="16"/>
                <w:lang w:eastAsia="ca-ES"/>
              </w:rPr>
            </w:pPr>
            <w:r w:rsidRPr="00664FF0">
              <w:rPr>
                <w:rFonts w:eastAsia="Times New Roman" w:cs="Arial"/>
                <w:sz w:val="16"/>
                <w:szCs w:val="16"/>
                <w:lang w:eastAsia="ca-ES"/>
              </w:rPr>
              <w:t>26</w:t>
            </w:r>
          </w:p>
        </w:tc>
        <w:tc>
          <w:tcPr>
            <w:tcW w:w="488" w:type="pct"/>
            <w:tcBorders>
              <w:top w:val="single" w:sz="4" w:space="0" w:color="auto"/>
              <w:bottom w:val="single" w:sz="4" w:space="0" w:color="auto"/>
            </w:tcBorders>
            <w:shd w:val="clear" w:color="auto" w:fill="auto"/>
            <w:noWrap/>
            <w:vAlign w:val="bottom"/>
            <w:hideMark/>
          </w:tcPr>
          <w:p w:rsidR="006A4109" w:rsidRPr="00664FF0" w:rsidRDefault="006A4109" w:rsidP="00E930B2">
            <w:pPr>
              <w:jc w:val="right"/>
              <w:rPr>
                <w:rFonts w:eastAsia="Times New Roman" w:cs="Arial"/>
                <w:sz w:val="16"/>
                <w:szCs w:val="16"/>
                <w:lang w:eastAsia="ca-ES"/>
              </w:rPr>
            </w:pPr>
            <w:r w:rsidRPr="00664FF0">
              <w:rPr>
                <w:rFonts w:eastAsia="Times New Roman" w:cs="Arial"/>
                <w:sz w:val="16"/>
                <w:szCs w:val="16"/>
                <w:lang w:eastAsia="ca-ES"/>
              </w:rPr>
              <w:t>28</w:t>
            </w:r>
          </w:p>
        </w:tc>
        <w:tc>
          <w:tcPr>
            <w:tcW w:w="488" w:type="pct"/>
            <w:tcBorders>
              <w:top w:val="single" w:sz="4" w:space="0" w:color="auto"/>
              <w:bottom w:val="single" w:sz="4" w:space="0" w:color="auto"/>
            </w:tcBorders>
            <w:shd w:val="clear" w:color="auto" w:fill="auto"/>
            <w:noWrap/>
            <w:vAlign w:val="bottom"/>
            <w:hideMark/>
          </w:tcPr>
          <w:p w:rsidR="006A4109" w:rsidRPr="00664FF0" w:rsidRDefault="006A4109" w:rsidP="00E930B2">
            <w:pPr>
              <w:jc w:val="right"/>
              <w:rPr>
                <w:rFonts w:eastAsia="Times New Roman" w:cs="Arial"/>
                <w:sz w:val="16"/>
                <w:szCs w:val="16"/>
                <w:lang w:eastAsia="ca-ES"/>
              </w:rPr>
            </w:pPr>
            <w:r w:rsidRPr="00664FF0">
              <w:rPr>
                <w:rFonts w:eastAsia="Times New Roman" w:cs="Arial"/>
                <w:sz w:val="16"/>
                <w:szCs w:val="16"/>
                <w:lang w:eastAsia="ca-ES"/>
              </w:rPr>
              <w:t>96</w:t>
            </w:r>
          </w:p>
        </w:tc>
        <w:tc>
          <w:tcPr>
            <w:tcW w:w="488" w:type="pct"/>
            <w:tcBorders>
              <w:top w:val="single" w:sz="4" w:space="0" w:color="auto"/>
              <w:bottom w:val="single" w:sz="4" w:space="0" w:color="auto"/>
            </w:tcBorders>
            <w:shd w:val="clear" w:color="auto" w:fill="auto"/>
            <w:noWrap/>
            <w:vAlign w:val="bottom"/>
            <w:hideMark/>
          </w:tcPr>
          <w:p w:rsidR="006A4109" w:rsidRPr="00664FF0" w:rsidRDefault="006A4109" w:rsidP="00E930B2">
            <w:pPr>
              <w:jc w:val="right"/>
              <w:rPr>
                <w:rFonts w:eastAsia="Times New Roman" w:cs="Arial"/>
                <w:sz w:val="16"/>
                <w:szCs w:val="16"/>
                <w:lang w:eastAsia="ca-ES"/>
              </w:rPr>
            </w:pPr>
            <w:r w:rsidRPr="00664FF0">
              <w:rPr>
                <w:rFonts w:eastAsia="Times New Roman" w:cs="Arial"/>
                <w:sz w:val="16"/>
                <w:szCs w:val="16"/>
                <w:lang w:eastAsia="ca-ES"/>
              </w:rPr>
              <w:t>100</w:t>
            </w:r>
          </w:p>
        </w:tc>
      </w:tr>
      <w:tr w:rsidR="006A4109" w:rsidRPr="00664FF0" w:rsidTr="007B2744">
        <w:trPr>
          <w:trHeight w:val="340"/>
        </w:trPr>
        <w:tc>
          <w:tcPr>
            <w:tcW w:w="2405" w:type="pct"/>
            <w:tcBorders>
              <w:top w:val="single" w:sz="4" w:space="0" w:color="auto"/>
              <w:bottom w:val="single" w:sz="4" w:space="0" w:color="auto"/>
            </w:tcBorders>
            <w:shd w:val="clear" w:color="auto" w:fill="auto"/>
            <w:noWrap/>
            <w:vAlign w:val="center"/>
            <w:hideMark/>
          </w:tcPr>
          <w:p w:rsidR="006A4109" w:rsidRPr="00664FF0" w:rsidRDefault="006A4109" w:rsidP="00E930B2">
            <w:pPr>
              <w:rPr>
                <w:rFonts w:eastAsia="Times New Roman" w:cs="Arial"/>
                <w:sz w:val="16"/>
                <w:szCs w:val="16"/>
                <w:lang w:eastAsia="ca-ES"/>
              </w:rPr>
            </w:pPr>
            <w:r>
              <w:rPr>
                <w:rFonts w:eastAsia="Times New Roman" w:cs="Arial"/>
                <w:sz w:val="16"/>
                <w:szCs w:val="16"/>
                <w:lang w:eastAsia="ca-ES"/>
              </w:rPr>
              <w:t>Recursos de transició del CIRE i e</w:t>
            </w:r>
            <w:r w:rsidRPr="00664FF0">
              <w:rPr>
                <w:rFonts w:eastAsia="Times New Roman" w:cs="Arial"/>
                <w:sz w:val="16"/>
                <w:szCs w:val="16"/>
                <w:lang w:eastAsia="ca-ES"/>
              </w:rPr>
              <w:t>xterns</w:t>
            </w:r>
          </w:p>
        </w:tc>
        <w:tc>
          <w:tcPr>
            <w:tcW w:w="644" w:type="pct"/>
            <w:tcBorders>
              <w:top w:val="single" w:sz="4" w:space="0" w:color="auto"/>
              <w:bottom w:val="single" w:sz="4" w:space="0" w:color="auto"/>
            </w:tcBorders>
            <w:shd w:val="clear" w:color="auto" w:fill="auto"/>
            <w:noWrap/>
            <w:vAlign w:val="bottom"/>
            <w:hideMark/>
          </w:tcPr>
          <w:p w:rsidR="006A4109" w:rsidRPr="00664FF0" w:rsidRDefault="006A4109" w:rsidP="00E930B2">
            <w:pPr>
              <w:jc w:val="right"/>
              <w:rPr>
                <w:rFonts w:eastAsia="Times New Roman" w:cs="Arial"/>
                <w:sz w:val="16"/>
                <w:szCs w:val="16"/>
                <w:lang w:eastAsia="ca-ES"/>
              </w:rPr>
            </w:pPr>
            <w:r w:rsidRPr="00664FF0">
              <w:rPr>
                <w:rFonts w:eastAsia="Times New Roman" w:cs="Arial"/>
                <w:sz w:val="16"/>
                <w:szCs w:val="16"/>
                <w:lang w:eastAsia="ca-ES"/>
              </w:rPr>
              <w:t>133</w:t>
            </w:r>
          </w:p>
        </w:tc>
        <w:tc>
          <w:tcPr>
            <w:tcW w:w="488" w:type="pct"/>
            <w:tcBorders>
              <w:top w:val="single" w:sz="4" w:space="0" w:color="auto"/>
              <w:bottom w:val="single" w:sz="4" w:space="0" w:color="auto"/>
            </w:tcBorders>
            <w:shd w:val="clear" w:color="auto" w:fill="auto"/>
            <w:noWrap/>
            <w:vAlign w:val="bottom"/>
            <w:hideMark/>
          </w:tcPr>
          <w:p w:rsidR="006A4109" w:rsidRPr="00664FF0" w:rsidRDefault="006A4109" w:rsidP="00E930B2">
            <w:pPr>
              <w:jc w:val="right"/>
              <w:rPr>
                <w:rFonts w:eastAsia="Times New Roman" w:cs="Arial"/>
                <w:sz w:val="16"/>
                <w:szCs w:val="16"/>
                <w:lang w:eastAsia="ca-ES"/>
              </w:rPr>
            </w:pPr>
            <w:r w:rsidRPr="00664FF0">
              <w:rPr>
                <w:rFonts w:eastAsia="Times New Roman" w:cs="Arial"/>
                <w:sz w:val="16"/>
                <w:szCs w:val="16"/>
                <w:lang w:eastAsia="ca-ES"/>
              </w:rPr>
              <w:t>157</w:t>
            </w:r>
          </w:p>
        </w:tc>
        <w:tc>
          <w:tcPr>
            <w:tcW w:w="488" w:type="pct"/>
            <w:tcBorders>
              <w:top w:val="single" w:sz="4" w:space="0" w:color="auto"/>
              <w:bottom w:val="single" w:sz="4" w:space="0" w:color="auto"/>
            </w:tcBorders>
            <w:shd w:val="clear" w:color="auto" w:fill="auto"/>
            <w:noWrap/>
            <w:vAlign w:val="bottom"/>
            <w:hideMark/>
          </w:tcPr>
          <w:p w:rsidR="006A4109" w:rsidRPr="00664FF0" w:rsidRDefault="006A4109" w:rsidP="00E930B2">
            <w:pPr>
              <w:jc w:val="right"/>
              <w:rPr>
                <w:rFonts w:eastAsia="Times New Roman" w:cs="Arial"/>
                <w:sz w:val="16"/>
                <w:szCs w:val="16"/>
                <w:lang w:eastAsia="ca-ES"/>
              </w:rPr>
            </w:pPr>
            <w:r w:rsidRPr="00664FF0">
              <w:rPr>
                <w:rFonts w:eastAsia="Times New Roman" w:cs="Arial"/>
                <w:sz w:val="16"/>
                <w:szCs w:val="16"/>
                <w:lang w:eastAsia="ca-ES"/>
              </w:rPr>
              <w:t>79</w:t>
            </w:r>
          </w:p>
        </w:tc>
        <w:tc>
          <w:tcPr>
            <w:tcW w:w="488" w:type="pct"/>
            <w:tcBorders>
              <w:top w:val="single" w:sz="4" w:space="0" w:color="auto"/>
              <w:bottom w:val="single" w:sz="4" w:space="0" w:color="auto"/>
            </w:tcBorders>
            <w:shd w:val="clear" w:color="auto" w:fill="auto"/>
            <w:noWrap/>
            <w:vAlign w:val="bottom"/>
            <w:hideMark/>
          </w:tcPr>
          <w:p w:rsidR="006A4109" w:rsidRPr="00664FF0" w:rsidRDefault="006A4109" w:rsidP="00E930B2">
            <w:pPr>
              <w:jc w:val="right"/>
              <w:rPr>
                <w:rFonts w:eastAsia="Times New Roman" w:cs="Arial"/>
                <w:sz w:val="16"/>
                <w:szCs w:val="16"/>
                <w:lang w:eastAsia="ca-ES"/>
              </w:rPr>
            </w:pPr>
            <w:r w:rsidRPr="00664FF0">
              <w:rPr>
                <w:rFonts w:eastAsia="Times New Roman" w:cs="Arial"/>
                <w:sz w:val="16"/>
                <w:szCs w:val="16"/>
                <w:lang w:eastAsia="ca-ES"/>
              </w:rPr>
              <w:t>129</w:t>
            </w:r>
          </w:p>
        </w:tc>
        <w:tc>
          <w:tcPr>
            <w:tcW w:w="488" w:type="pct"/>
            <w:tcBorders>
              <w:top w:val="single" w:sz="4" w:space="0" w:color="auto"/>
              <w:bottom w:val="single" w:sz="4" w:space="0" w:color="auto"/>
            </w:tcBorders>
            <w:shd w:val="clear" w:color="auto" w:fill="auto"/>
            <w:noWrap/>
            <w:vAlign w:val="bottom"/>
            <w:hideMark/>
          </w:tcPr>
          <w:p w:rsidR="006A4109" w:rsidRPr="00664FF0" w:rsidRDefault="006A4109" w:rsidP="00E930B2">
            <w:pPr>
              <w:jc w:val="right"/>
              <w:rPr>
                <w:rFonts w:eastAsia="Times New Roman" w:cs="Arial"/>
                <w:sz w:val="16"/>
                <w:szCs w:val="16"/>
                <w:lang w:eastAsia="ca-ES"/>
              </w:rPr>
            </w:pPr>
            <w:r w:rsidRPr="00664FF0">
              <w:rPr>
                <w:rFonts w:eastAsia="Times New Roman" w:cs="Arial"/>
                <w:sz w:val="16"/>
                <w:szCs w:val="16"/>
                <w:lang w:eastAsia="ca-ES"/>
              </w:rPr>
              <w:t>117</w:t>
            </w:r>
          </w:p>
        </w:tc>
      </w:tr>
      <w:tr w:rsidR="006A4109" w:rsidRPr="00664FF0" w:rsidTr="007B2744">
        <w:trPr>
          <w:trHeight w:val="340"/>
        </w:trPr>
        <w:tc>
          <w:tcPr>
            <w:tcW w:w="2405" w:type="pct"/>
            <w:tcBorders>
              <w:top w:val="single" w:sz="4" w:space="0" w:color="auto"/>
              <w:bottom w:val="single" w:sz="4" w:space="0" w:color="auto"/>
            </w:tcBorders>
            <w:shd w:val="clear" w:color="auto" w:fill="auto"/>
            <w:vAlign w:val="center"/>
            <w:hideMark/>
          </w:tcPr>
          <w:p w:rsidR="006A4109" w:rsidRPr="00664FF0" w:rsidRDefault="006A4109" w:rsidP="00E930B2">
            <w:pPr>
              <w:rPr>
                <w:rFonts w:eastAsia="Times New Roman" w:cs="Arial"/>
                <w:sz w:val="16"/>
                <w:szCs w:val="16"/>
                <w:lang w:eastAsia="ca-ES"/>
              </w:rPr>
            </w:pPr>
            <w:r>
              <w:rPr>
                <w:rFonts w:eastAsia="Times New Roman" w:cs="Arial"/>
                <w:sz w:val="16"/>
                <w:szCs w:val="16"/>
                <w:lang w:eastAsia="ca-ES"/>
              </w:rPr>
              <w:t>Autoritzacions de t</w:t>
            </w:r>
            <w:r w:rsidRPr="00664FF0">
              <w:rPr>
                <w:rFonts w:eastAsia="Times New Roman" w:cs="Arial"/>
                <w:sz w:val="16"/>
                <w:szCs w:val="16"/>
                <w:lang w:eastAsia="ca-ES"/>
              </w:rPr>
              <w:t xml:space="preserve">reball per a </w:t>
            </w:r>
            <w:r>
              <w:rPr>
                <w:rFonts w:eastAsia="Times New Roman" w:cs="Arial"/>
                <w:sz w:val="16"/>
                <w:szCs w:val="16"/>
                <w:lang w:eastAsia="ca-ES"/>
              </w:rPr>
              <w:t>penats i r</w:t>
            </w:r>
            <w:r w:rsidRPr="00664FF0">
              <w:rPr>
                <w:rFonts w:eastAsia="Times New Roman" w:cs="Arial"/>
                <w:sz w:val="16"/>
                <w:szCs w:val="16"/>
                <w:lang w:eastAsia="ca-ES"/>
              </w:rPr>
              <w:t>enovacions</w:t>
            </w:r>
          </w:p>
        </w:tc>
        <w:tc>
          <w:tcPr>
            <w:tcW w:w="644" w:type="pct"/>
            <w:tcBorders>
              <w:top w:val="single" w:sz="4" w:space="0" w:color="auto"/>
              <w:bottom w:val="single" w:sz="4" w:space="0" w:color="auto"/>
            </w:tcBorders>
            <w:shd w:val="clear" w:color="auto" w:fill="auto"/>
            <w:noWrap/>
            <w:vAlign w:val="bottom"/>
            <w:hideMark/>
          </w:tcPr>
          <w:p w:rsidR="006A4109" w:rsidRPr="00664FF0" w:rsidRDefault="006A4109" w:rsidP="00E930B2">
            <w:pPr>
              <w:jc w:val="right"/>
              <w:rPr>
                <w:rFonts w:eastAsia="Times New Roman" w:cs="Arial"/>
                <w:sz w:val="16"/>
                <w:szCs w:val="16"/>
                <w:lang w:eastAsia="ca-ES"/>
              </w:rPr>
            </w:pPr>
            <w:r w:rsidRPr="00664FF0">
              <w:rPr>
                <w:rFonts w:eastAsia="Times New Roman" w:cs="Arial"/>
                <w:sz w:val="16"/>
                <w:szCs w:val="16"/>
                <w:lang w:eastAsia="ca-ES"/>
              </w:rPr>
              <w:t>58</w:t>
            </w:r>
          </w:p>
        </w:tc>
        <w:tc>
          <w:tcPr>
            <w:tcW w:w="488" w:type="pct"/>
            <w:tcBorders>
              <w:top w:val="single" w:sz="4" w:space="0" w:color="auto"/>
              <w:bottom w:val="single" w:sz="4" w:space="0" w:color="auto"/>
            </w:tcBorders>
            <w:shd w:val="clear" w:color="auto" w:fill="auto"/>
            <w:noWrap/>
            <w:vAlign w:val="bottom"/>
            <w:hideMark/>
          </w:tcPr>
          <w:p w:rsidR="006A4109" w:rsidRPr="00664FF0" w:rsidRDefault="006A4109" w:rsidP="00E930B2">
            <w:pPr>
              <w:jc w:val="right"/>
              <w:rPr>
                <w:rFonts w:eastAsia="Times New Roman" w:cs="Arial"/>
                <w:sz w:val="16"/>
                <w:szCs w:val="16"/>
                <w:lang w:eastAsia="ca-ES"/>
              </w:rPr>
            </w:pPr>
            <w:r w:rsidRPr="00664FF0">
              <w:rPr>
                <w:rFonts w:eastAsia="Times New Roman" w:cs="Arial"/>
                <w:sz w:val="16"/>
                <w:szCs w:val="16"/>
                <w:lang w:eastAsia="ca-ES"/>
              </w:rPr>
              <w:t>49</w:t>
            </w:r>
          </w:p>
        </w:tc>
        <w:tc>
          <w:tcPr>
            <w:tcW w:w="488" w:type="pct"/>
            <w:tcBorders>
              <w:top w:val="single" w:sz="4" w:space="0" w:color="auto"/>
              <w:bottom w:val="single" w:sz="4" w:space="0" w:color="auto"/>
            </w:tcBorders>
            <w:shd w:val="clear" w:color="auto" w:fill="auto"/>
            <w:noWrap/>
            <w:vAlign w:val="bottom"/>
            <w:hideMark/>
          </w:tcPr>
          <w:p w:rsidR="006A4109" w:rsidRPr="00664FF0" w:rsidRDefault="006A4109" w:rsidP="00E930B2">
            <w:pPr>
              <w:jc w:val="right"/>
              <w:rPr>
                <w:rFonts w:eastAsia="Times New Roman" w:cs="Arial"/>
                <w:sz w:val="16"/>
                <w:szCs w:val="16"/>
                <w:lang w:eastAsia="ca-ES"/>
              </w:rPr>
            </w:pPr>
            <w:r w:rsidRPr="00664FF0">
              <w:rPr>
                <w:rFonts w:eastAsia="Times New Roman" w:cs="Arial"/>
                <w:sz w:val="16"/>
                <w:szCs w:val="16"/>
                <w:lang w:eastAsia="ca-ES"/>
              </w:rPr>
              <w:t>47</w:t>
            </w:r>
          </w:p>
        </w:tc>
        <w:tc>
          <w:tcPr>
            <w:tcW w:w="488" w:type="pct"/>
            <w:tcBorders>
              <w:top w:val="single" w:sz="4" w:space="0" w:color="auto"/>
              <w:bottom w:val="single" w:sz="4" w:space="0" w:color="auto"/>
            </w:tcBorders>
            <w:shd w:val="clear" w:color="auto" w:fill="auto"/>
            <w:noWrap/>
            <w:vAlign w:val="bottom"/>
            <w:hideMark/>
          </w:tcPr>
          <w:p w:rsidR="006A4109" w:rsidRPr="00664FF0" w:rsidRDefault="006A4109" w:rsidP="00E930B2">
            <w:pPr>
              <w:jc w:val="right"/>
              <w:rPr>
                <w:rFonts w:eastAsia="Times New Roman" w:cs="Arial"/>
                <w:sz w:val="16"/>
                <w:szCs w:val="16"/>
                <w:lang w:eastAsia="ca-ES"/>
              </w:rPr>
            </w:pPr>
            <w:r w:rsidRPr="00664FF0">
              <w:rPr>
                <w:rFonts w:eastAsia="Times New Roman" w:cs="Arial"/>
                <w:sz w:val="16"/>
                <w:szCs w:val="16"/>
                <w:lang w:eastAsia="ca-ES"/>
              </w:rPr>
              <w:t>27</w:t>
            </w:r>
          </w:p>
        </w:tc>
        <w:tc>
          <w:tcPr>
            <w:tcW w:w="488" w:type="pct"/>
            <w:tcBorders>
              <w:top w:val="single" w:sz="4" w:space="0" w:color="auto"/>
              <w:bottom w:val="single" w:sz="4" w:space="0" w:color="auto"/>
            </w:tcBorders>
            <w:shd w:val="clear" w:color="auto" w:fill="auto"/>
            <w:noWrap/>
            <w:vAlign w:val="bottom"/>
            <w:hideMark/>
          </w:tcPr>
          <w:p w:rsidR="006A4109" w:rsidRPr="00664FF0" w:rsidRDefault="006A4109" w:rsidP="00E930B2">
            <w:pPr>
              <w:jc w:val="right"/>
              <w:rPr>
                <w:rFonts w:eastAsia="Times New Roman" w:cs="Arial"/>
                <w:sz w:val="16"/>
                <w:szCs w:val="16"/>
                <w:lang w:eastAsia="ca-ES"/>
              </w:rPr>
            </w:pPr>
            <w:r w:rsidRPr="00664FF0">
              <w:rPr>
                <w:rFonts w:eastAsia="Times New Roman" w:cs="Arial"/>
                <w:sz w:val="16"/>
                <w:szCs w:val="16"/>
                <w:lang w:eastAsia="ca-ES"/>
              </w:rPr>
              <w:t>44</w:t>
            </w:r>
          </w:p>
        </w:tc>
      </w:tr>
      <w:tr w:rsidR="006A4109" w:rsidRPr="00664FF0" w:rsidTr="007B2744">
        <w:trPr>
          <w:trHeight w:val="340"/>
        </w:trPr>
        <w:tc>
          <w:tcPr>
            <w:tcW w:w="2405" w:type="pct"/>
            <w:tcBorders>
              <w:top w:val="single" w:sz="4" w:space="0" w:color="auto"/>
              <w:bottom w:val="single" w:sz="12" w:space="0" w:color="auto"/>
            </w:tcBorders>
            <w:shd w:val="clear" w:color="auto" w:fill="auto"/>
            <w:vAlign w:val="center"/>
            <w:hideMark/>
          </w:tcPr>
          <w:p w:rsidR="006A4109" w:rsidRPr="00664FF0" w:rsidRDefault="006A4109" w:rsidP="00E930B2">
            <w:pPr>
              <w:rPr>
                <w:rFonts w:eastAsia="Times New Roman" w:cs="Arial"/>
                <w:sz w:val="16"/>
                <w:szCs w:val="16"/>
                <w:lang w:eastAsia="ca-ES"/>
              </w:rPr>
            </w:pPr>
            <w:r w:rsidRPr="00664FF0">
              <w:rPr>
                <w:rFonts w:eastAsia="Times New Roman" w:cs="Arial"/>
                <w:sz w:val="16"/>
                <w:szCs w:val="16"/>
                <w:lang w:eastAsia="ca-ES"/>
              </w:rPr>
              <w:t>Contractes derivats de la recerca activa dels usuaris</w:t>
            </w:r>
          </w:p>
        </w:tc>
        <w:tc>
          <w:tcPr>
            <w:tcW w:w="644" w:type="pct"/>
            <w:tcBorders>
              <w:top w:val="single" w:sz="4" w:space="0" w:color="auto"/>
              <w:bottom w:val="single" w:sz="12" w:space="0" w:color="auto"/>
            </w:tcBorders>
            <w:shd w:val="clear" w:color="auto" w:fill="auto"/>
            <w:noWrap/>
            <w:vAlign w:val="bottom"/>
            <w:hideMark/>
          </w:tcPr>
          <w:p w:rsidR="006A4109" w:rsidRPr="00664FF0" w:rsidRDefault="006A4109" w:rsidP="00E930B2">
            <w:pPr>
              <w:jc w:val="right"/>
              <w:rPr>
                <w:rFonts w:eastAsia="Times New Roman" w:cs="Arial"/>
                <w:sz w:val="16"/>
                <w:szCs w:val="16"/>
                <w:lang w:eastAsia="ca-ES"/>
              </w:rPr>
            </w:pPr>
            <w:r w:rsidRPr="00664FF0">
              <w:rPr>
                <w:rFonts w:eastAsia="Times New Roman" w:cs="Arial"/>
                <w:sz w:val="16"/>
                <w:szCs w:val="16"/>
                <w:lang w:eastAsia="ca-ES"/>
              </w:rPr>
              <w:t>245</w:t>
            </w:r>
          </w:p>
        </w:tc>
        <w:tc>
          <w:tcPr>
            <w:tcW w:w="488" w:type="pct"/>
            <w:tcBorders>
              <w:top w:val="single" w:sz="4" w:space="0" w:color="auto"/>
              <w:bottom w:val="single" w:sz="12" w:space="0" w:color="auto"/>
            </w:tcBorders>
            <w:shd w:val="clear" w:color="auto" w:fill="auto"/>
            <w:noWrap/>
            <w:vAlign w:val="bottom"/>
            <w:hideMark/>
          </w:tcPr>
          <w:p w:rsidR="006A4109" w:rsidRPr="00664FF0" w:rsidRDefault="006A4109" w:rsidP="00E930B2">
            <w:pPr>
              <w:jc w:val="right"/>
              <w:rPr>
                <w:rFonts w:eastAsia="Times New Roman" w:cs="Arial"/>
                <w:sz w:val="16"/>
                <w:szCs w:val="16"/>
                <w:lang w:eastAsia="ca-ES"/>
              </w:rPr>
            </w:pPr>
            <w:r w:rsidRPr="00664FF0">
              <w:rPr>
                <w:rFonts w:eastAsia="Times New Roman" w:cs="Arial"/>
                <w:sz w:val="16"/>
                <w:szCs w:val="16"/>
                <w:lang w:eastAsia="ca-ES"/>
              </w:rPr>
              <w:t>277</w:t>
            </w:r>
          </w:p>
        </w:tc>
        <w:tc>
          <w:tcPr>
            <w:tcW w:w="488" w:type="pct"/>
            <w:tcBorders>
              <w:top w:val="single" w:sz="4" w:space="0" w:color="auto"/>
              <w:bottom w:val="single" w:sz="12" w:space="0" w:color="auto"/>
            </w:tcBorders>
            <w:shd w:val="clear" w:color="auto" w:fill="auto"/>
            <w:noWrap/>
            <w:vAlign w:val="bottom"/>
            <w:hideMark/>
          </w:tcPr>
          <w:p w:rsidR="006A4109" w:rsidRPr="00664FF0" w:rsidRDefault="006A4109" w:rsidP="00E930B2">
            <w:pPr>
              <w:jc w:val="right"/>
              <w:rPr>
                <w:rFonts w:eastAsia="Times New Roman" w:cs="Arial"/>
                <w:sz w:val="16"/>
                <w:szCs w:val="16"/>
                <w:lang w:eastAsia="ca-ES"/>
              </w:rPr>
            </w:pPr>
            <w:r w:rsidRPr="00664FF0">
              <w:rPr>
                <w:rFonts w:eastAsia="Times New Roman" w:cs="Arial"/>
                <w:sz w:val="16"/>
                <w:szCs w:val="16"/>
                <w:lang w:eastAsia="ca-ES"/>
              </w:rPr>
              <w:t>347</w:t>
            </w:r>
          </w:p>
        </w:tc>
        <w:tc>
          <w:tcPr>
            <w:tcW w:w="488" w:type="pct"/>
            <w:tcBorders>
              <w:top w:val="single" w:sz="4" w:space="0" w:color="auto"/>
              <w:bottom w:val="single" w:sz="12" w:space="0" w:color="auto"/>
            </w:tcBorders>
            <w:shd w:val="clear" w:color="auto" w:fill="auto"/>
            <w:noWrap/>
            <w:vAlign w:val="bottom"/>
            <w:hideMark/>
          </w:tcPr>
          <w:p w:rsidR="006A4109" w:rsidRPr="00664FF0" w:rsidRDefault="006A4109" w:rsidP="00E930B2">
            <w:pPr>
              <w:jc w:val="right"/>
              <w:rPr>
                <w:rFonts w:eastAsia="Times New Roman" w:cs="Arial"/>
                <w:sz w:val="16"/>
                <w:szCs w:val="16"/>
                <w:lang w:eastAsia="ca-ES"/>
              </w:rPr>
            </w:pPr>
            <w:r w:rsidRPr="00664FF0">
              <w:rPr>
                <w:rFonts w:eastAsia="Times New Roman" w:cs="Arial"/>
                <w:sz w:val="16"/>
                <w:szCs w:val="16"/>
                <w:lang w:eastAsia="ca-ES"/>
              </w:rPr>
              <w:t>376</w:t>
            </w:r>
          </w:p>
        </w:tc>
        <w:tc>
          <w:tcPr>
            <w:tcW w:w="488" w:type="pct"/>
            <w:tcBorders>
              <w:top w:val="single" w:sz="4" w:space="0" w:color="auto"/>
              <w:bottom w:val="single" w:sz="12" w:space="0" w:color="auto"/>
            </w:tcBorders>
            <w:shd w:val="clear" w:color="auto" w:fill="auto"/>
            <w:noWrap/>
            <w:vAlign w:val="bottom"/>
            <w:hideMark/>
          </w:tcPr>
          <w:p w:rsidR="006A4109" w:rsidRPr="00664FF0" w:rsidRDefault="006A4109" w:rsidP="007B2744">
            <w:pPr>
              <w:keepNext/>
              <w:jc w:val="right"/>
              <w:rPr>
                <w:rFonts w:eastAsia="Times New Roman" w:cs="Arial"/>
                <w:sz w:val="16"/>
                <w:szCs w:val="16"/>
                <w:lang w:eastAsia="ca-ES"/>
              </w:rPr>
            </w:pPr>
            <w:r w:rsidRPr="00664FF0">
              <w:rPr>
                <w:rFonts w:eastAsia="Times New Roman" w:cs="Arial"/>
                <w:sz w:val="16"/>
                <w:szCs w:val="16"/>
                <w:lang w:eastAsia="ca-ES"/>
              </w:rPr>
              <w:t>426</w:t>
            </w:r>
          </w:p>
        </w:tc>
      </w:tr>
    </w:tbl>
    <w:p w:rsidR="006A4109" w:rsidRPr="007507A8" w:rsidRDefault="009A1F67" w:rsidP="007B2744">
      <w:pPr>
        <w:pStyle w:val="Llegenda"/>
        <w:jc w:val="center"/>
        <w:rPr>
          <w:rFonts w:cs="Arial"/>
        </w:rPr>
      </w:pPr>
      <w:bookmarkStart w:id="360" w:name="_Toc465293829"/>
      <w:r>
        <w:t>Gràfic</w:t>
      </w:r>
      <w:r w:rsidR="007B2744">
        <w:t xml:space="preserve"> </w:t>
      </w:r>
      <w:r w:rsidR="00DB496B">
        <w:fldChar w:fldCharType="begin"/>
      </w:r>
      <w:r w:rsidR="00DB496B">
        <w:instrText xml:space="preserve"> SEQ Il·lustració \* ARABIC </w:instrText>
      </w:r>
      <w:r w:rsidR="00DB496B">
        <w:fldChar w:fldCharType="separate"/>
      </w:r>
      <w:r w:rsidR="00C952DF">
        <w:rPr>
          <w:noProof/>
        </w:rPr>
        <w:t>23</w:t>
      </w:r>
      <w:r w:rsidR="00DB496B">
        <w:rPr>
          <w:noProof/>
        </w:rPr>
        <w:fldChar w:fldCharType="end"/>
      </w:r>
      <w:r w:rsidR="007B2744">
        <w:t xml:space="preserve">. </w:t>
      </w:r>
      <w:r w:rsidR="007B2744" w:rsidRPr="00C23A94">
        <w:t>Comparativa 2012-2013-2014-2015-2016 (fins a l’agost)</w:t>
      </w:r>
      <w:bookmarkEnd w:id="360"/>
    </w:p>
    <w:p w:rsidR="006A4109" w:rsidRPr="007507A8" w:rsidRDefault="006A4109" w:rsidP="00E930B2">
      <w:pPr>
        <w:rPr>
          <w:rFonts w:cs="Arial"/>
        </w:rPr>
      </w:pPr>
      <w:r w:rsidRPr="007507A8">
        <w:rPr>
          <w:rFonts w:cs="Arial"/>
        </w:rPr>
        <w:t>La pràctica quotidiana en aquest àmbit d’act</w:t>
      </w:r>
      <w:r>
        <w:rPr>
          <w:rFonts w:cs="Arial"/>
        </w:rPr>
        <w:t>uació ha posat en evidencia determinad</w:t>
      </w:r>
      <w:r w:rsidRPr="007507A8">
        <w:rPr>
          <w:rFonts w:cs="Arial"/>
        </w:rPr>
        <w:t xml:space="preserve">es contradiccions en algunes normes legals que operen en el sistema, </w:t>
      </w:r>
      <w:r>
        <w:rPr>
          <w:rFonts w:cs="Arial"/>
        </w:rPr>
        <w:t xml:space="preserve">cosa que </w:t>
      </w:r>
      <w:r w:rsidRPr="007507A8">
        <w:rPr>
          <w:rFonts w:cs="Arial"/>
        </w:rPr>
        <w:t>dificulta l’orientació i la coherència de l’activitat. En tot cas es tracta de normes de rang superior, la reforma de les quals podria partir de la</w:t>
      </w:r>
      <w:r>
        <w:rPr>
          <w:rFonts w:cs="Arial"/>
        </w:rPr>
        <w:t xml:space="preserve"> iniciativa del Departament de J</w:t>
      </w:r>
      <w:r w:rsidRPr="007507A8">
        <w:rPr>
          <w:rFonts w:cs="Arial"/>
        </w:rPr>
        <w:t>ustíci</w:t>
      </w:r>
      <w:r>
        <w:rPr>
          <w:rFonts w:cs="Arial"/>
        </w:rPr>
        <w:t>a.</w:t>
      </w:r>
    </w:p>
    <w:p w:rsidR="006A4109" w:rsidRPr="007507A8" w:rsidRDefault="006A4109" w:rsidP="00E930B2">
      <w:pPr>
        <w:rPr>
          <w:rFonts w:cs="Arial"/>
        </w:rPr>
      </w:pPr>
      <w:r w:rsidRPr="007507A8">
        <w:rPr>
          <w:rFonts w:cs="Arial"/>
        </w:rPr>
        <w:t>Ens referim bàsicament al sistema de prestacions d’atur per activitat professional, tant dins dels tallers de</w:t>
      </w:r>
      <w:r>
        <w:rPr>
          <w:rFonts w:cs="Arial"/>
        </w:rPr>
        <w:t>l</w:t>
      </w:r>
      <w:r w:rsidRPr="007507A8">
        <w:rPr>
          <w:rFonts w:cs="Arial"/>
        </w:rPr>
        <w:t xml:space="preserve"> CIRE com en el mercat laboral en semillibertat, en relació a</w:t>
      </w:r>
      <w:r>
        <w:rPr>
          <w:rFonts w:cs="Arial"/>
        </w:rPr>
        <w:t>mb e</w:t>
      </w:r>
      <w:r w:rsidRPr="007507A8">
        <w:rPr>
          <w:rFonts w:cs="Arial"/>
        </w:rPr>
        <w:t>l subsidi d’excarceració, donant-se el cas que en moltes situacions pot incentivar una actitud passiva en relació a</w:t>
      </w:r>
      <w:r>
        <w:rPr>
          <w:rFonts w:cs="Arial"/>
        </w:rPr>
        <w:t>mb</w:t>
      </w:r>
      <w:r w:rsidRPr="007507A8">
        <w:rPr>
          <w:rFonts w:cs="Arial"/>
        </w:rPr>
        <w:t xml:space="preserve"> la recerca de treball com a eina d’inserció, </w:t>
      </w:r>
      <w:r>
        <w:rPr>
          <w:rFonts w:cs="Arial"/>
        </w:rPr>
        <w:t>atès</w:t>
      </w:r>
      <w:r w:rsidRPr="007507A8">
        <w:rPr>
          <w:rFonts w:cs="Arial"/>
        </w:rPr>
        <w:t xml:space="preserve"> que el subsidi disposa d’una millor remuneraci</w:t>
      </w:r>
      <w:r>
        <w:rPr>
          <w:rFonts w:cs="Arial"/>
        </w:rPr>
        <w:t>ó i major període de gaudiment.</w:t>
      </w:r>
    </w:p>
    <w:p w:rsidR="006A4109" w:rsidRPr="007507A8" w:rsidRDefault="006A4109" w:rsidP="00E930B2">
      <w:pPr>
        <w:rPr>
          <w:rFonts w:cs="Arial"/>
        </w:rPr>
      </w:pPr>
      <w:r w:rsidRPr="007507A8">
        <w:rPr>
          <w:rFonts w:cs="Arial"/>
        </w:rPr>
        <w:t xml:space="preserve">En el mateix sentit, </w:t>
      </w:r>
      <w:r>
        <w:rPr>
          <w:rFonts w:cs="Arial"/>
        </w:rPr>
        <w:t xml:space="preserve">el </w:t>
      </w:r>
      <w:r w:rsidRPr="007507A8">
        <w:rPr>
          <w:rFonts w:cs="Arial"/>
        </w:rPr>
        <w:t>treball amb la po</w:t>
      </w:r>
      <w:r>
        <w:rPr>
          <w:rFonts w:cs="Arial"/>
        </w:rPr>
        <w:t>blació estrangera penada, que</w:t>
      </w:r>
      <w:r w:rsidRPr="007507A8">
        <w:rPr>
          <w:rFonts w:cs="Arial"/>
        </w:rPr>
        <w:t xml:space="preserve"> disposa d’una situació avantatjosa pe</w:t>
      </w:r>
      <w:r>
        <w:rPr>
          <w:rFonts w:cs="Arial"/>
        </w:rPr>
        <w:t>r a</w:t>
      </w:r>
      <w:r w:rsidRPr="007507A8">
        <w:rPr>
          <w:rFonts w:cs="Arial"/>
        </w:rPr>
        <w:t xml:space="preserve">ls interns condemnats </w:t>
      </w:r>
      <w:r>
        <w:rPr>
          <w:rFonts w:cs="Arial"/>
        </w:rPr>
        <w:t>en situació irregular fins a</w:t>
      </w:r>
      <w:r w:rsidRPr="007507A8">
        <w:rPr>
          <w:rFonts w:cs="Arial"/>
        </w:rPr>
        <w:t>l llicenciament definitiu i l’extinció de la condemna, mitjançant l’autorització de treball de penats (ATP). Situació excepcional en relació a</w:t>
      </w:r>
      <w:r>
        <w:rPr>
          <w:rFonts w:cs="Arial"/>
        </w:rPr>
        <w:t>mb</w:t>
      </w:r>
      <w:r w:rsidRPr="007507A8">
        <w:rPr>
          <w:rFonts w:cs="Arial"/>
        </w:rPr>
        <w:t xml:space="preserve"> la població estrangera irregular no condemnada, contrària als principis que orienten el marc legal sobre estrangeria i la Circular 1/2013 sobre estrangeria als centres penitenciaris, </w:t>
      </w:r>
      <w:r>
        <w:rPr>
          <w:rFonts w:cs="Arial"/>
        </w:rPr>
        <w:t>segons</w:t>
      </w:r>
      <w:r w:rsidRPr="007507A8">
        <w:rPr>
          <w:rFonts w:cs="Arial"/>
        </w:rPr>
        <w:t xml:space="preserve"> </w:t>
      </w:r>
      <w:r>
        <w:rPr>
          <w:rFonts w:cs="Arial"/>
        </w:rPr>
        <w:t>e</w:t>
      </w:r>
      <w:r w:rsidRPr="007507A8">
        <w:rPr>
          <w:rFonts w:cs="Arial"/>
        </w:rPr>
        <w:t>ls itineraris de regularització/reinserció i els itineraris de retorn.</w:t>
      </w:r>
    </w:p>
    <w:p w:rsidR="006A4109" w:rsidRPr="007507A8" w:rsidRDefault="006A4109" w:rsidP="00E930B2">
      <w:pPr>
        <w:rPr>
          <w:rFonts w:cs="Arial"/>
        </w:rPr>
      </w:pPr>
    </w:p>
    <w:p w:rsidR="006A4109" w:rsidRPr="00F02D52" w:rsidRDefault="006A4109" w:rsidP="002A7616">
      <w:pPr>
        <w:pStyle w:val="Ttol5"/>
      </w:pPr>
      <w:bookmarkStart w:id="361" w:name="_Toc463867808"/>
      <w:r w:rsidRPr="002A7616">
        <w:t>Serveis</w:t>
      </w:r>
      <w:r w:rsidRPr="00F02D52">
        <w:t xml:space="preserve"> d’ocupació</w:t>
      </w:r>
      <w:bookmarkEnd w:id="361"/>
    </w:p>
    <w:p w:rsidR="006A4109" w:rsidRPr="00F02D52" w:rsidRDefault="006A4109" w:rsidP="00E930B2">
      <w:pPr>
        <w:rPr>
          <w:rFonts w:cs="Arial"/>
          <w:u w:val="single"/>
        </w:rPr>
      </w:pPr>
    </w:p>
    <w:p w:rsidR="006A4109" w:rsidRPr="007507A8" w:rsidRDefault="006A4109" w:rsidP="00E930B2">
      <w:pPr>
        <w:rPr>
          <w:rFonts w:cs="Arial"/>
        </w:rPr>
      </w:pPr>
      <w:r w:rsidRPr="007507A8">
        <w:rPr>
          <w:rFonts w:cs="Arial"/>
        </w:rPr>
        <w:t>Respecte a l’ocupació, el treball penitenciari, activitat més antiga de</w:t>
      </w:r>
      <w:r>
        <w:rPr>
          <w:rFonts w:cs="Arial"/>
        </w:rPr>
        <w:t>l</w:t>
      </w:r>
      <w:r w:rsidRPr="007507A8">
        <w:rPr>
          <w:rFonts w:cs="Arial"/>
        </w:rPr>
        <w:t xml:space="preserve"> CIRE, es constitueix com un dret fonamental, especialment preuat per</w:t>
      </w:r>
      <w:r>
        <w:rPr>
          <w:rFonts w:cs="Arial"/>
        </w:rPr>
        <w:t xml:space="preserve"> a</w:t>
      </w:r>
      <w:r w:rsidRPr="007507A8">
        <w:rPr>
          <w:rFonts w:cs="Arial"/>
        </w:rPr>
        <w:t xml:space="preserve"> la població interna, i com un element essencial del conjunt del tractament penitenciari. El treball està íntimament relacionat </w:t>
      </w:r>
      <w:r>
        <w:rPr>
          <w:rFonts w:cs="Arial"/>
        </w:rPr>
        <w:t xml:space="preserve">amb </w:t>
      </w:r>
      <w:r w:rsidRPr="007507A8">
        <w:rPr>
          <w:rFonts w:cs="Arial"/>
        </w:rPr>
        <w:t>altres àrees educatives, de tractament i de desenvolupament personal formant part ess</w:t>
      </w:r>
      <w:r>
        <w:rPr>
          <w:rFonts w:cs="Arial"/>
        </w:rPr>
        <w:t>encial del model d’intervenció.</w:t>
      </w:r>
    </w:p>
    <w:p w:rsidR="006A4109" w:rsidRPr="007507A8" w:rsidRDefault="006A4109" w:rsidP="00E930B2">
      <w:pPr>
        <w:rPr>
          <w:rFonts w:cs="Arial"/>
        </w:rPr>
      </w:pPr>
      <w:r w:rsidRPr="007507A8">
        <w:rPr>
          <w:rFonts w:cs="Arial"/>
        </w:rPr>
        <w:t>A banda dels principals beneficis associats a factors socialitzadors, de creixement i autonomia personal, de coneixement i adquisició d’hàbits, actua també com a variable pacificadora del clima ambiental, així com redueix els costos socials i econòmics de l’internament.</w:t>
      </w:r>
    </w:p>
    <w:p w:rsidR="007B2744" w:rsidRDefault="006A4109" w:rsidP="007B2744">
      <w:pPr>
        <w:keepNext/>
      </w:pPr>
      <w:r w:rsidRPr="007507A8">
        <w:rPr>
          <w:rFonts w:eastAsiaTheme="minorEastAsia" w:cs="Arial"/>
          <w:noProof/>
          <w:lang w:eastAsia="ca-ES"/>
        </w:rPr>
        <w:lastRenderedPageBreak/>
        <w:drawing>
          <wp:inline distT="0" distB="0" distL="0" distR="0" wp14:anchorId="0DDCFE21" wp14:editId="720DF01B">
            <wp:extent cx="5760085" cy="1890395"/>
            <wp:effectExtent l="0" t="0" r="0" b="0"/>
            <wp:docPr id="16" name="Gràfic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6A4109" w:rsidRPr="007507A8" w:rsidRDefault="009A1F67" w:rsidP="007B2744">
      <w:pPr>
        <w:pStyle w:val="Llegenda"/>
        <w:jc w:val="center"/>
        <w:rPr>
          <w:rFonts w:cs="Arial"/>
        </w:rPr>
      </w:pPr>
      <w:bookmarkStart w:id="362" w:name="_Toc465293830"/>
      <w:r>
        <w:t>Gràfic</w:t>
      </w:r>
      <w:r w:rsidR="007B2744">
        <w:t xml:space="preserve"> </w:t>
      </w:r>
      <w:r w:rsidR="00DB496B">
        <w:fldChar w:fldCharType="begin"/>
      </w:r>
      <w:r w:rsidR="00DB496B">
        <w:instrText xml:space="preserve"> SEQ I</w:instrText>
      </w:r>
      <w:r w:rsidR="00DB496B">
        <w:instrText xml:space="preserve">l·lustració \* ARABIC </w:instrText>
      </w:r>
      <w:r w:rsidR="00DB496B">
        <w:fldChar w:fldCharType="separate"/>
      </w:r>
      <w:r w:rsidR="00C952DF">
        <w:rPr>
          <w:noProof/>
        </w:rPr>
        <w:t>24</w:t>
      </w:r>
      <w:r w:rsidR="00DB496B">
        <w:rPr>
          <w:noProof/>
        </w:rPr>
        <w:fldChar w:fldCharType="end"/>
      </w:r>
      <w:r w:rsidR="007B2744">
        <w:t>. Evolució de les persones ocupades pel CIRE</w:t>
      </w:r>
      <w:bookmarkEnd w:id="362"/>
    </w:p>
    <w:p w:rsidR="006A4109" w:rsidRPr="007507A8" w:rsidRDefault="006A4109" w:rsidP="00E930B2">
      <w:pPr>
        <w:rPr>
          <w:rFonts w:cs="Arial"/>
        </w:rPr>
      </w:pPr>
      <w:r w:rsidRPr="007507A8">
        <w:rPr>
          <w:rFonts w:cs="Arial"/>
        </w:rPr>
        <w:t xml:space="preserve">El CIRE, pel que fa al treball penitenciari, desenvolupa tallers orientats a la producció (essencialment, tallers de confecció, fusteria, serralleria, muntatge, etc.), mitjançant els tallers productius distribuïts per tots els centres penitenciaris. </w:t>
      </w:r>
      <w:r>
        <w:rPr>
          <w:rFonts w:cs="Arial"/>
        </w:rPr>
        <w:t>Cal d</w:t>
      </w:r>
      <w:r w:rsidRPr="007507A8">
        <w:rPr>
          <w:rFonts w:cs="Arial"/>
        </w:rPr>
        <w:t>estacar la singularitat del taller exterior de Raimat on es desplacen interns en sem</w:t>
      </w:r>
      <w:r>
        <w:rPr>
          <w:rFonts w:cs="Arial"/>
        </w:rPr>
        <w:t>illibertat.</w:t>
      </w:r>
    </w:p>
    <w:p w:rsidR="006A4109" w:rsidRPr="007507A8" w:rsidRDefault="006A4109" w:rsidP="00E930B2">
      <w:pPr>
        <w:rPr>
          <w:rFonts w:cs="Arial"/>
        </w:rPr>
      </w:pPr>
      <w:r>
        <w:rPr>
          <w:rFonts w:cs="Arial"/>
        </w:rPr>
        <w:t>En aquest taller</w:t>
      </w:r>
      <w:r w:rsidRPr="007507A8">
        <w:rPr>
          <w:rFonts w:cs="Arial"/>
        </w:rPr>
        <w:t xml:space="preserve"> es </w:t>
      </w:r>
      <w:r>
        <w:rPr>
          <w:rFonts w:cs="Arial"/>
        </w:rPr>
        <w:t>fa</w:t>
      </w:r>
      <w:r w:rsidRPr="007507A8">
        <w:rPr>
          <w:rFonts w:cs="Arial"/>
        </w:rPr>
        <w:t xml:space="preserve"> producció pròpia i producció per encàrrec </w:t>
      </w:r>
      <w:r>
        <w:rPr>
          <w:rFonts w:cs="Arial"/>
        </w:rPr>
        <w:t>destinades</w:t>
      </w:r>
      <w:r w:rsidRPr="007507A8">
        <w:rPr>
          <w:rFonts w:cs="Arial"/>
        </w:rPr>
        <w:t xml:space="preserve"> </w:t>
      </w:r>
      <w:r>
        <w:rPr>
          <w:rFonts w:cs="Arial"/>
        </w:rPr>
        <w:t xml:space="preserve">a </w:t>
      </w:r>
      <w:r w:rsidRPr="007507A8">
        <w:rPr>
          <w:rFonts w:cs="Arial"/>
        </w:rPr>
        <w:t>empreses i adminis</w:t>
      </w:r>
      <w:r>
        <w:rPr>
          <w:rFonts w:cs="Arial"/>
        </w:rPr>
        <w:t>tracions públiques i privades.</w:t>
      </w:r>
    </w:p>
    <w:p w:rsidR="006A4109" w:rsidRPr="007507A8" w:rsidRDefault="006A4109" w:rsidP="00E930B2">
      <w:pPr>
        <w:rPr>
          <w:rFonts w:cs="Arial"/>
        </w:rPr>
      </w:pPr>
      <w:r w:rsidRPr="007507A8">
        <w:rPr>
          <w:rFonts w:cs="Arial"/>
        </w:rPr>
        <w:t xml:space="preserve">Durant els últims anys, </w:t>
      </w:r>
      <w:r>
        <w:rPr>
          <w:rFonts w:cs="Arial"/>
        </w:rPr>
        <w:t xml:space="preserve">el </w:t>
      </w:r>
      <w:r w:rsidRPr="007507A8">
        <w:rPr>
          <w:rFonts w:cs="Arial"/>
        </w:rPr>
        <w:t>CIRE ha aposta</w:t>
      </w:r>
      <w:r>
        <w:rPr>
          <w:rFonts w:cs="Arial"/>
        </w:rPr>
        <w:t>t</w:t>
      </w:r>
      <w:r w:rsidRPr="007507A8">
        <w:rPr>
          <w:rFonts w:cs="Arial"/>
        </w:rPr>
        <w:t xml:space="preserve"> per la qualitat, </w:t>
      </w:r>
      <w:r>
        <w:rPr>
          <w:rFonts w:cs="Arial"/>
        </w:rPr>
        <w:t>per aquest  motiu, d</w:t>
      </w:r>
      <w:r w:rsidRPr="007507A8">
        <w:rPr>
          <w:rFonts w:cs="Arial"/>
        </w:rPr>
        <w:t>es del 2004 es crea la marca Made in CIRE, per donar valor afegit i prestigi als productes, i des de l’any 2009 es disposa de la certificació ISO 9001:2008 en diferents tallers.</w:t>
      </w:r>
    </w:p>
    <w:tbl>
      <w:tblPr>
        <w:tblStyle w:val="Taulaambquadrcula"/>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6"/>
        <w:gridCol w:w="4533"/>
      </w:tblGrid>
      <w:tr w:rsidR="006A4109" w:rsidRPr="00F02D52" w:rsidTr="00E930B2">
        <w:tc>
          <w:tcPr>
            <w:tcW w:w="4497" w:type="dxa"/>
          </w:tcPr>
          <w:p w:rsidR="006A4109" w:rsidRPr="00F02D52" w:rsidRDefault="006A4109" w:rsidP="00E930B2">
            <w:pPr>
              <w:rPr>
                <w:rFonts w:cs="Arial"/>
                <w:u w:val="single"/>
              </w:rPr>
            </w:pPr>
            <w:r w:rsidRPr="00F02D52">
              <w:rPr>
                <w:rFonts w:cs="Arial"/>
                <w:noProof/>
                <w:u w:val="single"/>
                <w:lang w:eastAsia="ca-ES"/>
              </w:rPr>
              <w:drawing>
                <wp:inline distT="0" distB="0" distL="0" distR="0" wp14:anchorId="55E72C08" wp14:editId="20910EE4">
                  <wp:extent cx="2877820" cy="1981200"/>
                  <wp:effectExtent l="0" t="0" r="0" b="0"/>
                  <wp:docPr id="18" name="Imat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77820" cy="1981200"/>
                          </a:xfrm>
                          <a:prstGeom prst="rect">
                            <a:avLst/>
                          </a:prstGeom>
                          <a:noFill/>
                        </pic:spPr>
                      </pic:pic>
                    </a:graphicData>
                  </a:graphic>
                </wp:inline>
              </w:drawing>
            </w:r>
          </w:p>
        </w:tc>
        <w:tc>
          <w:tcPr>
            <w:tcW w:w="4606" w:type="dxa"/>
          </w:tcPr>
          <w:p w:rsidR="006A4109" w:rsidRPr="00F02D52" w:rsidRDefault="006A4109" w:rsidP="00E930B2">
            <w:pPr>
              <w:rPr>
                <w:rFonts w:cs="Arial"/>
                <w:u w:val="single"/>
              </w:rPr>
            </w:pPr>
            <w:r w:rsidRPr="00F02D52">
              <w:rPr>
                <w:rFonts w:cs="Arial"/>
                <w:noProof/>
                <w:u w:val="single"/>
                <w:lang w:eastAsia="ca-ES"/>
              </w:rPr>
              <w:drawing>
                <wp:inline distT="0" distB="0" distL="0" distR="0" wp14:anchorId="77F50E73" wp14:editId="0F3858E0">
                  <wp:extent cx="2804160" cy="1981200"/>
                  <wp:effectExtent l="0" t="0" r="0" b="0"/>
                  <wp:docPr id="19" name="Imat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804160" cy="1981200"/>
                          </a:xfrm>
                          <a:prstGeom prst="rect">
                            <a:avLst/>
                          </a:prstGeom>
                          <a:noFill/>
                        </pic:spPr>
                      </pic:pic>
                    </a:graphicData>
                  </a:graphic>
                </wp:inline>
              </w:drawing>
            </w:r>
          </w:p>
        </w:tc>
      </w:tr>
    </w:tbl>
    <w:p w:rsidR="006A4109" w:rsidRPr="007507A8" w:rsidRDefault="006A4109" w:rsidP="00E930B2">
      <w:pPr>
        <w:rPr>
          <w:rFonts w:cs="Arial"/>
        </w:rPr>
      </w:pPr>
      <w:r w:rsidRPr="007507A8">
        <w:rPr>
          <w:rFonts w:cs="Arial"/>
        </w:rPr>
        <w:t>A partir de les novetats que introdueix el nou Reglament d’organització i funcionament dels serveis d’execució penal a Catalunya, l’any 2008 es produeix un salt qualitatiu en la creació de llocs de treball i en la projecció de la competitivitat de</w:t>
      </w:r>
      <w:r>
        <w:rPr>
          <w:rFonts w:cs="Arial"/>
        </w:rPr>
        <w:t>l</w:t>
      </w:r>
      <w:r w:rsidRPr="007507A8">
        <w:rPr>
          <w:rFonts w:cs="Arial"/>
        </w:rPr>
        <w:t xml:space="preserve"> CIRE, </w:t>
      </w:r>
      <w:r>
        <w:rPr>
          <w:rFonts w:cs="Arial"/>
        </w:rPr>
        <w:t xml:space="preserve">en </w:t>
      </w:r>
      <w:r w:rsidRPr="007507A8">
        <w:rPr>
          <w:rFonts w:cs="Arial"/>
        </w:rPr>
        <w:t xml:space="preserve">oferir-se com a proveïdor de serveis del </w:t>
      </w:r>
      <w:r>
        <w:rPr>
          <w:rFonts w:cs="Arial"/>
        </w:rPr>
        <w:t>mateix</w:t>
      </w:r>
      <w:r w:rsidRPr="007507A8">
        <w:rPr>
          <w:rFonts w:cs="Arial"/>
        </w:rPr>
        <w:t xml:space="preserve"> sistema penitenciari, abans gestionats per empreses privades especialitzades en cada sector. Ens referim als serveis de cuina, cafeteries, botiga/vend</w:t>
      </w:r>
      <w:r>
        <w:rPr>
          <w:rFonts w:cs="Arial"/>
        </w:rPr>
        <w:t>a automàtica</w:t>
      </w:r>
      <w:r w:rsidRPr="007507A8">
        <w:rPr>
          <w:rFonts w:cs="Arial"/>
        </w:rPr>
        <w:t>,</w:t>
      </w:r>
      <w:r>
        <w:rPr>
          <w:rFonts w:cs="Arial"/>
        </w:rPr>
        <w:t xml:space="preserve"> </w:t>
      </w:r>
      <w:r w:rsidRPr="007507A8">
        <w:rPr>
          <w:rFonts w:cs="Arial"/>
        </w:rPr>
        <w:t>bugaderia, etc.</w:t>
      </w:r>
      <w:r>
        <w:rPr>
          <w:rFonts w:cs="Arial"/>
        </w:rPr>
        <w:t xml:space="preserve"> </w:t>
      </w:r>
      <w:r w:rsidRPr="007507A8">
        <w:rPr>
          <w:rFonts w:cs="Arial"/>
        </w:rPr>
        <w:t>Aquest procés s’ha anat incrementat progressivament d’acord amb l’impacte que produïa dins l’organització i amb la capacit</w:t>
      </w:r>
      <w:r>
        <w:rPr>
          <w:rFonts w:cs="Arial"/>
        </w:rPr>
        <w:t xml:space="preserve">ació especialitzada (saber fer o </w:t>
      </w:r>
      <w:r>
        <w:rPr>
          <w:rFonts w:cs="Arial"/>
          <w:i/>
        </w:rPr>
        <w:t>k</w:t>
      </w:r>
      <w:r w:rsidRPr="00B43D6C">
        <w:rPr>
          <w:rFonts w:cs="Arial"/>
          <w:i/>
        </w:rPr>
        <w:t>now</w:t>
      </w:r>
      <w:r>
        <w:rPr>
          <w:rFonts w:cs="Arial"/>
          <w:i/>
        </w:rPr>
        <w:t>-</w:t>
      </w:r>
      <w:r w:rsidRPr="00B43D6C">
        <w:rPr>
          <w:rFonts w:cs="Arial"/>
          <w:i/>
        </w:rPr>
        <w:t>how</w:t>
      </w:r>
      <w:r>
        <w:rPr>
          <w:rFonts w:cs="Arial"/>
        </w:rPr>
        <w:t>).</w:t>
      </w:r>
    </w:p>
    <w:p w:rsidR="006A4109" w:rsidRPr="007507A8" w:rsidRDefault="006A4109" w:rsidP="00E930B2">
      <w:pPr>
        <w:rPr>
          <w:rFonts w:cs="Arial"/>
        </w:rPr>
      </w:pPr>
      <w:r w:rsidRPr="007507A8">
        <w:rPr>
          <w:rFonts w:cs="Arial"/>
        </w:rPr>
        <w:t xml:space="preserve">Un efecte </w:t>
      </w:r>
      <w:r>
        <w:rPr>
          <w:rFonts w:cs="Arial"/>
        </w:rPr>
        <w:t>colateral en delegar al CIRE</w:t>
      </w:r>
      <w:r w:rsidRPr="007507A8">
        <w:rPr>
          <w:rFonts w:cs="Arial"/>
        </w:rPr>
        <w:t xml:space="preserve"> l’execució d’aquests serveis principals en el funcionament ordinari dels centres penitenciaris, consisteix en una constant supervisió crítica i alt nivell d’exigència per part de la població interna, en complicitat, en moltes ocasions, dels funcionaris i comandaments intermedis, la qual cosa afecta a la seva imatge corporativa, i per desconeixement a una avaluació injusta i poc</w:t>
      </w:r>
      <w:r>
        <w:rPr>
          <w:rFonts w:cs="Arial"/>
        </w:rPr>
        <w:t xml:space="preserve"> valorada de la seva activitat.</w:t>
      </w:r>
    </w:p>
    <w:p w:rsidR="006A4109" w:rsidRPr="007507A8" w:rsidRDefault="006A4109" w:rsidP="00E930B2">
      <w:pPr>
        <w:rPr>
          <w:rFonts w:cs="Arial"/>
        </w:rPr>
      </w:pPr>
      <w:r w:rsidRPr="007507A8">
        <w:rPr>
          <w:rFonts w:cs="Arial"/>
        </w:rPr>
        <w:t>També els serveis auxiliars ordinaris de funcionament general del centre i dels mòduls, anteriorment denominats com a destin</w:t>
      </w:r>
      <w:r>
        <w:rPr>
          <w:rFonts w:cs="Arial"/>
        </w:rPr>
        <w:t>acion</w:t>
      </w:r>
      <w:r w:rsidRPr="007507A8">
        <w:rPr>
          <w:rFonts w:cs="Arial"/>
        </w:rPr>
        <w:t>s, han estat regularitzats accedint a la definici</w:t>
      </w:r>
      <w:r>
        <w:rPr>
          <w:rFonts w:cs="Arial"/>
        </w:rPr>
        <w:t xml:space="preserve">ó </w:t>
      </w:r>
      <w:r>
        <w:rPr>
          <w:rFonts w:cs="Arial"/>
        </w:rPr>
        <w:lastRenderedPageBreak/>
        <w:t>d’un catàleg, a la retribució</w:t>
      </w:r>
      <w:r w:rsidRPr="007507A8">
        <w:rPr>
          <w:rFonts w:cs="Arial"/>
        </w:rPr>
        <w:t xml:space="preserve">, cotització a la </w:t>
      </w:r>
      <w:r>
        <w:rPr>
          <w:rFonts w:cs="Arial"/>
        </w:rPr>
        <w:t>S</w:t>
      </w:r>
      <w:r w:rsidRPr="007507A8">
        <w:rPr>
          <w:rFonts w:cs="Arial"/>
        </w:rPr>
        <w:t>eguretat Social, amb formació i aplicació de la normativa vigent en matèria de ri</w:t>
      </w:r>
      <w:r>
        <w:rPr>
          <w:rFonts w:cs="Arial"/>
        </w:rPr>
        <w:t>scos laborals.</w:t>
      </w:r>
    </w:p>
    <w:p w:rsidR="006A4109" w:rsidRPr="00664FF0" w:rsidRDefault="006A4109" w:rsidP="00E930B2">
      <w:pPr>
        <w:rPr>
          <w:rFonts w:cs="Arial"/>
        </w:rPr>
      </w:pPr>
      <w:r>
        <w:rPr>
          <w:rFonts w:cs="Arial"/>
        </w:rPr>
        <w:t xml:space="preserve">El </w:t>
      </w:r>
      <w:r w:rsidRPr="007507A8">
        <w:rPr>
          <w:rFonts w:cs="Arial"/>
        </w:rPr>
        <w:t>desplegament de compet</w:t>
      </w:r>
      <w:r>
        <w:rPr>
          <w:rFonts w:cs="Arial"/>
        </w:rPr>
        <w:t>ències i activitat contribueix</w:t>
      </w:r>
      <w:r w:rsidRPr="007507A8">
        <w:rPr>
          <w:rFonts w:cs="Arial"/>
        </w:rPr>
        <w:t xml:space="preserve"> </w:t>
      </w:r>
      <w:r>
        <w:rPr>
          <w:rFonts w:cs="Arial"/>
        </w:rPr>
        <w:t xml:space="preserve">a l’increment dels </w:t>
      </w:r>
      <w:r w:rsidRPr="007507A8">
        <w:rPr>
          <w:rFonts w:cs="Arial"/>
        </w:rPr>
        <w:t xml:space="preserve">llocs </w:t>
      </w:r>
      <w:r>
        <w:rPr>
          <w:rFonts w:cs="Arial"/>
        </w:rPr>
        <w:t>i oferta laboral qualificada</w:t>
      </w:r>
    </w:p>
    <w:tbl>
      <w:tblPr>
        <w:tblW w:w="9033" w:type="dxa"/>
        <w:tblInd w:w="55" w:type="dxa"/>
        <w:tblLayout w:type="fixed"/>
        <w:tblCellMar>
          <w:left w:w="70" w:type="dxa"/>
          <w:right w:w="70" w:type="dxa"/>
        </w:tblCellMar>
        <w:tblLook w:val="04A0" w:firstRow="1" w:lastRow="0" w:firstColumn="1" w:lastColumn="0" w:noHBand="0" w:noVBand="1"/>
      </w:tblPr>
      <w:tblGrid>
        <w:gridCol w:w="1433"/>
        <w:gridCol w:w="542"/>
        <w:gridCol w:w="543"/>
        <w:gridCol w:w="543"/>
        <w:gridCol w:w="543"/>
        <w:gridCol w:w="543"/>
        <w:gridCol w:w="543"/>
        <w:gridCol w:w="543"/>
        <w:gridCol w:w="542"/>
        <w:gridCol w:w="543"/>
        <w:gridCol w:w="543"/>
        <w:gridCol w:w="543"/>
        <w:gridCol w:w="543"/>
        <w:gridCol w:w="543"/>
        <w:gridCol w:w="543"/>
      </w:tblGrid>
      <w:tr w:rsidR="006A4109" w:rsidRPr="00664FF0" w:rsidTr="00E930B2">
        <w:trPr>
          <w:trHeight w:val="20"/>
        </w:trPr>
        <w:tc>
          <w:tcPr>
            <w:tcW w:w="1433" w:type="dxa"/>
            <w:tcBorders>
              <w:bottom w:val="single" w:sz="12" w:space="0" w:color="auto"/>
            </w:tcBorders>
            <w:shd w:val="clear" w:color="auto" w:fill="D9D9D9" w:themeFill="background1" w:themeFillShade="D9"/>
            <w:vAlign w:val="center"/>
            <w:hideMark/>
          </w:tcPr>
          <w:p w:rsidR="006A4109" w:rsidRPr="00664FF0" w:rsidRDefault="006A4109" w:rsidP="00E930B2">
            <w:pPr>
              <w:rPr>
                <w:rFonts w:eastAsia="Times New Roman" w:cs="Arial"/>
                <w:b/>
                <w:color w:val="000000"/>
                <w:sz w:val="16"/>
                <w:szCs w:val="16"/>
                <w:lang w:eastAsia="ca-ES"/>
              </w:rPr>
            </w:pPr>
          </w:p>
        </w:tc>
        <w:tc>
          <w:tcPr>
            <w:tcW w:w="542" w:type="dxa"/>
            <w:tcBorders>
              <w:bottom w:val="single" w:sz="12" w:space="0" w:color="auto"/>
            </w:tcBorders>
            <w:shd w:val="clear" w:color="auto" w:fill="D9D9D9" w:themeFill="background1" w:themeFillShade="D9"/>
            <w:vAlign w:val="center"/>
            <w:hideMark/>
          </w:tcPr>
          <w:p w:rsidR="006A4109" w:rsidRPr="00664FF0" w:rsidRDefault="006A4109" w:rsidP="00E930B2">
            <w:pPr>
              <w:rPr>
                <w:rFonts w:eastAsia="Times New Roman" w:cs="Arial"/>
                <w:b/>
                <w:color w:val="000000"/>
                <w:sz w:val="16"/>
                <w:szCs w:val="16"/>
                <w:lang w:eastAsia="ca-ES"/>
              </w:rPr>
            </w:pPr>
            <w:r w:rsidRPr="00664FF0">
              <w:rPr>
                <w:rFonts w:eastAsia="Times New Roman" w:cs="Arial"/>
                <w:b/>
                <w:color w:val="000000"/>
                <w:sz w:val="16"/>
                <w:szCs w:val="16"/>
                <w:lang w:eastAsia="ca-ES"/>
              </w:rPr>
              <w:t>CP Homes</w:t>
            </w:r>
          </w:p>
        </w:tc>
        <w:tc>
          <w:tcPr>
            <w:tcW w:w="543" w:type="dxa"/>
            <w:tcBorders>
              <w:bottom w:val="single" w:sz="12" w:space="0" w:color="auto"/>
            </w:tcBorders>
            <w:shd w:val="clear" w:color="auto" w:fill="D9D9D9" w:themeFill="background1" w:themeFillShade="D9"/>
            <w:vAlign w:val="center"/>
            <w:hideMark/>
          </w:tcPr>
          <w:p w:rsidR="006A4109" w:rsidRPr="00664FF0" w:rsidRDefault="006A4109" w:rsidP="00E930B2">
            <w:pPr>
              <w:rPr>
                <w:rFonts w:eastAsia="Times New Roman" w:cs="Arial"/>
                <w:b/>
                <w:color w:val="000000"/>
                <w:sz w:val="16"/>
                <w:szCs w:val="16"/>
                <w:lang w:eastAsia="ca-ES"/>
              </w:rPr>
            </w:pPr>
            <w:r w:rsidRPr="00664FF0">
              <w:rPr>
                <w:rFonts w:eastAsia="Times New Roman" w:cs="Arial"/>
                <w:b/>
                <w:color w:val="000000"/>
                <w:sz w:val="16"/>
                <w:szCs w:val="16"/>
                <w:lang w:eastAsia="ca-ES"/>
              </w:rPr>
              <w:t>CP Dones</w:t>
            </w:r>
          </w:p>
        </w:tc>
        <w:tc>
          <w:tcPr>
            <w:tcW w:w="543" w:type="dxa"/>
            <w:tcBorders>
              <w:bottom w:val="single" w:sz="12" w:space="0" w:color="auto"/>
            </w:tcBorders>
            <w:shd w:val="clear" w:color="auto" w:fill="D9D9D9" w:themeFill="background1" w:themeFillShade="D9"/>
            <w:vAlign w:val="center"/>
            <w:hideMark/>
          </w:tcPr>
          <w:p w:rsidR="006A4109" w:rsidRPr="00664FF0" w:rsidRDefault="006A4109" w:rsidP="00E930B2">
            <w:pPr>
              <w:rPr>
                <w:rFonts w:eastAsia="Times New Roman" w:cs="Arial"/>
                <w:b/>
                <w:color w:val="000000"/>
                <w:sz w:val="16"/>
                <w:szCs w:val="16"/>
                <w:lang w:eastAsia="ca-ES"/>
              </w:rPr>
            </w:pPr>
            <w:r w:rsidRPr="00664FF0">
              <w:rPr>
                <w:rFonts w:eastAsia="Times New Roman" w:cs="Arial"/>
                <w:b/>
                <w:color w:val="000000"/>
                <w:sz w:val="16"/>
                <w:szCs w:val="16"/>
                <w:lang w:eastAsia="ca-ES"/>
              </w:rPr>
              <w:t>CP Joves QC</w:t>
            </w:r>
          </w:p>
        </w:tc>
        <w:tc>
          <w:tcPr>
            <w:tcW w:w="543" w:type="dxa"/>
            <w:tcBorders>
              <w:bottom w:val="single" w:sz="12" w:space="0" w:color="auto"/>
            </w:tcBorders>
            <w:shd w:val="clear" w:color="auto" w:fill="D9D9D9" w:themeFill="background1" w:themeFillShade="D9"/>
            <w:vAlign w:val="center"/>
            <w:hideMark/>
          </w:tcPr>
          <w:p w:rsidR="006A4109" w:rsidRPr="00664FF0" w:rsidRDefault="006A4109" w:rsidP="00E930B2">
            <w:pPr>
              <w:rPr>
                <w:rFonts w:eastAsia="Times New Roman" w:cs="Arial"/>
                <w:b/>
                <w:color w:val="000000"/>
                <w:sz w:val="16"/>
                <w:szCs w:val="16"/>
                <w:lang w:eastAsia="ca-ES"/>
              </w:rPr>
            </w:pPr>
            <w:r w:rsidRPr="00664FF0">
              <w:rPr>
                <w:rFonts w:eastAsia="Times New Roman" w:cs="Arial"/>
                <w:b/>
                <w:color w:val="000000"/>
                <w:sz w:val="16"/>
                <w:szCs w:val="16"/>
                <w:lang w:eastAsia="ca-ES"/>
              </w:rPr>
              <w:t>CP Quatre Camins</w:t>
            </w:r>
          </w:p>
        </w:tc>
        <w:tc>
          <w:tcPr>
            <w:tcW w:w="543" w:type="dxa"/>
            <w:tcBorders>
              <w:bottom w:val="single" w:sz="12" w:space="0" w:color="auto"/>
            </w:tcBorders>
            <w:shd w:val="clear" w:color="auto" w:fill="D9D9D9" w:themeFill="background1" w:themeFillShade="D9"/>
            <w:vAlign w:val="center"/>
            <w:hideMark/>
          </w:tcPr>
          <w:p w:rsidR="006A4109" w:rsidRPr="00664FF0" w:rsidRDefault="006A4109" w:rsidP="00E930B2">
            <w:pPr>
              <w:rPr>
                <w:rFonts w:eastAsia="Times New Roman" w:cs="Arial"/>
                <w:b/>
                <w:color w:val="000000"/>
                <w:sz w:val="16"/>
                <w:szCs w:val="16"/>
                <w:lang w:eastAsia="ca-ES"/>
              </w:rPr>
            </w:pPr>
            <w:r w:rsidRPr="00664FF0">
              <w:rPr>
                <w:rFonts w:eastAsia="Times New Roman" w:cs="Arial"/>
                <w:b/>
                <w:color w:val="000000"/>
                <w:sz w:val="16"/>
                <w:szCs w:val="16"/>
                <w:lang w:eastAsia="ca-ES"/>
              </w:rPr>
              <w:t>CP Brians 1</w:t>
            </w:r>
          </w:p>
        </w:tc>
        <w:tc>
          <w:tcPr>
            <w:tcW w:w="543" w:type="dxa"/>
            <w:tcBorders>
              <w:bottom w:val="single" w:sz="12" w:space="0" w:color="auto"/>
            </w:tcBorders>
            <w:shd w:val="clear" w:color="auto" w:fill="D9D9D9" w:themeFill="background1" w:themeFillShade="D9"/>
            <w:vAlign w:val="center"/>
            <w:hideMark/>
          </w:tcPr>
          <w:p w:rsidR="006A4109" w:rsidRPr="00664FF0" w:rsidRDefault="006A4109" w:rsidP="00E930B2">
            <w:pPr>
              <w:rPr>
                <w:rFonts w:eastAsia="Times New Roman" w:cs="Arial"/>
                <w:b/>
                <w:color w:val="000000"/>
                <w:sz w:val="16"/>
                <w:szCs w:val="16"/>
                <w:lang w:eastAsia="ca-ES"/>
              </w:rPr>
            </w:pPr>
            <w:r w:rsidRPr="00664FF0">
              <w:rPr>
                <w:rFonts w:eastAsia="Times New Roman" w:cs="Arial"/>
                <w:b/>
                <w:color w:val="000000"/>
                <w:sz w:val="16"/>
                <w:szCs w:val="16"/>
                <w:lang w:eastAsia="ca-ES"/>
              </w:rPr>
              <w:t>CP Brians 2</w:t>
            </w:r>
          </w:p>
        </w:tc>
        <w:tc>
          <w:tcPr>
            <w:tcW w:w="543" w:type="dxa"/>
            <w:tcBorders>
              <w:bottom w:val="single" w:sz="12" w:space="0" w:color="auto"/>
            </w:tcBorders>
            <w:shd w:val="clear" w:color="auto" w:fill="D9D9D9" w:themeFill="background1" w:themeFillShade="D9"/>
            <w:vAlign w:val="center"/>
            <w:hideMark/>
          </w:tcPr>
          <w:p w:rsidR="006A4109" w:rsidRPr="00664FF0" w:rsidRDefault="006A4109" w:rsidP="00E930B2">
            <w:pPr>
              <w:rPr>
                <w:rFonts w:eastAsia="Times New Roman" w:cs="Arial"/>
                <w:b/>
                <w:color w:val="000000"/>
                <w:sz w:val="16"/>
                <w:szCs w:val="16"/>
                <w:lang w:eastAsia="ca-ES"/>
              </w:rPr>
            </w:pPr>
            <w:r w:rsidRPr="00664FF0">
              <w:rPr>
                <w:rFonts w:eastAsia="Times New Roman" w:cs="Arial"/>
                <w:b/>
                <w:color w:val="000000"/>
                <w:sz w:val="16"/>
                <w:szCs w:val="16"/>
                <w:lang w:eastAsia="ca-ES"/>
              </w:rPr>
              <w:t>CP Ponent</w:t>
            </w:r>
          </w:p>
        </w:tc>
        <w:tc>
          <w:tcPr>
            <w:tcW w:w="542" w:type="dxa"/>
            <w:tcBorders>
              <w:bottom w:val="single" w:sz="12" w:space="0" w:color="auto"/>
            </w:tcBorders>
            <w:shd w:val="clear" w:color="auto" w:fill="D9D9D9" w:themeFill="background1" w:themeFillShade="D9"/>
            <w:vAlign w:val="center"/>
            <w:hideMark/>
          </w:tcPr>
          <w:p w:rsidR="006A4109" w:rsidRPr="00664FF0" w:rsidRDefault="006A4109" w:rsidP="00E930B2">
            <w:pPr>
              <w:rPr>
                <w:rFonts w:eastAsia="Times New Roman" w:cs="Arial"/>
                <w:b/>
                <w:color w:val="000000"/>
                <w:sz w:val="16"/>
                <w:szCs w:val="16"/>
                <w:lang w:eastAsia="ca-ES"/>
              </w:rPr>
            </w:pPr>
            <w:r>
              <w:rPr>
                <w:rFonts w:eastAsia="Times New Roman" w:cs="Arial"/>
                <w:b/>
                <w:color w:val="000000"/>
                <w:sz w:val="16"/>
                <w:szCs w:val="16"/>
                <w:lang w:eastAsia="ca-ES"/>
              </w:rPr>
              <w:t>CP Rai</w:t>
            </w:r>
            <w:r w:rsidRPr="00664FF0">
              <w:rPr>
                <w:rFonts w:eastAsia="Times New Roman" w:cs="Arial"/>
                <w:b/>
                <w:color w:val="000000"/>
                <w:sz w:val="16"/>
                <w:szCs w:val="16"/>
                <w:lang w:eastAsia="ca-ES"/>
              </w:rPr>
              <w:t>mat</w:t>
            </w:r>
          </w:p>
        </w:tc>
        <w:tc>
          <w:tcPr>
            <w:tcW w:w="543" w:type="dxa"/>
            <w:tcBorders>
              <w:bottom w:val="single" w:sz="12" w:space="0" w:color="auto"/>
            </w:tcBorders>
            <w:shd w:val="clear" w:color="auto" w:fill="D9D9D9" w:themeFill="background1" w:themeFillShade="D9"/>
            <w:vAlign w:val="center"/>
            <w:hideMark/>
          </w:tcPr>
          <w:p w:rsidR="006A4109" w:rsidRPr="00664FF0" w:rsidRDefault="006A4109" w:rsidP="00E930B2">
            <w:pPr>
              <w:rPr>
                <w:rFonts w:eastAsia="Times New Roman" w:cs="Arial"/>
                <w:b/>
                <w:color w:val="000000"/>
                <w:sz w:val="16"/>
                <w:szCs w:val="16"/>
                <w:lang w:eastAsia="ca-ES"/>
              </w:rPr>
            </w:pPr>
            <w:r w:rsidRPr="00664FF0">
              <w:rPr>
                <w:rFonts w:eastAsia="Times New Roman" w:cs="Arial"/>
                <w:b/>
                <w:color w:val="000000"/>
                <w:sz w:val="16"/>
                <w:szCs w:val="16"/>
                <w:lang w:eastAsia="ca-ES"/>
              </w:rPr>
              <w:t>CP Lledoners</w:t>
            </w:r>
          </w:p>
        </w:tc>
        <w:tc>
          <w:tcPr>
            <w:tcW w:w="543" w:type="dxa"/>
            <w:tcBorders>
              <w:bottom w:val="single" w:sz="12" w:space="0" w:color="auto"/>
            </w:tcBorders>
            <w:shd w:val="clear" w:color="auto" w:fill="D9D9D9" w:themeFill="background1" w:themeFillShade="D9"/>
            <w:vAlign w:val="center"/>
            <w:hideMark/>
          </w:tcPr>
          <w:p w:rsidR="006A4109" w:rsidRPr="00664FF0" w:rsidRDefault="006A4109" w:rsidP="00E930B2">
            <w:pPr>
              <w:rPr>
                <w:rFonts w:eastAsia="Times New Roman" w:cs="Arial"/>
                <w:b/>
                <w:color w:val="000000"/>
                <w:sz w:val="16"/>
                <w:szCs w:val="16"/>
                <w:lang w:eastAsia="ca-ES"/>
              </w:rPr>
            </w:pPr>
            <w:r w:rsidRPr="00664FF0">
              <w:rPr>
                <w:rFonts w:eastAsia="Times New Roman" w:cs="Arial"/>
                <w:b/>
                <w:color w:val="000000"/>
                <w:sz w:val="16"/>
                <w:szCs w:val="16"/>
                <w:lang w:eastAsia="ca-ES"/>
              </w:rPr>
              <w:t>CP Puig de les Basses</w:t>
            </w:r>
          </w:p>
        </w:tc>
        <w:tc>
          <w:tcPr>
            <w:tcW w:w="543" w:type="dxa"/>
            <w:tcBorders>
              <w:bottom w:val="single" w:sz="12" w:space="0" w:color="auto"/>
            </w:tcBorders>
            <w:shd w:val="clear" w:color="auto" w:fill="D9D9D9" w:themeFill="background1" w:themeFillShade="D9"/>
            <w:vAlign w:val="center"/>
            <w:hideMark/>
          </w:tcPr>
          <w:p w:rsidR="006A4109" w:rsidRPr="00664FF0" w:rsidRDefault="006A4109" w:rsidP="00E930B2">
            <w:pPr>
              <w:rPr>
                <w:rFonts w:eastAsia="Times New Roman" w:cs="Arial"/>
                <w:b/>
                <w:color w:val="000000"/>
                <w:sz w:val="16"/>
                <w:szCs w:val="16"/>
                <w:lang w:eastAsia="ca-ES"/>
              </w:rPr>
            </w:pPr>
            <w:r w:rsidRPr="00664FF0">
              <w:rPr>
                <w:rFonts w:eastAsia="Times New Roman" w:cs="Arial"/>
                <w:b/>
                <w:color w:val="000000"/>
                <w:sz w:val="16"/>
                <w:szCs w:val="16"/>
                <w:lang w:eastAsia="ca-ES"/>
              </w:rPr>
              <w:t>CP Mas d</w:t>
            </w:r>
            <w:r>
              <w:rPr>
                <w:rFonts w:eastAsia="Times New Roman" w:cs="Arial"/>
                <w:b/>
                <w:color w:val="000000"/>
                <w:sz w:val="16"/>
                <w:szCs w:val="16"/>
                <w:lang w:eastAsia="ca-ES"/>
              </w:rPr>
              <w:t>’</w:t>
            </w:r>
            <w:r w:rsidRPr="00664FF0">
              <w:rPr>
                <w:rFonts w:eastAsia="Times New Roman" w:cs="Arial"/>
                <w:b/>
                <w:color w:val="000000"/>
                <w:sz w:val="16"/>
                <w:szCs w:val="16"/>
                <w:lang w:eastAsia="ca-ES"/>
              </w:rPr>
              <w:t>Enric</w:t>
            </w:r>
          </w:p>
        </w:tc>
        <w:tc>
          <w:tcPr>
            <w:tcW w:w="543" w:type="dxa"/>
            <w:tcBorders>
              <w:bottom w:val="single" w:sz="12" w:space="0" w:color="auto"/>
            </w:tcBorders>
            <w:shd w:val="clear" w:color="auto" w:fill="D9D9D9" w:themeFill="background1" w:themeFillShade="D9"/>
            <w:vAlign w:val="center"/>
            <w:hideMark/>
          </w:tcPr>
          <w:p w:rsidR="006A4109" w:rsidRPr="00664FF0" w:rsidRDefault="006A4109" w:rsidP="00E930B2">
            <w:pPr>
              <w:rPr>
                <w:rFonts w:eastAsia="Times New Roman" w:cs="Arial"/>
                <w:b/>
                <w:color w:val="000000"/>
                <w:sz w:val="16"/>
                <w:szCs w:val="16"/>
                <w:lang w:eastAsia="ca-ES"/>
              </w:rPr>
            </w:pPr>
            <w:r w:rsidRPr="00664FF0">
              <w:rPr>
                <w:rFonts w:eastAsia="Times New Roman" w:cs="Arial"/>
                <w:b/>
                <w:color w:val="000000"/>
                <w:sz w:val="16"/>
                <w:szCs w:val="16"/>
                <w:lang w:eastAsia="ca-ES"/>
              </w:rPr>
              <w:t>CE Can Llupià</w:t>
            </w:r>
          </w:p>
        </w:tc>
        <w:tc>
          <w:tcPr>
            <w:tcW w:w="543" w:type="dxa"/>
            <w:tcBorders>
              <w:bottom w:val="single" w:sz="12" w:space="0" w:color="auto"/>
            </w:tcBorders>
            <w:shd w:val="clear" w:color="auto" w:fill="D9D9D9" w:themeFill="background1" w:themeFillShade="D9"/>
            <w:vAlign w:val="center"/>
            <w:hideMark/>
          </w:tcPr>
          <w:p w:rsidR="006A4109" w:rsidRPr="00664FF0" w:rsidRDefault="006A4109" w:rsidP="00E930B2">
            <w:pPr>
              <w:rPr>
                <w:rFonts w:eastAsia="Times New Roman" w:cs="Arial"/>
                <w:b/>
                <w:color w:val="000000"/>
                <w:sz w:val="16"/>
                <w:szCs w:val="16"/>
                <w:lang w:eastAsia="ca-ES"/>
              </w:rPr>
            </w:pPr>
            <w:r w:rsidRPr="00664FF0">
              <w:rPr>
                <w:rFonts w:eastAsia="Times New Roman" w:cs="Arial"/>
                <w:b/>
                <w:color w:val="000000"/>
                <w:sz w:val="16"/>
                <w:szCs w:val="16"/>
                <w:lang w:eastAsia="ca-ES"/>
              </w:rPr>
              <w:t>CE L</w:t>
            </w:r>
            <w:r>
              <w:rPr>
                <w:rFonts w:eastAsia="Times New Roman" w:cs="Arial"/>
                <w:b/>
                <w:color w:val="000000"/>
                <w:sz w:val="16"/>
                <w:szCs w:val="16"/>
                <w:lang w:eastAsia="ca-ES"/>
              </w:rPr>
              <w:t>’</w:t>
            </w:r>
            <w:r w:rsidRPr="00664FF0">
              <w:rPr>
                <w:rFonts w:eastAsia="Times New Roman" w:cs="Arial"/>
                <w:b/>
                <w:color w:val="000000"/>
                <w:sz w:val="16"/>
                <w:szCs w:val="16"/>
                <w:lang w:eastAsia="ca-ES"/>
              </w:rPr>
              <w:t>Alzina</w:t>
            </w:r>
          </w:p>
        </w:tc>
        <w:tc>
          <w:tcPr>
            <w:tcW w:w="543" w:type="dxa"/>
            <w:tcBorders>
              <w:bottom w:val="single" w:sz="12" w:space="0" w:color="auto"/>
            </w:tcBorders>
            <w:shd w:val="clear" w:color="auto" w:fill="D9D9D9" w:themeFill="background1" w:themeFillShade="D9"/>
            <w:vAlign w:val="center"/>
            <w:hideMark/>
          </w:tcPr>
          <w:p w:rsidR="006A4109" w:rsidRPr="00664FF0" w:rsidRDefault="006A4109" w:rsidP="00E930B2">
            <w:pPr>
              <w:rPr>
                <w:rFonts w:eastAsia="Times New Roman" w:cs="Arial"/>
                <w:b/>
                <w:color w:val="000000"/>
                <w:sz w:val="16"/>
                <w:szCs w:val="16"/>
                <w:lang w:eastAsia="ca-ES"/>
              </w:rPr>
            </w:pPr>
            <w:r w:rsidRPr="00664FF0">
              <w:rPr>
                <w:rFonts w:eastAsia="Times New Roman" w:cs="Arial"/>
                <w:b/>
                <w:color w:val="000000"/>
                <w:sz w:val="16"/>
                <w:szCs w:val="16"/>
                <w:lang w:eastAsia="ca-ES"/>
              </w:rPr>
              <w:t>CE El Segre</w:t>
            </w:r>
          </w:p>
        </w:tc>
      </w:tr>
      <w:tr w:rsidR="006A4109" w:rsidRPr="00664FF0" w:rsidTr="00E930B2">
        <w:trPr>
          <w:trHeight w:val="20"/>
        </w:trPr>
        <w:tc>
          <w:tcPr>
            <w:tcW w:w="1433" w:type="dxa"/>
            <w:tcBorders>
              <w:top w:val="single" w:sz="12" w:space="0" w:color="auto"/>
              <w:bottom w:val="single" w:sz="4" w:space="0" w:color="auto"/>
            </w:tcBorders>
            <w:shd w:val="clear" w:color="auto" w:fill="auto"/>
            <w:vAlign w:val="center"/>
            <w:hideMark/>
          </w:tcPr>
          <w:p w:rsidR="006A4109" w:rsidRPr="00664FF0" w:rsidRDefault="006A4109" w:rsidP="00E930B2">
            <w:pPr>
              <w:rPr>
                <w:rFonts w:eastAsia="Times New Roman" w:cs="Arial"/>
                <w:color w:val="000000"/>
                <w:sz w:val="16"/>
                <w:szCs w:val="16"/>
                <w:lang w:eastAsia="ca-ES"/>
              </w:rPr>
            </w:pPr>
            <w:r>
              <w:rPr>
                <w:rFonts w:eastAsia="Times New Roman" w:cs="Arial"/>
                <w:color w:val="000000"/>
                <w:sz w:val="16"/>
                <w:szCs w:val="16"/>
                <w:lang w:eastAsia="ca-ES"/>
              </w:rPr>
              <w:t>Arts g</w:t>
            </w:r>
            <w:r w:rsidRPr="00664FF0">
              <w:rPr>
                <w:rFonts w:eastAsia="Times New Roman" w:cs="Arial"/>
                <w:color w:val="000000"/>
                <w:sz w:val="16"/>
                <w:szCs w:val="16"/>
                <w:lang w:eastAsia="ca-ES"/>
              </w:rPr>
              <w:t>ràfiques</w:t>
            </w:r>
          </w:p>
        </w:tc>
        <w:tc>
          <w:tcPr>
            <w:tcW w:w="542" w:type="dxa"/>
            <w:tcBorders>
              <w:top w:val="single" w:sz="12" w:space="0" w:color="auto"/>
              <w:bottom w:val="single" w:sz="4" w:space="0" w:color="auto"/>
            </w:tcBorders>
            <w:shd w:val="clear" w:color="auto" w:fill="auto"/>
            <w:vAlign w:val="center"/>
            <w:hideMark/>
          </w:tcPr>
          <w:p w:rsidR="006A4109" w:rsidRPr="00664FF0" w:rsidRDefault="006A4109" w:rsidP="00E930B2">
            <w:pPr>
              <w:rPr>
                <w:rFonts w:eastAsia="Times New Roman" w:cs="Arial"/>
                <w:color w:val="000000"/>
                <w:sz w:val="16"/>
                <w:szCs w:val="16"/>
                <w:lang w:eastAsia="ca-ES"/>
              </w:rPr>
            </w:pPr>
            <w:r w:rsidRPr="00664FF0">
              <w:rPr>
                <w:rFonts w:eastAsia="Times New Roman" w:cs="Arial"/>
                <w:color w:val="000000"/>
                <w:sz w:val="16"/>
                <w:szCs w:val="16"/>
                <w:lang w:eastAsia="ca-ES"/>
              </w:rPr>
              <w:t>√</w:t>
            </w:r>
          </w:p>
        </w:tc>
        <w:tc>
          <w:tcPr>
            <w:tcW w:w="543" w:type="dxa"/>
            <w:tcBorders>
              <w:top w:val="single" w:sz="12" w:space="0" w:color="auto"/>
              <w:bottom w:val="single" w:sz="4" w:space="0" w:color="auto"/>
            </w:tcBorders>
            <w:shd w:val="clear" w:color="auto" w:fill="auto"/>
            <w:vAlign w:val="center"/>
            <w:hideMark/>
          </w:tcPr>
          <w:p w:rsidR="006A4109" w:rsidRPr="00664FF0" w:rsidRDefault="006A4109" w:rsidP="00E930B2">
            <w:pPr>
              <w:rPr>
                <w:rFonts w:eastAsia="Times New Roman" w:cs="Arial"/>
                <w:color w:val="000000"/>
                <w:sz w:val="16"/>
                <w:szCs w:val="16"/>
                <w:lang w:eastAsia="ca-ES"/>
              </w:rPr>
            </w:pPr>
            <w:r w:rsidRPr="00664FF0">
              <w:rPr>
                <w:rFonts w:eastAsia="Times New Roman" w:cs="Arial"/>
                <w:color w:val="000000"/>
                <w:sz w:val="16"/>
                <w:szCs w:val="16"/>
                <w:lang w:eastAsia="ca-ES"/>
              </w:rPr>
              <w:t> </w:t>
            </w:r>
          </w:p>
        </w:tc>
        <w:tc>
          <w:tcPr>
            <w:tcW w:w="543" w:type="dxa"/>
            <w:tcBorders>
              <w:top w:val="single" w:sz="12" w:space="0" w:color="auto"/>
              <w:bottom w:val="single" w:sz="4" w:space="0" w:color="auto"/>
            </w:tcBorders>
            <w:shd w:val="clear" w:color="auto" w:fill="auto"/>
            <w:vAlign w:val="center"/>
            <w:hideMark/>
          </w:tcPr>
          <w:p w:rsidR="006A4109" w:rsidRPr="00664FF0" w:rsidRDefault="006A4109" w:rsidP="00E930B2">
            <w:pPr>
              <w:rPr>
                <w:rFonts w:eastAsia="Times New Roman" w:cs="Arial"/>
                <w:color w:val="000000"/>
                <w:sz w:val="16"/>
                <w:szCs w:val="16"/>
                <w:lang w:eastAsia="ca-ES"/>
              </w:rPr>
            </w:pPr>
            <w:r w:rsidRPr="00664FF0">
              <w:rPr>
                <w:rFonts w:eastAsia="Times New Roman" w:cs="Arial"/>
                <w:color w:val="000000"/>
                <w:sz w:val="16"/>
                <w:szCs w:val="16"/>
                <w:lang w:eastAsia="ca-ES"/>
              </w:rPr>
              <w:t> </w:t>
            </w:r>
          </w:p>
        </w:tc>
        <w:tc>
          <w:tcPr>
            <w:tcW w:w="543" w:type="dxa"/>
            <w:tcBorders>
              <w:top w:val="single" w:sz="12" w:space="0" w:color="auto"/>
              <w:bottom w:val="single" w:sz="4" w:space="0" w:color="auto"/>
            </w:tcBorders>
            <w:shd w:val="clear" w:color="auto" w:fill="auto"/>
            <w:vAlign w:val="center"/>
            <w:hideMark/>
          </w:tcPr>
          <w:p w:rsidR="006A4109" w:rsidRPr="00664FF0" w:rsidRDefault="006A4109" w:rsidP="00E930B2">
            <w:pPr>
              <w:rPr>
                <w:rFonts w:eastAsia="Times New Roman" w:cs="Arial"/>
                <w:color w:val="000000"/>
                <w:sz w:val="16"/>
                <w:szCs w:val="16"/>
                <w:lang w:eastAsia="ca-ES"/>
              </w:rPr>
            </w:pPr>
            <w:r w:rsidRPr="00664FF0">
              <w:rPr>
                <w:rFonts w:eastAsia="Times New Roman" w:cs="Arial"/>
                <w:color w:val="000000"/>
                <w:sz w:val="16"/>
                <w:szCs w:val="16"/>
                <w:lang w:eastAsia="ca-ES"/>
              </w:rPr>
              <w:t> </w:t>
            </w:r>
          </w:p>
        </w:tc>
        <w:tc>
          <w:tcPr>
            <w:tcW w:w="543" w:type="dxa"/>
            <w:tcBorders>
              <w:top w:val="single" w:sz="12" w:space="0" w:color="auto"/>
              <w:bottom w:val="single" w:sz="4" w:space="0" w:color="auto"/>
            </w:tcBorders>
            <w:shd w:val="clear" w:color="auto" w:fill="auto"/>
            <w:vAlign w:val="center"/>
            <w:hideMark/>
          </w:tcPr>
          <w:p w:rsidR="006A4109" w:rsidRPr="00664FF0" w:rsidRDefault="006A4109" w:rsidP="00E930B2">
            <w:pPr>
              <w:rPr>
                <w:rFonts w:eastAsia="Times New Roman" w:cs="Arial"/>
                <w:color w:val="000000"/>
                <w:sz w:val="16"/>
                <w:szCs w:val="16"/>
                <w:lang w:eastAsia="ca-ES"/>
              </w:rPr>
            </w:pPr>
            <w:r w:rsidRPr="00664FF0">
              <w:rPr>
                <w:rFonts w:eastAsia="Times New Roman" w:cs="Arial"/>
                <w:color w:val="000000"/>
                <w:sz w:val="16"/>
                <w:szCs w:val="16"/>
                <w:lang w:eastAsia="ca-ES"/>
              </w:rPr>
              <w:t> </w:t>
            </w:r>
          </w:p>
        </w:tc>
        <w:tc>
          <w:tcPr>
            <w:tcW w:w="543" w:type="dxa"/>
            <w:tcBorders>
              <w:top w:val="single" w:sz="12" w:space="0" w:color="auto"/>
              <w:bottom w:val="single" w:sz="4" w:space="0" w:color="auto"/>
            </w:tcBorders>
            <w:shd w:val="clear" w:color="auto" w:fill="auto"/>
            <w:vAlign w:val="center"/>
            <w:hideMark/>
          </w:tcPr>
          <w:p w:rsidR="006A4109" w:rsidRPr="00664FF0" w:rsidRDefault="006A4109" w:rsidP="00E930B2">
            <w:pPr>
              <w:rPr>
                <w:rFonts w:eastAsia="Times New Roman" w:cs="Arial"/>
                <w:color w:val="000000"/>
                <w:sz w:val="16"/>
                <w:szCs w:val="16"/>
                <w:lang w:eastAsia="ca-ES"/>
              </w:rPr>
            </w:pPr>
            <w:r w:rsidRPr="00664FF0">
              <w:rPr>
                <w:rFonts w:eastAsia="Times New Roman" w:cs="Arial"/>
                <w:color w:val="000000"/>
                <w:sz w:val="16"/>
                <w:szCs w:val="16"/>
                <w:lang w:eastAsia="ca-ES"/>
              </w:rPr>
              <w:t> </w:t>
            </w:r>
          </w:p>
        </w:tc>
        <w:tc>
          <w:tcPr>
            <w:tcW w:w="543" w:type="dxa"/>
            <w:tcBorders>
              <w:top w:val="single" w:sz="12" w:space="0" w:color="auto"/>
              <w:bottom w:val="single" w:sz="4" w:space="0" w:color="auto"/>
            </w:tcBorders>
            <w:shd w:val="clear" w:color="auto" w:fill="auto"/>
            <w:vAlign w:val="center"/>
            <w:hideMark/>
          </w:tcPr>
          <w:p w:rsidR="006A4109" w:rsidRPr="00664FF0" w:rsidRDefault="006A4109" w:rsidP="00E930B2">
            <w:pPr>
              <w:rPr>
                <w:rFonts w:eastAsia="Times New Roman" w:cs="Arial"/>
                <w:color w:val="000000"/>
                <w:sz w:val="16"/>
                <w:szCs w:val="16"/>
                <w:lang w:eastAsia="ca-ES"/>
              </w:rPr>
            </w:pPr>
            <w:r w:rsidRPr="00664FF0">
              <w:rPr>
                <w:rFonts w:eastAsia="Times New Roman" w:cs="Arial"/>
                <w:color w:val="000000"/>
                <w:sz w:val="16"/>
                <w:szCs w:val="16"/>
                <w:lang w:eastAsia="ca-ES"/>
              </w:rPr>
              <w:t>√</w:t>
            </w:r>
          </w:p>
        </w:tc>
        <w:tc>
          <w:tcPr>
            <w:tcW w:w="542" w:type="dxa"/>
            <w:tcBorders>
              <w:top w:val="single" w:sz="12" w:space="0" w:color="auto"/>
              <w:bottom w:val="single" w:sz="4" w:space="0" w:color="auto"/>
            </w:tcBorders>
            <w:shd w:val="clear" w:color="auto" w:fill="auto"/>
            <w:vAlign w:val="center"/>
            <w:hideMark/>
          </w:tcPr>
          <w:p w:rsidR="006A4109" w:rsidRPr="00664FF0" w:rsidRDefault="006A4109" w:rsidP="00E930B2">
            <w:pPr>
              <w:rPr>
                <w:rFonts w:eastAsia="Times New Roman" w:cs="Arial"/>
                <w:color w:val="000000"/>
                <w:sz w:val="16"/>
                <w:szCs w:val="16"/>
                <w:lang w:eastAsia="ca-ES"/>
              </w:rPr>
            </w:pPr>
            <w:r w:rsidRPr="00664FF0">
              <w:rPr>
                <w:rFonts w:eastAsia="Times New Roman" w:cs="Arial"/>
                <w:color w:val="000000"/>
                <w:sz w:val="16"/>
                <w:szCs w:val="16"/>
                <w:lang w:eastAsia="ca-ES"/>
              </w:rPr>
              <w:t> </w:t>
            </w:r>
          </w:p>
        </w:tc>
        <w:tc>
          <w:tcPr>
            <w:tcW w:w="543" w:type="dxa"/>
            <w:tcBorders>
              <w:top w:val="single" w:sz="12" w:space="0" w:color="auto"/>
              <w:bottom w:val="single" w:sz="4" w:space="0" w:color="auto"/>
            </w:tcBorders>
            <w:shd w:val="clear" w:color="auto" w:fill="auto"/>
            <w:vAlign w:val="center"/>
            <w:hideMark/>
          </w:tcPr>
          <w:p w:rsidR="006A4109" w:rsidRPr="00664FF0" w:rsidRDefault="006A4109" w:rsidP="00E930B2">
            <w:pPr>
              <w:rPr>
                <w:rFonts w:eastAsia="Times New Roman" w:cs="Arial"/>
                <w:color w:val="000000"/>
                <w:sz w:val="16"/>
                <w:szCs w:val="16"/>
                <w:lang w:eastAsia="ca-ES"/>
              </w:rPr>
            </w:pPr>
            <w:r w:rsidRPr="00664FF0">
              <w:rPr>
                <w:rFonts w:eastAsia="Times New Roman" w:cs="Arial"/>
                <w:color w:val="000000"/>
                <w:sz w:val="16"/>
                <w:szCs w:val="16"/>
                <w:lang w:eastAsia="ca-ES"/>
              </w:rPr>
              <w:t> </w:t>
            </w:r>
          </w:p>
        </w:tc>
        <w:tc>
          <w:tcPr>
            <w:tcW w:w="543" w:type="dxa"/>
            <w:tcBorders>
              <w:top w:val="single" w:sz="12" w:space="0" w:color="auto"/>
              <w:bottom w:val="single" w:sz="4" w:space="0" w:color="auto"/>
            </w:tcBorders>
            <w:shd w:val="clear" w:color="auto" w:fill="auto"/>
            <w:vAlign w:val="center"/>
            <w:hideMark/>
          </w:tcPr>
          <w:p w:rsidR="006A4109" w:rsidRPr="00664FF0" w:rsidRDefault="006A4109" w:rsidP="00E930B2">
            <w:pPr>
              <w:rPr>
                <w:rFonts w:eastAsia="Times New Roman" w:cs="Arial"/>
                <w:color w:val="000000"/>
                <w:sz w:val="16"/>
                <w:szCs w:val="16"/>
                <w:lang w:eastAsia="ca-ES"/>
              </w:rPr>
            </w:pPr>
            <w:r w:rsidRPr="00664FF0">
              <w:rPr>
                <w:rFonts w:eastAsia="Times New Roman" w:cs="Arial"/>
                <w:color w:val="000000"/>
                <w:sz w:val="16"/>
                <w:szCs w:val="16"/>
                <w:lang w:eastAsia="ca-ES"/>
              </w:rPr>
              <w:t> </w:t>
            </w:r>
          </w:p>
        </w:tc>
        <w:tc>
          <w:tcPr>
            <w:tcW w:w="543" w:type="dxa"/>
            <w:tcBorders>
              <w:top w:val="single" w:sz="12" w:space="0" w:color="auto"/>
              <w:bottom w:val="single" w:sz="4" w:space="0" w:color="auto"/>
            </w:tcBorders>
            <w:shd w:val="clear" w:color="auto" w:fill="auto"/>
            <w:vAlign w:val="center"/>
            <w:hideMark/>
          </w:tcPr>
          <w:p w:rsidR="006A4109" w:rsidRPr="00664FF0" w:rsidRDefault="006A4109" w:rsidP="00E930B2">
            <w:pPr>
              <w:rPr>
                <w:rFonts w:eastAsia="Times New Roman" w:cs="Arial"/>
                <w:color w:val="000000"/>
                <w:sz w:val="16"/>
                <w:szCs w:val="16"/>
                <w:lang w:eastAsia="ca-ES"/>
              </w:rPr>
            </w:pPr>
            <w:r w:rsidRPr="00664FF0">
              <w:rPr>
                <w:rFonts w:eastAsia="Times New Roman" w:cs="Arial"/>
                <w:color w:val="000000"/>
                <w:sz w:val="16"/>
                <w:szCs w:val="16"/>
                <w:lang w:eastAsia="ca-ES"/>
              </w:rPr>
              <w:t> </w:t>
            </w:r>
          </w:p>
        </w:tc>
        <w:tc>
          <w:tcPr>
            <w:tcW w:w="543" w:type="dxa"/>
            <w:tcBorders>
              <w:top w:val="single" w:sz="12" w:space="0" w:color="auto"/>
              <w:bottom w:val="single" w:sz="4" w:space="0" w:color="auto"/>
            </w:tcBorders>
            <w:shd w:val="clear" w:color="auto" w:fill="auto"/>
            <w:vAlign w:val="center"/>
            <w:hideMark/>
          </w:tcPr>
          <w:p w:rsidR="006A4109" w:rsidRPr="00664FF0" w:rsidRDefault="006A4109" w:rsidP="00E930B2">
            <w:pPr>
              <w:rPr>
                <w:rFonts w:eastAsia="Times New Roman" w:cs="Arial"/>
                <w:color w:val="000000"/>
                <w:sz w:val="16"/>
                <w:szCs w:val="16"/>
                <w:lang w:eastAsia="ca-ES"/>
              </w:rPr>
            </w:pPr>
            <w:r w:rsidRPr="00664FF0">
              <w:rPr>
                <w:rFonts w:eastAsia="Times New Roman" w:cs="Arial"/>
                <w:color w:val="000000"/>
                <w:sz w:val="16"/>
                <w:szCs w:val="16"/>
                <w:lang w:eastAsia="ca-ES"/>
              </w:rPr>
              <w:t> </w:t>
            </w:r>
          </w:p>
        </w:tc>
        <w:tc>
          <w:tcPr>
            <w:tcW w:w="543" w:type="dxa"/>
            <w:tcBorders>
              <w:top w:val="single" w:sz="12" w:space="0" w:color="auto"/>
              <w:bottom w:val="single" w:sz="4" w:space="0" w:color="auto"/>
            </w:tcBorders>
            <w:shd w:val="clear" w:color="auto" w:fill="auto"/>
            <w:vAlign w:val="center"/>
            <w:hideMark/>
          </w:tcPr>
          <w:p w:rsidR="006A4109" w:rsidRPr="00664FF0" w:rsidRDefault="006A4109" w:rsidP="00E930B2">
            <w:pPr>
              <w:rPr>
                <w:rFonts w:eastAsia="Times New Roman" w:cs="Arial"/>
                <w:color w:val="000000"/>
                <w:sz w:val="16"/>
                <w:szCs w:val="16"/>
                <w:lang w:eastAsia="ca-ES"/>
              </w:rPr>
            </w:pPr>
            <w:r w:rsidRPr="00664FF0">
              <w:rPr>
                <w:rFonts w:eastAsia="Times New Roman" w:cs="Arial"/>
                <w:color w:val="000000"/>
                <w:sz w:val="16"/>
                <w:szCs w:val="16"/>
                <w:lang w:eastAsia="ca-ES"/>
              </w:rPr>
              <w:t> </w:t>
            </w:r>
          </w:p>
        </w:tc>
        <w:tc>
          <w:tcPr>
            <w:tcW w:w="543" w:type="dxa"/>
            <w:tcBorders>
              <w:top w:val="single" w:sz="12" w:space="0" w:color="auto"/>
              <w:bottom w:val="single" w:sz="4" w:space="0" w:color="auto"/>
            </w:tcBorders>
            <w:shd w:val="clear" w:color="auto" w:fill="auto"/>
            <w:vAlign w:val="center"/>
            <w:hideMark/>
          </w:tcPr>
          <w:p w:rsidR="006A4109" w:rsidRPr="00664FF0" w:rsidRDefault="006A4109" w:rsidP="00E930B2">
            <w:pPr>
              <w:rPr>
                <w:rFonts w:eastAsia="Times New Roman" w:cs="Arial"/>
                <w:color w:val="000000"/>
                <w:sz w:val="16"/>
                <w:szCs w:val="16"/>
                <w:lang w:eastAsia="ca-ES"/>
              </w:rPr>
            </w:pPr>
            <w:r w:rsidRPr="00664FF0">
              <w:rPr>
                <w:rFonts w:eastAsia="Times New Roman" w:cs="Arial"/>
                <w:color w:val="000000"/>
                <w:sz w:val="16"/>
                <w:szCs w:val="16"/>
                <w:lang w:eastAsia="ca-ES"/>
              </w:rPr>
              <w:t>√</w:t>
            </w:r>
          </w:p>
        </w:tc>
      </w:tr>
      <w:tr w:rsidR="006A4109" w:rsidRPr="00664FF0" w:rsidTr="00E930B2">
        <w:trPr>
          <w:trHeight w:val="20"/>
        </w:trPr>
        <w:tc>
          <w:tcPr>
            <w:tcW w:w="1433" w:type="dxa"/>
            <w:tcBorders>
              <w:top w:val="single" w:sz="4" w:space="0" w:color="auto"/>
              <w:bottom w:val="single" w:sz="4" w:space="0" w:color="auto"/>
            </w:tcBorders>
            <w:shd w:val="clear" w:color="auto" w:fill="auto"/>
            <w:vAlign w:val="center"/>
            <w:hideMark/>
          </w:tcPr>
          <w:p w:rsidR="006A4109" w:rsidRPr="00664FF0" w:rsidRDefault="006A4109" w:rsidP="00E930B2">
            <w:pPr>
              <w:rPr>
                <w:rFonts w:eastAsia="Times New Roman" w:cs="Arial"/>
                <w:color w:val="000000"/>
                <w:sz w:val="16"/>
                <w:szCs w:val="16"/>
                <w:lang w:eastAsia="ca-ES"/>
              </w:rPr>
            </w:pPr>
            <w:r w:rsidRPr="00664FF0">
              <w:rPr>
                <w:rFonts w:eastAsia="Times New Roman" w:cs="Arial"/>
                <w:color w:val="000000"/>
                <w:sz w:val="16"/>
                <w:szCs w:val="16"/>
                <w:lang w:eastAsia="ca-ES"/>
              </w:rPr>
              <w:t>Fusteria</w:t>
            </w:r>
          </w:p>
        </w:tc>
        <w:tc>
          <w:tcPr>
            <w:tcW w:w="542" w:type="dxa"/>
            <w:tcBorders>
              <w:top w:val="single" w:sz="4" w:space="0" w:color="auto"/>
              <w:bottom w:val="single" w:sz="4" w:space="0" w:color="auto"/>
            </w:tcBorders>
            <w:shd w:val="clear" w:color="auto" w:fill="auto"/>
            <w:vAlign w:val="center"/>
            <w:hideMark/>
          </w:tcPr>
          <w:p w:rsidR="006A4109" w:rsidRPr="00664FF0" w:rsidRDefault="006A4109" w:rsidP="00E930B2">
            <w:pPr>
              <w:rPr>
                <w:rFonts w:eastAsia="Times New Roman" w:cs="Arial"/>
                <w:color w:val="000000"/>
                <w:sz w:val="16"/>
                <w:szCs w:val="16"/>
                <w:lang w:eastAsia="ca-ES"/>
              </w:rPr>
            </w:pPr>
            <w:r w:rsidRPr="00664FF0">
              <w:rPr>
                <w:rFonts w:eastAsia="Times New Roman" w:cs="Arial"/>
                <w:color w:val="000000"/>
                <w:sz w:val="16"/>
                <w:szCs w:val="16"/>
                <w:lang w:eastAsia="ca-ES"/>
              </w:rPr>
              <w:t> </w:t>
            </w:r>
          </w:p>
        </w:tc>
        <w:tc>
          <w:tcPr>
            <w:tcW w:w="543" w:type="dxa"/>
            <w:tcBorders>
              <w:top w:val="single" w:sz="4" w:space="0" w:color="auto"/>
              <w:bottom w:val="single" w:sz="4" w:space="0" w:color="auto"/>
            </w:tcBorders>
            <w:shd w:val="clear" w:color="auto" w:fill="auto"/>
            <w:vAlign w:val="center"/>
            <w:hideMark/>
          </w:tcPr>
          <w:p w:rsidR="006A4109" w:rsidRPr="00664FF0" w:rsidRDefault="006A4109" w:rsidP="00E930B2">
            <w:pPr>
              <w:rPr>
                <w:rFonts w:eastAsia="Times New Roman" w:cs="Arial"/>
                <w:color w:val="000000"/>
                <w:sz w:val="16"/>
                <w:szCs w:val="16"/>
                <w:lang w:eastAsia="ca-ES"/>
              </w:rPr>
            </w:pPr>
            <w:r w:rsidRPr="00664FF0">
              <w:rPr>
                <w:rFonts w:eastAsia="Times New Roman" w:cs="Arial"/>
                <w:color w:val="000000"/>
                <w:sz w:val="16"/>
                <w:szCs w:val="16"/>
                <w:lang w:eastAsia="ca-ES"/>
              </w:rPr>
              <w:t> </w:t>
            </w:r>
          </w:p>
        </w:tc>
        <w:tc>
          <w:tcPr>
            <w:tcW w:w="543" w:type="dxa"/>
            <w:tcBorders>
              <w:top w:val="single" w:sz="4" w:space="0" w:color="auto"/>
              <w:bottom w:val="single" w:sz="4" w:space="0" w:color="auto"/>
            </w:tcBorders>
            <w:shd w:val="clear" w:color="auto" w:fill="auto"/>
            <w:vAlign w:val="center"/>
            <w:hideMark/>
          </w:tcPr>
          <w:p w:rsidR="006A4109" w:rsidRPr="00664FF0" w:rsidRDefault="006A4109" w:rsidP="00E930B2">
            <w:pPr>
              <w:rPr>
                <w:rFonts w:eastAsia="Times New Roman" w:cs="Arial"/>
                <w:color w:val="000000"/>
                <w:sz w:val="16"/>
                <w:szCs w:val="16"/>
                <w:lang w:eastAsia="ca-ES"/>
              </w:rPr>
            </w:pPr>
            <w:r w:rsidRPr="00664FF0">
              <w:rPr>
                <w:rFonts w:eastAsia="Times New Roman" w:cs="Arial"/>
                <w:color w:val="000000"/>
                <w:sz w:val="16"/>
                <w:szCs w:val="16"/>
                <w:lang w:eastAsia="ca-ES"/>
              </w:rPr>
              <w:t> </w:t>
            </w:r>
          </w:p>
        </w:tc>
        <w:tc>
          <w:tcPr>
            <w:tcW w:w="543" w:type="dxa"/>
            <w:tcBorders>
              <w:top w:val="single" w:sz="4" w:space="0" w:color="auto"/>
              <w:bottom w:val="single" w:sz="4" w:space="0" w:color="auto"/>
            </w:tcBorders>
            <w:shd w:val="clear" w:color="auto" w:fill="auto"/>
            <w:vAlign w:val="center"/>
            <w:hideMark/>
          </w:tcPr>
          <w:p w:rsidR="006A4109" w:rsidRPr="00664FF0" w:rsidRDefault="006A4109" w:rsidP="00E930B2">
            <w:pPr>
              <w:rPr>
                <w:rFonts w:eastAsia="Times New Roman" w:cs="Arial"/>
                <w:color w:val="000000"/>
                <w:sz w:val="16"/>
                <w:szCs w:val="16"/>
                <w:lang w:eastAsia="ca-ES"/>
              </w:rPr>
            </w:pPr>
            <w:r w:rsidRPr="00664FF0">
              <w:rPr>
                <w:rFonts w:eastAsia="Times New Roman" w:cs="Arial"/>
                <w:color w:val="000000"/>
                <w:sz w:val="16"/>
                <w:szCs w:val="16"/>
                <w:lang w:eastAsia="ca-ES"/>
              </w:rPr>
              <w:t> </w:t>
            </w:r>
          </w:p>
        </w:tc>
        <w:tc>
          <w:tcPr>
            <w:tcW w:w="543" w:type="dxa"/>
            <w:tcBorders>
              <w:top w:val="single" w:sz="4" w:space="0" w:color="auto"/>
              <w:bottom w:val="single" w:sz="4" w:space="0" w:color="auto"/>
            </w:tcBorders>
            <w:shd w:val="clear" w:color="auto" w:fill="auto"/>
            <w:vAlign w:val="center"/>
            <w:hideMark/>
          </w:tcPr>
          <w:p w:rsidR="006A4109" w:rsidRPr="00664FF0" w:rsidRDefault="006A4109" w:rsidP="00E930B2">
            <w:pPr>
              <w:rPr>
                <w:rFonts w:eastAsia="Times New Roman" w:cs="Arial"/>
                <w:color w:val="000000"/>
                <w:sz w:val="16"/>
                <w:szCs w:val="16"/>
                <w:lang w:eastAsia="ca-ES"/>
              </w:rPr>
            </w:pPr>
            <w:r w:rsidRPr="00664FF0">
              <w:rPr>
                <w:rFonts w:eastAsia="Times New Roman" w:cs="Arial"/>
                <w:color w:val="000000"/>
                <w:sz w:val="16"/>
                <w:szCs w:val="16"/>
                <w:lang w:eastAsia="ca-ES"/>
              </w:rPr>
              <w:t> </w:t>
            </w:r>
          </w:p>
        </w:tc>
        <w:tc>
          <w:tcPr>
            <w:tcW w:w="543" w:type="dxa"/>
            <w:tcBorders>
              <w:top w:val="single" w:sz="4" w:space="0" w:color="auto"/>
              <w:bottom w:val="single" w:sz="4" w:space="0" w:color="auto"/>
            </w:tcBorders>
            <w:shd w:val="clear" w:color="auto" w:fill="auto"/>
            <w:vAlign w:val="center"/>
            <w:hideMark/>
          </w:tcPr>
          <w:p w:rsidR="006A4109" w:rsidRPr="00664FF0" w:rsidRDefault="006A4109" w:rsidP="00E930B2">
            <w:pPr>
              <w:rPr>
                <w:rFonts w:eastAsia="Times New Roman" w:cs="Arial"/>
                <w:color w:val="000000"/>
                <w:sz w:val="16"/>
                <w:szCs w:val="16"/>
                <w:lang w:eastAsia="ca-ES"/>
              </w:rPr>
            </w:pPr>
            <w:r w:rsidRPr="00664FF0">
              <w:rPr>
                <w:rFonts w:eastAsia="Times New Roman" w:cs="Arial"/>
                <w:color w:val="000000"/>
                <w:sz w:val="16"/>
                <w:szCs w:val="16"/>
                <w:lang w:eastAsia="ca-ES"/>
              </w:rPr>
              <w:t> </w:t>
            </w:r>
          </w:p>
        </w:tc>
        <w:tc>
          <w:tcPr>
            <w:tcW w:w="543" w:type="dxa"/>
            <w:tcBorders>
              <w:top w:val="single" w:sz="4" w:space="0" w:color="auto"/>
              <w:bottom w:val="single" w:sz="4" w:space="0" w:color="auto"/>
            </w:tcBorders>
            <w:shd w:val="clear" w:color="auto" w:fill="auto"/>
            <w:vAlign w:val="center"/>
            <w:hideMark/>
          </w:tcPr>
          <w:p w:rsidR="006A4109" w:rsidRPr="00664FF0" w:rsidRDefault="006A4109" w:rsidP="00E930B2">
            <w:pPr>
              <w:rPr>
                <w:rFonts w:eastAsia="Times New Roman" w:cs="Arial"/>
                <w:color w:val="000000"/>
                <w:sz w:val="16"/>
                <w:szCs w:val="16"/>
                <w:lang w:eastAsia="ca-ES"/>
              </w:rPr>
            </w:pPr>
            <w:r w:rsidRPr="00664FF0">
              <w:rPr>
                <w:rFonts w:eastAsia="Times New Roman" w:cs="Arial"/>
                <w:color w:val="000000"/>
                <w:sz w:val="16"/>
                <w:szCs w:val="16"/>
                <w:lang w:eastAsia="ca-ES"/>
              </w:rPr>
              <w:t> </w:t>
            </w:r>
          </w:p>
        </w:tc>
        <w:tc>
          <w:tcPr>
            <w:tcW w:w="542" w:type="dxa"/>
            <w:tcBorders>
              <w:top w:val="single" w:sz="4" w:space="0" w:color="auto"/>
              <w:bottom w:val="single" w:sz="4" w:space="0" w:color="auto"/>
            </w:tcBorders>
            <w:shd w:val="clear" w:color="auto" w:fill="auto"/>
            <w:vAlign w:val="center"/>
            <w:hideMark/>
          </w:tcPr>
          <w:p w:rsidR="006A4109" w:rsidRPr="00664FF0" w:rsidRDefault="006A4109" w:rsidP="00E930B2">
            <w:pPr>
              <w:rPr>
                <w:rFonts w:eastAsia="Times New Roman" w:cs="Arial"/>
                <w:color w:val="000000"/>
                <w:sz w:val="16"/>
                <w:szCs w:val="16"/>
                <w:lang w:eastAsia="ca-ES"/>
              </w:rPr>
            </w:pPr>
            <w:r w:rsidRPr="00664FF0">
              <w:rPr>
                <w:rFonts w:eastAsia="Times New Roman" w:cs="Arial"/>
                <w:color w:val="000000"/>
                <w:sz w:val="16"/>
                <w:szCs w:val="16"/>
                <w:lang w:eastAsia="ca-ES"/>
              </w:rPr>
              <w:t>√</w:t>
            </w:r>
          </w:p>
        </w:tc>
        <w:tc>
          <w:tcPr>
            <w:tcW w:w="543" w:type="dxa"/>
            <w:tcBorders>
              <w:top w:val="single" w:sz="4" w:space="0" w:color="auto"/>
              <w:bottom w:val="single" w:sz="4" w:space="0" w:color="auto"/>
            </w:tcBorders>
            <w:shd w:val="clear" w:color="auto" w:fill="auto"/>
            <w:vAlign w:val="center"/>
            <w:hideMark/>
          </w:tcPr>
          <w:p w:rsidR="006A4109" w:rsidRPr="00664FF0" w:rsidRDefault="006A4109" w:rsidP="00E930B2">
            <w:pPr>
              <w:rPr>
                <w:rFonts w:eastAsia="Times New Roman" w:cs="Arial"/>
                <w:color w:val="000000"/>
                <w:sz w:val="16"/>
                <w:szCs w:val="16"/>
                <w:lang w:eastAsia="ca-ES"/>
              </w:rPr>
            </w:pPr>
            <w:r w:rsidRPr="00664FF0">
              <w:rPr>
                <w:rFonts w:eastAsia="Times New Roman" w:cs="Arial"/>
                <w:color w:val="000000"/>
                <w:sz w:val="16"/>
                <w:szCs w:val="16"/>
                <w:lang w:eastAsia="ca-ES"/>
              </w:rPr>
              <w:t> </w:t>
            </w:r>
          </w:p>
        </w:tc>
        <w:tc>
          <w:tcPr>
            <w:tcW w:w="543" w:type="dxa"/>
            <w:tcBorders>
              <w:top w:val="single" w:sz="4" w:space="0" w:color="auto"/>
              <w:bottom w:val="single" w:sz="4" w:space="0" w:color="auto"/>
            </w:tcBorders>
            <w:shd w:val="clear" w:color="auto" w:fill="auto"/>
            <w:vAlign w:val="center"/>
            <w:hideMark/>
          </w:tcPr>
          <w:p w:rsidR="006A4109" w:rsidRPr="00664FF0" w:rsidRDefault="006A4109" w:rsidP="00E930B2">
            <w:pPr>
              <w:rPr>
                <w:rFonts w:eastAsia="Times New Roman" w:cs="Arial"/>
                <w:color w:val="000000"/>
                <w:sz w:val="16"/>
                <w:szCs w:val="16"/>
                <w:lang w:eastAsia="ca-ES"/>
              </w:rPr>
            </w:pPr>
            <w:r w:rsidRPr="00664FF0">
              <w:rPr>
                <w:rFonts w:eastAsia="Times New Roman" w:cs="Arial"/>
                <w:color w:val="000000"/>
                <w:sz w:val="16"/>
                <w:szCs w:val="16"/>
                <w:lang w:eastAsia="ca-ES"/>
              </w:rPr>
              <w:t> </w:t>
            </w:r>
          </w:p>
        </w:tc>
        <w:tc>
          <w:tcPr>
            <w:tcW w:w="543" w:type="dxa"/>
            <w:tcBorders>
              <w:top w:val="single" w:sz="4" w:space="0" w:color="auto"/>
              <w:bottom w:val="single" w:sz="4" w:space="0" w:color="auto"/>
            </w:tcBorders>
            <w:shd w:val="clear" w:color="auto" w:fill="auto"/>
            <w:vAlign w:val="center"/>
            <w:hideMark/>
          </w:tcPr>
          <w:p w:rsidR="006A4109" w:rsidRPr="00664FF0" w:rsidRDefault="006A4109" w:rsidP="00E930B2">
            <w:pPr>
              <w:rPr>
                <w:rFonts w:eastAsia="Times New Roman" w:cs="Arial"/>
                <w:color w:val="000000"/>
                <w:sz w:val="16"/>
                <w:szCs w:val="16"/>
                <w:lang w:eastAsia="ca-ES"/>
              </w:rPr>
            </w:pPr>
            <w:r w:rsidRPr="00664FF0">
              <w:rPr>
                <w:rFonts w:eastAsia="Times New Roman" w:cs="Arial"/>
                <w:color w:val="000000"/>
                <w:sz w:val="16"/>
                <w:szCs w:val="16"/>
                <w:lang w:eastAsia="ca-ES"/>
              </w:rPr>
              <w:t> </w:t>
            </w:r>
          </w:p>
        </w:tc>
        <w:tc>
          <w:tcPr>
            <w:tcW w:w="543" w:type="dxa"/>
            <w:tcBorders>
              <w:top w:val="single" w:sz="4" w:space="0" w:color="auto"/>
              <w:bottom w:val="single" w:sz="4" w:space="0" w:color="auto"/>
            </w:tcBorders>
            <w:shd w:val="clear" w:color="auto" w:fill="auto"/>
            <w:vAlign w:val="center"/>
            <w:hideMark/>
          </w:tcPr>
          <w:p w:rsidR="006A4109" w:rsidRPr="00664FF0" w:rsidRDefault="006A4109" w:rsidP="00E930B2">
            <w:pPr>
              <w:rPr>
                <w:rFonts w:eastAsia="Times New Roman" w:cs="Arial"/>
                <w:color w:val="000000"/>
                <w:sz w:val="16"/>
                <w:szCs w:val="16"/>
                <w:lang w:eastAsia="ca-ES"/>
              </w:rPr>
            </w:pPr>
            <w:r w:rsidRPr="00664FF0">
              <w:rPr>
                <w:rFonts w:eastAsia="Times New Roman" w:cs="Arial"/>
                <w:color w:val="000000"/>
                <w:sz w:val="16"/>
                <w:szCs w:val="16"/>
                <w:lang w:eastAsia="ca-ES"/>
              </w:rPr>
              <w:t> </w:t>
            </w:r>
          </w:p>
        </w:tc>
        <w:tc>
          <w:tcPr>
            <w:tcW w:w="543" w:type="dxa"/>
            <w:tcBorders>
              <w:top w:val="single" w:sz="4" w:space="0" w:color="auto"/>
              <w:bottom w:val="single" w:sz="4" w:space="0" w:color="auto"/>
            </w:tcBorders>
            <w:shd w:val="clear" w:color="auto" w:fill="auto"/>
            <w:vAlign w:val="center"/>
            <w:hideMark/>
          </w:tcPr>
          <w:p w:rsidR="006A4109" w:rsidRPr="00664FF0" w:rsidRDefault="006A4109" w:rsidP="00E930B2">
            <w:pPr>
              <w:rPr>
                <w:rFonts w:eastAsia="Times New Roman" w:cs="Arial"/>
                <w:color w:val="000000"/>
                <w:sz w:val="16"/>
                <w:szCs w:val="16"/>
                <w:lang w:eastAsia="ca-ES"/>
              </w:rPr>
            </w:pPr>
            <w:r w:rsidRPr="00664FF0">
              <w:rPr>
                <w:rFonts w:eastAsia="Times New Roman" w:cs="Arial"/>
                <w:color w:val="000000"/>
                <w:sz w:val="16"/>
                <w:szCs w:val="16"/>
                <w:lang w:eastAsia="ca-ES"/>
              </w:rPr>
              <w:t> </w:t>
            </w:r>
          </w:p>
        </w:tc>
        <w:tc>
          <w:tcPr>
            <w:tcW w:w="543" w:type="dxa"/>
            <w:tcBorders>
              <w:top w:val="single" w:sz="4" w:space="0" w:color="auto"/>
              <w:bottom w:val="single" w:sz="4" w:space="0" w:color="auto"/>
            </w:tcBorders>
            <w:shd w:val="clear" w:color="auto" w:fill="auto"/>
            <w:vAlign w:val="center"/>
            <w:hideMark/>
          </w:tcPr>
          <w:p w:rsidR="006A4109" w:rsidRPr="00664FF0" w:rsidRDefault="006A4109" w:rsidP="00E930B2">
            <w:pPr>
              <w:rPr>
                <w:rFonts w:eastAsia="Times New Roman" w:cs="Arial"/>
                <w:color w:val="000000"/>
                <w:sz w:val="16"/>
                <w:szCs w:val="16"/>
                <w:lang w:eastAsia="ca-ES"/>
              </w:rPr>
            </w:pPr>
            <w:r w:rsidRPr="00664FF0">
              <w:rPr>
                <w:rFonts w:eastAsia="Times New Roman" w:cs="Arial"/>
                <w:color w:val="000000"/>
                <w:sz w:val="16"/>
                <w:szCs w:val="16"/>
                <w:lang w:eastAsia="ca-ES"/>
              </w:rPr>
              <w:t> </w:t>
            </w:r>
          </w:p>
        </w:tc>
      </w:tr>
      <w:tr w:rsidR="006A4109" w:rsidRPr="00664FF0" w:rsidTr="00E930B2">
        <w:trPr>
          <w:trHeight w:val="20"/>
        </w:trPr>
        <w:tc>
          <w:tcPr>
            <w:tcW w:w="1433" w:type="dxa"/>
            <w:tcBorders>
              <w:top w:val="single" w:sz="4" w:space="0" w:color="auto"/>
              <w:bottom w:val="single" w:sz="4" w:space="0" w:color="auto"/>
            </w:tcBorders>
            <w:shd w:val="clear" w:color="auto" w:fill="auto"/>
            <w:vAlign w:val="center"/>
            <w:hideMark/>
          </w:tcPr>
          <w:p w:rsidR="006A4109" w:rsidRPr="00664FF0" w:rsidRDefault="006A4109" w:rsidP="00E930B2">
            <w:pPr>
              <w:rPr>
                <w:rFonts w:eastAsia="Times New Roman" w:cs="Arial"/>
                <w:color w:val="000000"/>
                <w:sz w:val="16"/>
                <w:szCs w:val="16"/>
                <w:lang w:eastAsia="ca-ES"/>
              </w:rPr>
            </w:pPr>
            <w:r w:rsidRPr="00664FF0">
              <w:rPr>
                <w:rFonts w:eastAsia="Times New Roman" w:cs="Arial"/>
                <w:color w:val="000000"/>
                <w:sz w:val="16"/>
                <w:szCs w:val="16"/>
                <w:lang w:eastAsia="ca-ES"/>
              </w:rPr>
              <w:t>Manipulats</w:t>
            </w:r>
          </w:p>
        </w:tc>
        <w:tc>
          <w:tcPr>
            <w:tcW w:w="542" w:type="dxa"/>
            <w:tcBorders>
              <w:top w:val="single" w:sz="4" w:space="0" w:color="auto"/>
              <w:bottom w:val="single" w:sz="4" w:space="0" w:color="auto"/>
            </w:tcBorders>
            <w:shd w:val="clear" w:color="auto" w:fill="auto"/>
            <w:vAlign w:val="center"/>
            <w:hideMark/>
          </w:tcPr>
          <w:p w:rsidR="006A4109" w:rsidRPr="00664FF0" w:rsidRDefault="006A4109" w:rsidP="00E930B2">
            <w:pPr>
              <w:rPr>
                <w:rFonts w:eastAsia="Times New Roman" w:cs="Arial"/>
                <w:color w:val="000000"/>
                <w:sz w:val="16"/>
                <w:szCs w:val="16"/>
                <w:lang w:eastAsia="ca-ES"/>
              </w:rPr>
            </w:pPr>
            <w:r w:rsidRPr="00664FF0">
              <w:rPr>
                <w:rFonts w:eastAsia="Times New Roman" w:cs="Arial"/>
                <w:color w:val="000000"/>
                <w:sz w:val="16"/>
                <w:szCs w:val="16"/>
                <w:lang w:eastAsia="ca-ES"/>
              </w:rPr>
              <w:t>√</w:t>
            </w:r>
          </w:p>
        </w:tc>
        <w:tc>
          <w:tcPr>
            <w:tcW w:w="543" w:type="dxa"/>
            <w:tcBorders>
              <w:top w:val="single" w:sz="4" w:space="0" w:color="auto"/>
              <w:bottom w:val="single" w:sz="4" w:space="0" w:color="auto"/>
            </w:tcBorders>
            <w:shd w:val="clear" w:color="auto" w:fill="auto"/>
            <w:vAlign w:val="center"/>
            <w:hideMark/>
          </w:tcPr>
          <w:p w:rsidR="006A4109" w:rsidRPr="00664FF0" w:rsidRDefault="006A4109" w:rsidP="00E930B2">
            <w:pPr>
              <w:rPr>
                <w:rFonts w:eastAsia="Times New Roman" w:cs="Arial"/>
                <w:color w:val="000000"/>
                <w:sz w:val="16"/>
                <w:szCs w:val="16"/>
                <w:lang w:eastAsia="ca-ES"/>
              </w:rPr>
            </w:pPr>
            <w:r w:rsidRPr="00664FF0">
              <w:rPr>
                <w:rFonts w:eastAsia="Times New Roman" w:cs="Arial"/>
                <w:color w:val="000000"/>
                <w:sz w:val="16"/>
                <w:szCs w:val="16"/>
                <w:lang w:eastAsia="ca-ES"/>
              </w:rPr>
              <w:t>√</w:t>
            </w:r>
          </w:p>
        </w:tc>
        <w:tc>
          <w:tcPr>
            <w:tcW w:w="543" w:type="dxa"/>
            <w:tcBorders>
              <w:top w:val="single" w:sz="4" w:space="0" w:color="auto"/>
              <w:bottom w:val="single" w:sz="4" w:space="0" w:color="auto"/>
            </w:tcBorders>
            <w:shd w:val="clear" w:color="auto" w:fill="auto"/>
            <w:vAlign w:val="center"/>
            <w:hideMark/>
          </w:tcPr>
          <w:p w:rsidR="006A4109" w:rsidRPr="00664FF0" w:rsidRDefault="006A4109" w:rsidP="00E930B2">
            <w:pPr>
              <w:rPr>
                <w:rFonts w:eastAsia="Times New Roman" w:cs="Arial"/>
                <w:color w:val="000000"/>
                <w:sz w:val="16"/>
                <w:szCs w:val="16"/>
                <w:lang w:eastAsia="ca-ES"/>
              </w:rPr>
            </w:pPr>
            <w:r w:rsidRPr="00664FF0">
              <w:rPr>
                <w:rFonts w:eastAsia="Times New Roman" w:cs="Arial"/>
                <w:color w:val="000000"/>
                <w:sz w:val="16"/>
                <w:szCs w:val="16"/>
                <w:lang w:eastAsia="ca-ES"/>
              </w:rPr>
              <w:t>√</w:t>
            </w:r>
          </w:p>
        </w:tc>
        <w:tc>
          <w:tcPr>
            <w:tcW w:w="543" w:type="dxa"/>
            <w:tcBorders>
              <w:top w:val="single" w:sz="4" w:space="0" w:color="auto"/>
              <w:bottom w:val="single" w:sz="4" w:space="0" w:color="auto"/>
            </w:tcBorders>
            <w:shd w:val="clear" w:color="auto" w:fill="auto"/>
            <w:vAlign w:val="center"/>
            <w:hideMark/>
          </w:tcPr>
          <w:p w:rsidR="006A4109" w:rsidRPr="00664FF0" w:rsidRDefault="006A4109" w:rsidP="00E930B2">
            <w:pPr>
              <w:rPr>
                <w:rFonts w:eastAsia="Times New Roman" w:cs="Arial"/>
                <w:color w:val="000000"/>
                <w:sz w:val="16"/>
                <w:szCs w:val="16"/>
                <w:lang w:eastAsia="ca-ES"/>
              </w:rPr>
            </w:pPr>
            <w:r w:rsidRPr="00664FF0">
              <w:rPr>
                <w:rFonts w:eastAsia="Times New Roman" w:cs="Arial"/>
                <w:color w:val="000000"/>
                <w:sz w:val="16"/>
                <w:szCs w:val="16"/>
                <w:lang w:eastAsia="ca-ES"/>
              </w:rPr>
              <w:t>√</w:t>
            </w:r>
          </w:p>
        </w:tc>
        <w:tc>
          <w:tcPr>
            <w:tcW w:w="543" w:type="dxa"/>
            <w:tcBorders>
              <w:top w:val="single" w:sz="4" w:space="0" w:color="auto"/>
              <w:bottom w:val="single" w:sz="4" w:space="0" w:color="auto"/>
            </w:tcBorders>
            <w:shd w:val="clear" w:color="auto" w:fill="auto"/>
            <w:vAlign w:val="center"/>
            <w:hideMark/>
          </w:tcPr>
          <w:p w:rsidR="006A4109" w:rsidRPr="00664FF0" w:rsidRDefault="006A4109" w:rsidP="00E930B2">
            <w:pPr>
              <w:rPr>
                <w:rFonts w:eastAsia="Times New Roman" w:cs="Arial"/>
                <w:color w:val="000000"/>
                <w:sz w:val="16"/>
                <w:szCs w:val="16"/>
                <w:lang w:eastAsia="ca-ES"/>
              </w:rPr>
            </w:pPr>
            <w:r w:rsidRPr="00664FF0">
              <w:rPr>
                <w:rFonts w:eastAsia="Times New Roman" w:cs="Arial"/>
                <w:color w:val="000000"/>
                <w:sz w:val="16"/>
                <w:szCs w:val="16"/>
                <w:lang w:eastAsia="ca-ES"/>
              </w:rPr>
              <w:t>√</w:t>
            </w:r>
          </w:p>
        </w:tc>
        <w:tc>
          <w:tcPr>
            <w:tcW w:w="543" w:type="dxa"/>
            <w:tcBorders>
              <w:top w:val="single" w:sz="4" w:space="0" w:color="auto"/>
              <w:bottom w:val="single" w:sz="4" w:space="0" w:color="auto"/>
            </w:tcBorders>
            <w:shd w:val="clear" w:color="auto" w:fill="auto"/>
            <w:vAlign w:val="center"/>
            <w:hideMark/>
          </w:tcPr>
          <w:p w:rsidR="006A4109" w:rsidRPr="00664FF0" w:rsidRDefault="006A4109" w:rsidP="00E930B2">
            <w:pPr>
              <w:rPr>
                <w:rFonts w:eastAsia="Times New Roman" w:cs="Arial"/>
                <w:color w:val="000000"/>
                <w:sz w:val="16"/>
                <w:szCs w:val="16"/>
                <w:lang w:eastAsia="ca-ES"/>
              </w:rPr>
            </w:pPr>
            <w:r w:rsidRPr="00664FF0">
              <w:rPr>
                <w:rFonts w:eastAsia="Times New Roman" w:cs="Arial"/>
                <w:color w:val="000000"/>
                <w:sz w:val="16"/>
                <w:szCs w:val="16"/>
                <w:lang w:eastAsia="ca-ES"/>
              </w:rPr>
              <w:t>√</w:t>
            </w:r>
          </w:p>
        </w:tc>
        <w:tc>
          <w:tcPr>
            <w:tcW w:w="543" w:type="dxa"/>
            <w:tcBorders>
              <w:top w:val="single" w:sz="4" w:space="0" w:color="auto"/>
              <w:bottom w:val="single" w:sz="4" w:space="0" w:color="auto"/>
            </w:tcBorders>
            <w:shd w:val="clear" w:color="auto" w:fill="auto"/>
            <w:vAlign w:val="center"/>
            <w:hideMark/>
          </w:tcPr>
          <w:p w:rsidR="006A4109" w:rsidRPr="00664FF0" w:rsidRDefault="006A4109" w:rsidP="00E930B2">
            <w:pPr>
              <w:rPr>
                <w:rFonts w:eastAsia="Times New Roman" w:cs="Arial"/>
                <w:color w:val="000000"/>
                <w:sz w:val="16"/>
                <w:szCs w:val="16"/>
                <w:lang w:eastAsia="ca-ES"/>
              </w:rPr>
            </w:pPr>
            <w:r w:rsidRPr="00664FF0">
              <w:rPr>
                <w:rFonts w:eastAsia="Times New Roman" w:cs="Arial"/>
                <w:color w:val="000000"/>
                <w:sz w:val="16"/>
                <w:szCs w:val="16"/>
                <w:lang w:eastAsia="ca-ES"/>
              </w:rPr>
              <w:t>√</w:t>
            </w:r>
          </w:p>
        </w:tc>
        <w:tc>
          <w:tcPr>
            <w:tcW w:w="542" w:type="dxa"/>
            <w:tcBorders>
              <w:top w:val="single" w:sz="4" w:space="0" w:color="auto"/>
              <w:bottom w:val="single" w:sz="4" w:space="0" w:color="auto"/>
            </w:tcBorders>
            <w:shd w:val="clear" w:color="auto" w:fill="auto"/>
            <w:vAlign w:val="center"/>
            <w:hideMark/>
          </w:tcPr>
          <w:p w:rsidR="006A4109" w:rsidRPr="00664FF0" w:rsidRDefault="006A4109" w:rsidP="00E930B2">
            <w:pPr>
              <w:rPr>
                <w:rFonts w:eastAsia="Times New Roman" w:cs="Arial"/>
                <w:color w:val="000000"/>
                <w:sz w:val="16"/>
                <w:szCs w:val="16"/>
                <w:lang w:eastAsia="ca-ES"/>
              </w:rPr>
            </w:pPr>
            <w:r w:rsidRPr="00664FF0">
              <w:rPr>
                <w:rFonts w:eastAsia="Times New Roman" w:cs="Arial"/>
                <w:color w:val="000000"/>
                <w:sz w:val="16"/>
                <w:szCs w:val="16"/>
                <w:lang w:eastAsia="ca-ES"/>
              </w:rPr>
              <w:t> </w:t>
            </w:r>
          </w:p>
        </w:tc>
        <w:tc>
          <w:tcPr>
            <w:tcW w:w="543" w:type="dxa"/>
            <w:tcBorders>
              <w:top w:val="single" w:sz="4" w:space="0" w:color="auto"/>
              <w:bottom w:val="single" w:sz="4" w:space="0" w:color="auto"/>
            </w:tcBorders>
            <w:shd w:val="clear" w:color="auto" w:fill="auto"/>
            <w:vAlign w:val="center"/>
            <w:hideMark/>
          </w:tcPr>
          <w:p w:rsidR="006A4109" w:rsidRPr="00664FF0" w:rsidRDefault="006A4109" w:rsidP="00E930B2">
            <w:pPr>
              <w:rPr>
                <w:rFonts w:eastAsia="Times New Roman" w:cs="Arial"/>
                <w:color w:val="000000"/>
                <w:sz w:val="16"/>
                <w:szCs w:val="16"/>
                <w:lang w:eastAsia="ca-ES"/>
              </w:rPr>
            </w:pPr>
            <w:r w:rsidRPr="00664FF0">
              <w:rPr>
                <w:rFonts w:eastAsia="Times New Roman" w:cs="Arial"/>
                <w:color w:val="000000"/>
                <w:sz w:val="16"/>
                <w:szCs w:val="16"/>
                <w:lang w:eastAsia="ca-ES"/>
              </w:rPr>
              <w:t>√</w:t>
            </w:r>
          </w:p>
        </w:tc>
        <w:tc>
          <w:tcPr>
            <w:tcW w:w="543" w:type="dxa"/>
            <w:tcBorders>
              <w:top w:val="single" w:sz="4" w:space="0" w:color="auto"/>
              <w:bottom w:val="single" w:sz="4" w:space="0" w:color="auto"/>
            </w:tcBorders>
            <w:shd w:val="clear" w:color="auto" w:fill="auto"/>
            <w:vAlign w:val="center"/>
            <w:hideMark/>
          </w:tcPr>
          <w:p w:rsidR="006A4109" w:rsidRPr="00664FF0" w:rsidRDefault="006A4109" w:rsidP="00E930B2">
            <w:pPr>
              <w:rPr>
                <w:rFonts w:eastAsia="Times New Roman" w:cs="Arial"/>
                <w:color w:val="000000"/>
                <w:sz w:val="16"/>
                <w:szCs w:val="16"/>
                <w:lang w:eastAsia="ca-ES"/>
              </w:rPr>
            </w:pPr>
            <w:r w:rsidRPr="00664FF0">
              <w:rPr>
                <w:rFonts w:eastAsia="Times New Roman" w:cs="Arial"/>
                <w:color w:val="000000"/>
                <w:sz w:val="16"/>
                <w:szCs w:val="16"/>
                <w:lang w:eastAsia="ca-ES"/>
              </w:rPr>
              <w:t>√</w:t>
            </w:r>
          </w:p>
        </w:tc>
        <w:tc>
          <w:tcPr>
            <w:tcW w:w="543" w:type="dxa"/>
            <w:tcBorders>
              <w:top w:val="single" w:sz="4" w:space="0" w:color="auto"/>
              <w:bottom w:val="single" w:sz="4" w:space="0" w:color="auto"/>
            </w:tcBorders>
            <w:shd w:val="clear" w:color="auto" w:fill="auto"/>
            <w:vAlign w:val="center"/>
            <w:hideMark/>
          </w:tcPr>
          <w:p w:rsidR="006A4109" w:rsidRPr="00664FF0" w:rsidRDefault="006A4109" w:rsidP="00E930B2">
            <w:pPr>
              <w:rPr>
                <w:rFonts w:eastAsia="Times New Roman" w:cs="Arial"/>
                <w:color w:val="000000"/>
                <w:sz w:val="16"/>
                <w:szCs w:val="16"/>
                <w:lang w:eastAsia="ca-ES"/>
              </w:rPr>
            </w:pPr>
            <w:r w:rsidRPr="00664FF0">
              <w:rPr>
                <w:rFonts w:eastAsia="Times New Roman" w:cs="Arial"/>
                <w:color w:val="000000"/>
                <w:sz w:val="16"/>
                <w:szCs w:val="16"/>
                <w:lang w:eastAsia="ca-ES"/>
              </w:rPr>
              <w:t>√</w:t>
            </w:r>
          </w:p>
        </w:tc>
        <w:tc>
          <w:tcPr>
            <w:tcW w:w="543" w:type="dxa"/>
            <w:tcBorders>
              <w:top w:val="single" w:sz="4" w:space="0" w:color="auto"/>
              <w:bottom w:val="single" w:sz="4" w:space="0" w:color="auto"/>
            </w:tcBorders>
            <w:shd w:val="clear" w:color="auto" w:fill="auto"/>
            <w:vAlign w:val="center"/>
            <w:hideMark/>
          </w:tcPr>
          <w:p w:rsidR="006A4109" w:rsidRPr="00664FF0" w:rsidRDefault="006A4109" w:rsidP="00E930B2">
            <w:pPr>
              <w:rPr>
                <w:rFonts w:eastAsia="Times New Roman" w:cs="Arial"/>
                <w:color w:val="000000"/>
                <w:sz w:val="16"/>
                <w:szCs w:val="16"/>
                <w:lang w:eastAsia="ca-ES"/>
              </w:rPr>
            </w:pPr>
            <w:r w:rsidRPr="00664FF0">
              <w:rPr>
                <w:rFonts w:eastAsia="Times New Roman" w:cs="Arial"/>
                <w:color w:val="000000"/>
                <w:sz w:val="16"/>
                <w:szCs w:val="16"/>
                <w:lang w:eastAsia="ca-ES"/>
              </w:rPr>
              <w:t> </w:t>
            </w:r>
          </w:p>
        </w:tc>
        <w:tc>
          <w:tcPr>
            <w:tcW w:w="543" w:type="dxa"/>
            <w:tcBorders>
              <w:top w:val="single" w:sz="4" w:space="0" w:color="auto"/>
              <w:bottom w:val="single" w:sz="4" w:space="0" w:color="auto"/>
            </w:tcBorders>
            <w:shd w:val="clear" w:color="auto" w:fill="auto"/>
            <w:vAlign w:val="center"/>
            <w:hideMark/>
          </w:tcPr>
          <w:p w:rsidR="006A4109" w:rsidRPr="00664FF0" w:rsidRDefault="006A4109" w:rsidP="00E930B2">
            <w:pPr>
              <w:rPr>
                <w:rFonts w:eastAsia="Times New Roman" w:cs="Arial"/>
                <w:color w:val="000000"/>
                <w:sz w:val="16"/>
                <w:szCs w:val="16"/>
                <w:lang w:eastAsia="ca-ES"/>
              </w:rPr>
            </w:pPr>
            <w:r w:rsidRPr="00664FF0">
              <w:rPr>
                <w:rFonts w:eastAsia="Times New Roman" w:cs="Arial"/>
                <w:color w:val="000000"/>
                <w:sz w:val="16"/>
                <w:szCs w:val="16"/>
                <w:lang w:eastAsia="ca-ES"/>
              </w:rPr>
              <w:t>√</w:t>
            </w:r>
          </w:p>
        </w:tc>
        <w:tc>
          <w:tcPr>
            <w:tcW w:w="543" w:type="dxa"/>
            <w:tcBorders>
              <w:top w:val="single" w:sz="4" w:space="0" w:color="auto"/>
              <w:bottom w:val="single" w:sz="4" w:space="0" w:color="auto"/>
            </w:tcBorders>
            <w:shd w:val="clear" w:color="auto" w:fill="auto"/>
            <w:vAlign w:val="center"/>
            <w:hideMark/>
          </w:tcPr>
          <w:p w:rsidR="006A4109" w:rsidRPr="00664FF0" w:rsidRDefault="006A4109" w:rsidP="00E930B2">
            <w:pPr>
              <w:rPr>
                <w:rFonts w:eastAsia="Times New Roman" w:cs="Arial"/>
                <w:color w:val="000000"/>
                <w:sz w:val="16"/>
                <w:szCs w:val="16"/>
                <w:lang w:eastAsia="ca-ES"/>
              </w:rPr>
            </w:pPr>
            <w:r w:rsidRPr="00664FF0">
              <w:rPr>
                <w:rFonts w:eastAsia="Times New Roman" w:cs="Arial"/>
                <w:color w:val="000000"/>
                <w:sz w:val="16"/>
                <w:szCs w:val="16"/>
                <w:lang w:eastAsia="ca-ES"/>
              </w:rPr>
              <w:t> </w:t>
            </w:r>
          </w:p>
        </w:tc>
      </w:tr>
      <w:tr w:rsidR="006A4109" w:rsidRPr="00664FF0" w:rsidTr="00E930B2">
        <w:trPr>
          <w:trHeight w:val="20"/>
        </w:trPr>
        <w:tc>
          <w:tcPr>
            <w:tcW w:w="1433" w:type="dxa"/>
            <w:tcBorders>
              <w:top w:val="single" w:sz="4" w:space="0" w:color="auto"/>
              <w:bottom w:val="single" w:sz="4" w:space="0" w:color="auto"/>
            </w:tcBorders>
            <w:shd w:val="clear" w:color="auto" w:fill="auto"/>
            <w:vAlign w:val="center"/>
            <w:hideMark/>
          </w:tcPr>
          <w:p w:rsidR="006A4109" w:rsidRPr="00664FF0" w:rsidRDefault="006A4109" w:rsidP="00E930B2">
            <w:pPr>
              <w:rPr>
                <w:rFonts w:eastAsia="Times New Roman" w:cs="Arial"/>
                <w:color w:val="000000"/>
                <w:sz w:val="16"/>
                <w:szCs w:val="16"/>
                <w:lang w:eastAsia="ca-ES"/>
              </w:rPr>
            </w:pPr>
            <w:r w:rsidRPr="00664FF0">
              <w:rPr>
                <w:rFonts w:eastAsia="Times New Roman" w:cs="Arial"/>
                <w:color w:val="000000"/>
                <w:sz w:val="16"/>
                <w:szCs w:val="16"/>
                <w:lang w:eastAsia="ca-ES"/>
              </w:rPr>
              <w:t>Confecció</w:t>
            </w:r>
          </w:p>
        </w:tc>
        <w:tc>
          <w:tcPr>
            <w:tcW w:w="542" w:type="dxa"/>
            <w:tcBorders>
              <w:top w:val="single" w:sz="4" w:space="0" w:color="auto"/>
              <w:bottom w:val="single" w:sz="4" w:space="0" w:color="auto"/>
            </w:tcBorders>
            <w:shd w:val="clear" w:color="auto" w:fill="auto"/>
            <w:vAlign w:val="center"/>
            <w:hideMark/>
          </w:tcPr>
          <w:p w:rsidR="006A4109" w:rsidRPr="00664FF0" w:rsidRDefault="006A4109" w:rsidP="00E930B2">
            <w:pPr>
              <w:rPr>
                <w:rFonts w:eastAsia="Times New Roman" w:cs="Arial"/>
                <w:color w:val="000000"/>
                <w:sz w:val="16"/>
                <w:szCs w:val="16"/>
                <w:lang w:eastAsia="ca-ES"/>
              </w:rPr>
            </w:pPr>
            <w:r w:rsidRPr="00664FF0">
              <w:rPr>
                <w:rFonts w:eastAsia="Times New Roman" w:cs="Arial"/>
                <w:color w:val="000000"/>
                <w:sz w:val="16"/>
                <w:szCs w:val="16"/>
                <w:lang w:eastAsia="ca-ES"/>
              </w:rPr>
              <w:t>√</w:t>
            </w:r>
          </w:p>
        </w:tc>
        <w:tc>
          <w:tcPr>
            <w:tcW w:w="543" w:type="dxa"/>
            <w:tcBorders>
              <w:top w:val="single" w:sz="4" w:space="0" w:color="auto"/>
              <w:bottom w:val="single" w:sz="4" w:space="0" w:color="auto"/>
            </w:tcBorders>
            <w:shd w:val="clear" w:color="auto" w:fill="auto"/>
            <w:vAlign w:val="center"/>
            <w:hideMark/>
          </w:tcPr>
          <w:p w:rsidR="006A4109" w:rsidRPr="00664FF0" w:rsidRDefault="006A4109" w:rsidP="00E930B2">
            <w:pPr>
              <w:rPr>
                <w:rFonts w:eastAsia="Times New Roman" w:cs="Arial"/>
                <w:color w:val="000000"/>
                <w:sz w:val="16"/>
                <w:szCs w:val="16"/>
                <w:lang w:eastAsia="ca-ES"/>
              </w:rPr>
            </w:pPr>
            <w:r w:rsidRPr="00664FF0">
              <w:rPr>
                <w:rFonts w:eastAsia="Times New Roman" w:cs="Arial"/>
                <w:color w:val="000000"/>
                <w:sz w:val="16"/>
                <w:szCs w:val="16"/>
                <w:lang w:eastAsia="ca-ES"/>
              </w:rPr>
              <w:t> </w:t>
            </w:r>
          </w:p>
        </w:tc>
        <w:tc>
          <w:tcPr>
            <w:tcW w:w="543" w:type="dxa"/>
            <w:tcBorders>
              <w:top w:val="single" w:sz="4" w:space="0" w:color="auto"/>
              <w:bottom w:val="single" w:sz="4" w:space="0" w:color="auto"/>
            </w:tcBorders>
            <w:shd w:val="clear" w:color="auto" w:fill="auto"/>
            <w:vAlign w:val="center"/>
            <w:hideMark/>
          </w:tcPr>
          <w:p w:rsidR="006A4109" w:rsidRPr="00664FF0" w:rsidRDefault="006A4109" w:rsidP="00E930B2">
            <w:pPr>
              <w:rPr>
                <w:rFonts w:eastAsia="Times New Roman" w:cs="Arial"/>
                <w:color w:val="000000"/>
                <w:sz w:val="16"/>
                <w:szCs w:val="16"/>
                <w:lang w:eastAsia="ca-ES"/>
              </w:rPr>
            </w:pPr>
            <w:r w:rsidRPr="00664FF0">
              <w:rPr>
                <w:rFonts w:eastAsia="Times New Roman" w:cs="Arial"/>
                <w:color w:val="000000"/>
                <w:sz w:val="16"/>
                <w:szCs w:val="16"/>
                <w:lang w:eastAsia="ca-ES"/>
              </w:rPr>
              <w:t> </w:t>
            </w:r>
          </w:p>
        </w:tc>
        <w:tc>
          <w:tcPr>
            <w:tcW w:w="543" w:type="dxa"/>
            <w:tcBorders>
              <w:top w:val="single" w:sz="4" w:space="0" w:color="auto"/>
              <w:bottom w:val="single" w:sz="4" w:space="0" w:color="auto"/>
            </w:tcBorders>
            <w:shd w:val="clear" w:color="auto" w:fill="auto"/>
            <w:vAlign w:val="center"/>
            <w:hideMark/>
          </w:tcPr>
          <w:p w:rsidR="006A4109" w:rsidRPr="00664FF0" w:rsidRDefault="006A4109" w:rsidP="00E930B2">
            <w:pPr>
              <w:rPr>
                <w:rFonts w:eastAsia="Times New Roman" w:cs="Arial"/>
                <w:color w:val="000000"/>
                <w:sz w:val="16"/>
                <w:szCs w:val="16"/>
                <w:lang w:eastAsia="ca-ES"/>
              </w:rPr>
            </w:pPr>
            <w:r w:rsidRPr="00664FF0">
              <w:rPr>
                <w:rFonts w:eastAsia="Times New Roman" w:cs="Arial"/>
                <w:color w:val="000000"/>
                <w:sz w:val="16"/>
                <w:szCs w:val="16"/>
                <w:lang w:eastAsia="ca-ES"/>
              </w:rPr>
              <w:t>√</w:t>
            </w:r>
          </w:p>
        </w:tc>
        <w:tc>
          <w:tcPr>
            <w:tcW w:w="543" w:type="dxa"/>
            <w:tcBorders>
              <w:top w:val="single" w:sz="4" w:space="0" w:color="auto"/>
              <w:bottom w:val="single" w:sz="4" w:space="0" w:color="auto"/>
            </w:tcBorders>
            <w:shd w:val="clear" w:color="auto" w:fill="auto"/>
            <w:vAlign w:val="center"/>
            <w:hideMark/>
          </w:tcPr>
          <w:p w:rsidR="006A4109" w:rsidRPr="00664FF0" w:rsidRDefault="006A4109" w:rsidP="00E930B2">
            <w:pPr>
              <w:rPr>
                <w:rFonts w:eastAsia="Times New Roman" w:cs="Arial"/>
                <w:color w:val="000000"/>
                <w:sz w:val="16"/>
                <w:szCs w:val="16"/>
                <w:lang w:eastAsia="ca-ES"/>
              </w:rPr>
            </w:pPr>
            <w:r w:rsidRPr="00664FF0">
              <w:rPr>
                <w:rFonts w:eastAsia="Times New Roman" w:cs="Arial"/>
                <w:color w:val="000000"/>
                <w:sz w:val="16"/>
                <w:szCs w:val="16"/>
                <w:lang w:eastAsia="ca-ES"/>
              </w:rPr>
              <w:t> </w:t>
            </w:r>
          </w:p>
        </w:tc>
        <w:tc>
          <w:tcPr>
            <w:tcW w:w="543" w:type="dxa"/>
            <w:tcBorders>
              <w:top w:val="single" w:sz="4" w:space="0" w:color="auto"/>
              <w:bottom w:val="single" w:sz="4" w:space="0" w:color="auto"/>
            </w:tcBorders>
            <w:shd w:val="clear" w:color="auto" w:fill="auto"/>
            <w:vAlign w:val="center"/>
            <w:hideMark/>
          </w:tcPr>
          <w:p w:rsidR="006A4109" w:rsidRPr="00664FF0" w:rsidRDefault="006A4109" w:rsidP="00E930B2">
            <w:pPr>
              <w:rPr>
                <w:rFonts w:eastAsia="Times New Roman" w:cs="Arial"/>
                <w:color w:val="000000"/>
                <w:sz w:val="16"/>
                <w:szCs w:val="16"/>
                <w:lang w:eastAsia="ca-ES"/>
              </w:rPr>
            </w:pPr>
            <w:r w:rsidRPr="00664FF0">
              <w:rPr>
                <w:rFonts w:eastAsia="Times New Roman" w:cs="Arial"/>
                <w:color w:val="000000"/>
                <w:sz w:val="16"/>
                <w:szCs w:val="16"/>
                <w:lang w:eastAsia="ca-ES"/>
              </w:rPr>
              <w:t> </w:t>
            </w:r>
          </w:p>
        </w:tc>
        <w:tc>
          <w:tcPr>
            <w:tcW w:w="543" w:type="dxa"/>
            <w:tcBorders>
              <w:top w:val="single" w:sz="4" w:space="0" w:color="auto"/>
              <w:bottom w:val="single" w:sz="4" w:space="0" w:color="auto"/>
            </w:tcBorders>
            <w:shd w:val="clear" w:color="auto" w:fill="auto"/>
            <w:vAlign w:val="center"/>
            <w:hideMark/>
          </w:tcPr>
          <w:p w:rsidR="006A4109" w:rsidRPr="00664FF0" w:rsidRDefault="006A4109" w:rsidP="00E930B2">
            <w:pPr>
              <w:rPr>
                <w:rFonts w:eastAsia="Times New Roman" w:cs="Arial"/>
                <w:color w:val="000000"/>
                <w:sz w:val="16"/>
                <w:szCs w:val="16"/>
                <w:lang w:eastAsia="ca-ES"/>
              </w:rPr>
            </w:pPr>
            <w:r w:rsidRPr="00664FF0">
              <w:rPr>
                <w:rFonts w:eastAsia="Times New Roman" w:cs="Arial"/>
                <w:color w:val="000000"/>
                <w:sz w:val="16"/>
                <w:szCs w:val="16"/>
                <w:lang w:eastAsia="ca-ES"/>
              </w:rPr>
              <w:t>√</w:t>
            </w:r>
          </w:p>
        </w:tc>
        <w:tc>
          <w:tcPr>
            <w:tcW w:w="542" w:type="dxa"/>
            <w:tcBorders>
              <w:top w:val="single" w:sz="4" w:space="0" w:color="auto"/>
              <w:bottom w:val="single" w:sz="4" w:space="0" w:color="auto"/>
            </w:tcBorders>
            <w:shd w:val="clear" w:color="auto" w:fill="auto"/>
            <w:vAlign w:val="center"/>
            <w:hideMark/>
          </w:tcPr>
          <w:p w:rsidR="006A4109" w:rsidRPr="00664FF0" w:rsidRDefault="006A4109" w:rsidP="00E930B2">
            <w:pPr>
              <w:rPr>
                <w:rFonts w:eastAsia="Times New Roman" w:cs="Arial"/>
                <w:color w:val="000000"/>
                <w:sz w:val="16"/>
                <w:szCs w:val="16"/>
                <w:lang w:eastAsia="ca-ES"/>
              </w:rPr>
            </w:pPr>
            <w:r w:rsidRPr="00664FF0">
              <w:rPr>
                <w:rFonts w:eastAsia="Times New Roman" w:cs="Arial"/>
                <w:color w:val="000000"/>
                <w:sz w:val="16"/>
                <w:szCs w:val="16"/>
                <w:lang w:eastAsia="ca-ES"/>
              </w:rPr>
              <w:t> </w:t>
            </w:r>
          </w:p>
        </w:tc>
        <w:tc>
          <w:tcPr>
            <w:tcW w:w="543" w:type="dxa"/>
            <w:tcBorders>
              <w:top w:val="single" w:sz="4" w:space="0" w:color="auto"/>
              <w:bottom w:val="single" w:sz="4" w:space="0" w:color="auto"/>
            </w:tcBorders>
            <w:shd w:val="clear" w:color="auto" w:fill="auto"/>
            <w:vAlign w:val="center"/>
            <w:hideMark/>
          </w:tcPr>
          <w:p w:rsidR="006A4109" w:rsidRPr="00664FF0" w:rsidRDefault="006A4109" w:rsidP="00E930B2">
            <w:pPr>
              <w:rPr>
                <w:rFonts w:eastAsia="Times New Roman" w:cs="Arial"/>
                <w:color w:val="000000"/>
                <w:sz w:val="16"/>
                <w:szCs w:val="16"/>
                <w:lang w:eastAsia="ca-ES"/>
              </w:rPr>
            </w:pPr>
            <w:r w:rsidRPr="00664FF0">
              <w:rPr>
                <w:rFonts w:eastAsia="Times New Roman" w:cs="Arial"/>
                <w:color w:val="000000"/>
                <w:sz w:val="16"/>
                <w:szCs w:val="16"/>
                <w:lang w:eastAsia="ca-ES"/>
              </w:rPr>
              <w:t> </w:t>
            </w:r>
          </w:p>
        </w:tc>
        <w:tc>
          <w:tcPr>
            <w:tcW w:w="543" w:type="dxa"/>
            <w:tcBorders>
              <w:top w:val="single" w:sz="4" w:space="0" w:color="auto"/>
              <w:bottom w:val="single" w:sz="4" w:space="0" w:color="auto"/>
            </w:tcBorders>
            <w:shd w:val="clear" w:color="auto" w:fill="auto"/>
            <w:vAlign w:val="center"/>
            <w:hideMark/>
          </w:tcPr>
          <w:p w:rsidR="006A4109" w:rsidRPr="00664FF0" w:rsidRDefault="006A4109" w:rsidP="00E930B2">
            <w:pPr>
              <w:rPr>
                <w:rFonts w:eastAsia="Times New Roman" w:cs="Arial"/>
                <w:color w:val="000000"/>
                <w:sz w:val="16"/>
                <w:szCs w:val="16"/>
                <w:lang w:eastAsia="ca-ES"/>
              </w:rPr>
            </w:pPr>
            <w:r w:rsidRPr="00664FF0">
              <w:rPr>
                <w:rFonts w:eastAsia="Times New Roman" w:cs="Arial"/>
                <w:color w:val="000000"/>
                <w:sz w:val="16"/>
                <w:szCs w:val="16"/>
                <w:lang w:eastAsia="ca-ES"/>
              </w:rPr>
              <w:t> </w:t>
            </w:r>
          </w:p>
        </w:tc>
        <w:tc>
          <w:tcPr>
            <w:tcW w:w="543" w:type="dxa"/>
            <w:tcBorders>
              <w:top w:val="single" w:sz="4" w:space="0" w:color="auto"/>
              <w:bottom w:val="single" w:sz="4" w:space="0" w:color="auto"/>
            </w:tcBorders>
            <w:shd w:val="clear" w:color="auto" w:fill="auto"/>
            <w:vAlign w:val="center"/>
            <w:hideMark/>
          </w:tcPr>
          <w:p w:rsidR="006A4109" w:rsidRPr="00664FF0" w:rsidRDefault="006A4109" w:rsidP="00E930B2">
            <w:pPr>
              <w:rPr>
                <w:rFonts w:eastAsia="Times New Roman" w:cs="Arial"/>
                <w:color w:val="000000"/>
                <w:sz w:val="16"/>
                <w:szCs w:val="16"/>
                <w:lang w:eastAsia="ca-ES"/>
              </w:rPr>
            </w:pPr>
            <w:r w:rsidRPr="00664FF0">
              <w:rPr>
                <w:rFonts w:eastAsia="Times New Roman" w:cs="Arial"/>
                <w:color w:val="000000"/>
                <w:sz w:val="16"/>
                <w:szCs w:val="16"/>
                <w:lang w:eastAsia="ca-ES"/>
              </w:rPr>
              <w:t> </w:t>
            </w:r>
          </w:p>
        </w:tc>
        <w:tc>
          <w:tcPr>
            <w:tcW w:w="543" w:type="dxa"/>
            <w:tcBorders>
              <w:top w:val="single" w:sz="4" w:space="0" w:color="auto"/>
              <w:bottom w:val="single" w:sz="4" w:space="0" w:color="auto"/>
            </w:tcBorders>
            <w:shd w:val="clear" w:color="auto" w:fill="auto"/>
            <w:vAlign w:val="center"/>
            <w:hideMark/>
          </w:tcPr>
          <w:p w:rsidR="006A4109" w:rsidRPr="00664FF0" w:rsidRDefault="006A4109" w:rsidP="00E930B2">
            <w:pPr>
              <w:rPr>
                <w:rFonts w:eastAsia="Times New Roman" w:cs="Arial"/>
                <w:color w:val="000000"/>
                <w:sz w:val="16"/>
                <w:szCs w:val="16"/>
                <w:lang w:eastAsia="ca-ES"/>
              </w:rPr>
            </w:pPr>
            <w:r w:rsidRPr="00664FF0">
              <w:rPr>
                <w:rFonts w:eastAsia="Times New Roman" w:cs="Arial"/>
                <w:color w:val="000000"/>
                <w:sz w:val="16"/>
                <w:szCs w:val="16"/>
                <w:lang w:eastAsia="ca-ES"/>
              </w:rPr>
              <w:t> </w:t>
            </w:r>
          </w:p>
        </w:tc>
        <w:tc>
          <w:tcPr>
            <w:tcW w:w="543" w:type="dxa"/>
            <w:tcBorders>
              <w:top w:val="single" w:sz="4" w:space="0" w:color="auto"/>
              <w:bottom w:val="single" w:sz="4" w:space="0" w:color="auto"/>
            </w:tcBorders>
            <w:shd w:val="clear" w:color="auto" w:fill="auto"/>
            <w:vAlign w:val="center"/>
            <w:hideMark/>
          </w:tcPr>
          <w:p w:rsidR="006A4109" w:rsidRPr="00664FF0" w:rsidRDefault="006A4109" w:rsidP="00E930B2">
            <w:pPr>
              <w:rPr>
                <w:rFonts w:eastAsia="Times New Roman" w:cs="Arial"/>
                <w:color w:val="000000"/>
                <w:sz w:val="16"/>
                <w:szCs w:val="16"/>
                <w:lang w:eastAsia="ca-ES"/>
              </w:rPr>
            </w:pPr>
            <w:r w:rsidRPr="00664FF0">
              <w:rPr>
                <w:rFonts w:eastAsia="Times New Roman" w:cs="Arial"/>
                <w:color w:val="000000"/>
                <w:sz w:val="16"/>
                <w:szCs w:val="16"/>
                <w:lang w:eastAsia="ca-ES"/>
              </w:rPr>
              <w:t> </w:t>
            </w:r>
          </w:p>
        </w:tc>
        <w:tc>
          <w:tcPr>
            <w:tcW w:w="543" w:type="dxa"/>
            <w:tcBorders>
              <w:top w:val="single" w:sz="4" w:space="0" w:color="auto"/>
              <w:bottom w:val="single" w:sz="4" w:space="0" w:color="auto"/>
            </w:tcBorders>
            <w:shd w:val="clear" w:color="auto" w:fill="auto"/>
            <w:vAlign w:val="center"/>
            <w:hideMark/>
          </w:tcPr>
          <w:p w:rsidR="006A4109" w:rsidRPr="00664FF0" w:rsidRDefault="006A4109" w:rsidP="00E930B2">
            <w:pPr>
              <w:rPr>
                <w:rFonts w:eastAsia="Times New Roman" w:cs="Arial"/>
                <w:color w:val="000000"/>
                <w:sz w:val="16"/>
                <w:szCs w:val="16"/>
                <w:lang w:eastAsia="ca-ES"/>
              </w:rPr>
            </w:pPr>
            <w:r w:rsidRPr="00664FF0">
              <w:rPr>
                <w:rFonts w:eastAsia="Times New Roman" w:cs="Arial"/>
                <w:color w:val="000000"/>
                <w:sz w:val="16"/>
                <w:szCs w:val="16"/>
                <w:lang w:eastAsia="ca-ES"/>
              </w:rPr>
              <w:t> </w:t>
            </w:r>
          </w:p>
        </w:tc>
      </w:tr>
      <w:tr w:rsidR="006A4109" w:rsidRPr="00664FF0" w:rsidTr="00E930B2">
        <w:trPr>
          <w:trHeight w:val="20"/>
        </w:trPr>
        <w:tc>
          <w:tcPr>
            <w:tcW w:w="1433" w:type="dxa"/>
            <w:tcBorders>
              <w:top w:val="single" w:sz="4" w:space="0" w:color="auto"/>
              <w:bottom w:val="single" w:sz="4" w:space="0" w:color="auto"/>
            </w:tcBorders>
            <w:shd w:val="clear" w:color="auto" w:fill="auto"/>
            <w:vAlign w:val="center"/>
            <w:hideMark/>
          </w:tcPr>
          <w:p w:rsidR="006A4109" w:rsidRPr="00664FF0" w:rsidRDefault="006A4109" w:rsidP="00E930B2">
            <w:pPr>
              <w:rPr>
                <w:rFonts w:eastAsia="Times New Roman" w:cs="Arial"/>
                <w:color w:val="000000"/>
                <w:sz w:val="16"/>
                <w:szCs w:val="16"/>
                <w:lang w:eastAsia="ca-ES"/>
              </w:rPr>
            </w:pPr>
            <w:r w:rsidRPr="00664FF0">
              <w:rPr>
                <w:rFonts w:eastAsia="Times New Roman" w:cs="Arial"/>
                <w:color w:val="000000"/>
                <w:sz w:val="16"/>
                <w:szCs w:val="16"/>
                <w:lang w:eastAsia="ca-ES"/>
              </w:rPr>
              <w:t>Cartonatge</w:t>
            </w:r>
          </w:p>
        </w:tc>
        <w:tc>
          <w:tcPr>
            <w:tcW w:w="542" w:type="dxa"/>
            <w:tcBorders>
              <w:top w:val="single" w:sz="4" w:space="0" w:color="auto"/>
              <w:bottom w:val="single" w:sz="4" w:space="0" w:color="auto"/>
            </w:tcBorders>
            <w:shd w:val="clear" w:color="auto" w:fill="auto"/>
            <w:vAlign w:val="center"/>
            <w:hideMark/>
          </w:tcPr>
          <w:p w:rsidR="006A4109" w:rsidRPr="00664FF0" w:rsidRDefault="006A4109" w:rsidP="00E930B2">
            <w:pPr>
              <w:rPr>
                <w:rFonts w:eastAsia="Times New Roman" w:cs="Arial"/>
                <w:color w:val="000000"/>
                <w:sz w:val="16"/>
                <w:szCs w:val="16"/>
                <w:lang w:eastAsia="ca-ES"/>
              </w:rPr>
            </w:pPr>
            <w:r w:rsidRPr="00664FF0">
              <w:rPr>
                <w:rFonts w:eastAsia="Times New Roman" w:cs="Arial"/>
                <w:color w:val="000000"/>
                <w:sz w:val="16"/>
                <w:szCs w:val="16"/>
                <w:lang w:eastAsia="ca-ES"/>
              </w:rPr>
              <w:t> </w:t>
            </w:r>
          </w:p>
        </w:tc>
        <w:tc>
          <w:tcPr>
            <w:tcW w:w="543" w:type="dxa"/>
            <w:tcBorders>
              <w:top w:val="single" w:sz="4" w:space="0" w:color="auto"/>
              <w:bottom w:val="single" w:sz="4" w:space="0" w:color="auto"/>
            </w:tcBorders>
            <w:shd w:val="clear" w:color="auto" w:fill="auto"/>
            <w:vAlign w:val="center"/>
            <w:hideMark/>
          </w:tcPr>
          <w:p w:rsidR="006A4109" w:rsidRPr="00664FF0" w:rsidRDefault="006A4109" w:rsidP="00E930B2">
            <w:pPr>
              <w:rPr>
                <w:rFonts w:eastAsia="Times New Roman" w:cs="Arial"/>
                <w:color w:val="000000"/>
                <w:sz w:val="16"/>
                <w:szCs w:val="16"/>
                <w:lang w:eastAsia="ca-ES"/>
              </w:rPr>
            </w:pPr>
            <w:r w:rsidRPr="00664FF0">
              <w:rPr>
                <w:rFonts w:eastAsia="Times New Roman" w:cs="Arial"/>
                <w:color w:val="000000"/>
                <w:sz w:val="16"/>
                <w:szCs w:val="16"/>
                <w:lang w:eastAsia="ca-ES"/>
              </w:rPr>
              <w:t> </w:t>
            </w:r>
          </w:p>
        </w:tc>
        <w:tc>
          <w:tcPr>
            <w:tcW w:w="543" w:type="dxa"/>
            <w:tcBorders>
              <w:top w:val="single" w:sz="4" w:space="0" w:color="auto"/>
              <w:bottom w:val="single" w:sz="4" w:space="0" w:color="auto"/>
            </w:tcBorders>
            <w:shd w:val="clear" w:color="auto" w:fill="auto"/>
            <w:vAlign w:val="center"/>
            <w:hideMark/>
          </w:tcPr>
          <w:p w:rsidR="006A4109" w:rsidRPr="00664FF0" w:rsidRDefault="006A4109" w:rsidP="00E930B2">
            <w:pPr>
              <w:rPr>
                <w:rFonts w:eastAsia="Times New Roman" w:cs="Arial"/>
                <w:color w:val="000000"/>
                <w:sz w:val="16"/>
                <w:szCs w:val="16"/>
                <w:lang w:eastAsia="ca-ES"/>
              </w:rPr>
            </w:pPr>
            <w:r w:rsidRPr="00664FF0">
              <w:rPr>
                <w:rFonts w:eastAsia="Times New Roman" w:cs="Arial"/>
                <w:color w:val="000000"/>
                <w:sz w:val="16"/>
                <w:szCs w:val="16"/>
                <w:lang w:eastAsia="ca-ES"/>
              </w:rPr>
              <w:t> </w:t>
            </w:r>
          </w:p>
        </w:tc>
        <w:tc>
          <w:tcPr>
            <w:tcW w:w="543" w:type="dxa"/>
            <w:tcBorders>
              <w:top w:val="single" w:sz="4" w:space="0" w:color="auto"/>
              <w:bottom w:val="single" w:sz="4" w:space="0" w:color="auto"/>
            </w:tcBorders>
            <w:shd w:val="clear" w:color="auto" w:fill="auto"/>
            <w:vAlign w:val="center"/>
            <w:hideMark/>
          </w:tcPr>
          <w:p w:rsidR="006A4109" w:rsidRPr="00664FF0" w:rsidRDefault="006A4109" w:rsidP="00E930B2">
            <w:pPr>
              <w:rPr>
                <w:rFonts w:eastAsia="Times New Roman" w:cs="Arial"/>
                <w:color w:val="000000"/>
                <w:sz w:val="16"/>
                <w:szCs w:val="16"/>
                <w:lang w:eastAsia="ca-ES"/>
              </w:rPr>
            </w:pPr>
            <w:r w:rsidRPr="00664FF0">
              <w:rPr>
                <w:rFonts w:eastAsia="Times New Roman" w:cs="Arial"/>
                <w:color w:val="000000"/>
                <w:sz w:val="16"/>
                <w:szCs w:val="16"/>
                <w:lang w:eastAsia="ca-ES"/>
              </w:rPr>
              <w:t> </w:t>
            </w:r>
          </w:p>
        </w:tc>
        <w:tc>
          <w:tcPr>
            <w:tcW w:w="543" w:type="dxa"/>
            <w:tcBorders>
              <w:top w:val="single" w:sz="4" w:space="0" w:color="auto"/>
              <w:bottom w:val="single" w:sz="4" w:space="0" w:color="auto"/>
            </w:tcBorders>
            <w:shd w:val="clear" w:color="auto" w:fill="auto"/>
            <w:vAlign w:val="center"/>
            <w:hideMark/>
          </w:tcPr>
          <w:p w:rsidR="006A4109" w:rsidRPr="00664FF0" w:rsidRDefault="006A4109" w:rsidP="00E930B2">
            <w:pPr>
              <w:rPr>
                <w:rFonts w:eastAsia="Times New Roman" w:cs="Arial"/>
                <w:color w:val="000000"/>
                <w:sz w:val="16"/>
                <w:szCs w:val="16"/>
                <w:lang w:eastAsia="ca-ES"/>
              </w:rPr>
            </w:pPr>
            <w:r w:rsidRPr="00664FF0">
              <w:rPr>
                <w:rFonts w:eastAsia="Times New Roman" w:cs="Arial"/>
                <w:color w:val="000000"/>
                <w:sz w:val="16"/>
                <w:szCs w:val="16"/>
                <w:lang w:eastAsia="ca-ES"/>
              </w:rPr>
              <w:t> </w:t>
            </w:r>
          </w:p>
        </w:tc>
        <w:tc>
          <w:tcPr>
            <w:tcW w:w="543" w:type="dxa"/>
            <w:tcBorders>
              <w:top w:val="single" w:sz="4" w:space="0" w:color="auto"/>
              <w:bottom w:val="single" w:sz="4" w:space="0" w:color="auto"/>
            </w:tcBorders>
            <w:shd w:val="clear" w:color="auto" w:fill="auto"/>
            <w:vAlign w:val="center"/>
            <w:hideMark/>
          </w:tcPr>
          <w:p w:rsidR="006A4109" w:rsidRPr="00664FF0" w:rsidRDefault="006A4109" w:rsidP="00E930B2">
            <w:pPr>
              <w:rPr>
                <w:rFonts w:eastAsia="Times New Roman" w:cs="Arial"/>
                <w:color w:val="000000"/>
                <w:sz w:val="16"/>
                <w:szCs w:val="16"/>
                <w:lang w:eastAsia="ca-ES"/>
              </w:rPr>
            </w:pPr>
            <w:r w:rsidRPr="00664FF0">
              <w:rPr>
                <w:rFonts w:eastAsia="Times New Roman" w:cs="Arial"/>
                <w:color w:val="000000"/>
                <w:sz w:val="16"/>
                <w:szCs w:val="16"/>
                <w:lang w:eastAsia="ca-ES"/>
              </w:rPr>
              <w:t> </w:t>
            </w:r>
          </w:p>
        </w:tc>
        <w:tc>
          <w:tcPr>
            <w:tcW w:w="543" w:type="dxa"/>
            <w:tcBorders>
              <w:top w:val="single" w:sz="4" w:space="0" w:color="auto"/>
              <w:bottom w:val="single" w:sz="4" w:space="0" w:color="auto"/>
            </w:tcBorders>
            <w:shd w:val="clear" w:color="auto" w:fill="auto"/>
            <w:vAlign w:val="center"/>
            <w:hideMark/>
          </w:tcPr>
          <w:p w:rsidR="006A4109" w:rsidRPr="00664FF0" w:rsidRDefault="006A4109" w:rsidP="00E930B2">
            <w:pPr>
              <w:rPr>
                <w:rFonts w:eastAsia="Times New Roman" w:cs="Arial"/>
                <w:color w:val="000000"/>
                <w:sz w:val="16"/>
                <w:szCs w:val="16"/>
                <w:lang w:eastAsia="ca-ES"/>
              </w:rPr>
            </w:pPr>
            <w:r w:rsidRPr="00664FF0">
              <w:rPr>
                <w:rFonts w:eastAsia="Times New Roman" w:cs="Arial"/>
                <w:color w:val="000000"/>
                <w:sz w:val="16"/>
                <w:szCs w:val="16"/>
                <w:lang w:eastAsia="ca-ES"/>
              </w:rPr>
              <w:t> </w:t>
            </w:r>
          </w:p>
        </w:tc>
        <w:tc>
          <w:tcPr>
            <w:tcW w:w="542" w:type="dxa"/>
            <w:tcBorders>
              <w:top w:val="single" w:sz="4" w:space="0" w:color="auto"/>
              <w:bottom w:val="single" w:sz="4" w:space="0" w:color="auto"/>
            </w:tcBorders>
            <w:shd w:val="clear" w:color="auto" w:fill="auto"/>
            <w:vAlign w:val="center"/>
            <w:hideMark/>
          </w:tcPr>
          <w:p w:rsidR="006A4109" w:rsidRPr="00664FF0" w:rsidRDefault="006A4109" w:rsidP="00E930B2">
            <w:pPr>
              <w:rPr>
                <w:rFonts w:eastAsia="Times New Roman" w:cs="Arial"/>
                <w:color w:val="000000"/>
                <w:sz w:val="16"/>
                <w:szCs w:val="16"/>
                <w:lang w:eastAsia="ca-ES"/>
              </w:rPr>
            </w:pPr>
            <w:r w:rsidRPr="00664FF0">
              <w:rPr>
                <w:rFonts w:eastAsia="Times New Roman" w:cs="Arial"/>
                <w:color w:val="000000"/>
                <w:sz w:val="16"/>
                <w:szCs w:val="16"/>
                <w:lang w:eastAsia="ca-ES"/>
              </w:rPr>
              <w:t>√</w:t>
            </w:r>
          </w:p>
        </w:tc>
        <w:tc>
          <w:tcPr>
            <w:tcW w:w="543" w:type="dxa"/>
            <w:tcBorders>
              <w:top w:val="single" w:sz="4" w:space="0" w:color="auto"/>
              <w:bottom w:val="single" w:sz="4" w:space="0" w:color="auto"/>
            </w:tcBorders>
            <w:shd w:val="clear" w:color="auto" w:fill="auto"/>
            <w:vAlign w:val="center"/>
            <w:hideMark/>
          </w:tcPr>
          <w:p w:rsidR="006A4109" w:rsidRPr="00664FF0" w:rsidRDefault="006A4109" w:rsidP="00E930B2">
            <w:pPr>
              <w:rPr>
                <w:rFonts w:eastAsia="Times New Roman" w:cs="Arial"/>
                <w:color w:val="000000"/>
                <w:sz w:val="16"/>
                <w:szCs w:val="16"/>
                <w:lang w:eastAsia="ca-ES"/>
              </w:rPr>
            </w:pPr>
            <w:r w:rsidRPr="00664FF0">
              <w:rPr>
                <w:rFonts w:eastAsia="Times New Roman" w:cs="Arial"/>
                <w:color w:val="000000"/>
                <w:sz w:val="16"/>
                <w:szCs w:val="16"/>
                <w:lang w:eastAsia="ca-ES"/>
              </w:rPr>
              <w:t> </w:t>
            </w:r>
          </w:p>
        </w:tc>
        <w:tc>
          <w:tcPr>
            <w:tcW w:w="543" w:type="dxa"/>
            <w:tcBorders>
              <w:top w:val="single" w:sz="4" w:space="0" w:color="auto"/>
              <w:bottom w:val="single" w:sz="4" w:space="0" w:color="auto"/>
            </w:tcBorders>
            <w:shd w:val="clear" w:color="auto" w:fill="auto"/>
            <w:vAlign w:val="center"/>
            <w:hideMark/>
          </w:tcPr>
          <w:p w:rsidR="006A4109" w:rsidRPr="00664FF0" w:rsidRDefault="006A4109" w:rsidP="00E930B2">
            <w:pPr>
              <w:rPr>
                <w:rFonts w:eastAsia="Times New Roman" w:cs="Arial"/>
                <w:color w:val="000000"/>
                <w:sz w:val="16"/>
                <w:szCs w:val="16"/>
                <w:lang w:eastAsia="ca-ES"/>
              </w:rPr>
            </w:pPr>
            <w:r w:rsidRPr="00664FF0">
              <w:rPr>
                <w:rFonts w:eastAsia="Times New Roman" w:cs="Arial"/>
                <w:color w:val="000000"/>
                <w:sz w:val="16"/>
                <w:szCs w:val="16"/>
                <w:lang w:eastAsia="ca-ES"/>
              </w:rPr>
              <w:t> </w:t>
            </w:r>
          </w:p>
        </w:tc>
        <w:tc>
          <w:tcPr>
            <w:tcW w:w="543" w:type="dxa"/>
            <w:tcBorders>
              <w:top w:val="single" w:sz="4" w:space="0" w:color="auto"/>
              <w:bottom w:val="single" w:sz="4" w:space="0" w:color="auto"/>
            </w:tcBorders>
            <w:shd w:val="clear" w:color="auto" w:fill="auto"/>
            <w:vAlign w:val="center"/>
            <w:hideMark/>
          </w:tcPr>
          <w:p w:rsidR="006A4109" w:rsidRPr="00664FF0" w:rsidRDefault="006A4109" w:rsidP="00E930B2">
            <w:pPr>
              <w:rPr>
                <w:rFonts w:eastAsia="Times New Roman" w:cs="Arial"/>
                <w:color w:val="000000"/>
                <w:sz w:val="16"/>
                <w:szCs w:val="16"/>
                <w:lang w:eastAsia="ca-ES"/>
              </w:rPr>
            </w:pPr>
            <w:r w:rsidRPr="00664FF0">
              <w:rPr>
                <w:rFonts w:eastAsia="Times New Roman" w:cs="Arial"/>
                <w:color w:val="000000"/>
                <w:sz w:val="16"/>
                <w:szCs w:val="16"/>
                <w:lang w:eastAsia="ca-ES"/>
              </w:rPr>
              <w:t> </w:t>
            </w:r>
          </w:p>
        </w:tc>
        <w:tc>
          <w:tcPr>
            <w:tcW w:w="543" w:type="dxa"/>
            <w:tcBorders>
              <w:top w:val="single" w:sz="4" w:space="0" w:color="auto"/>
              <w:bottom w:val="single" w:sz="4" w:space="0" w:color="auto"/>
            </w:tcBorders>
            <w:shd w:val="clear" w:color="auto" w:fill="auto"/>
            <w:vAlign w:val="center"/>
            <w:hideMark/>
          </w:tcPr>
          <w:p w:rsidR="006A4109" w:rsidRPr="00664FF0" w:rsidRDefault="006A4109" w:rsidP="00E930B2">
            <w:pPr>
              <w:rPr>
                <w:rFonts w:eastAsia="Times New Roman" w:cs="Arial"/>
                <w:color w:val="000000"/>
                <w:sz w:val="16"/>
                <w:szCs w:val="16"/>
                <w:lang w:eastAsia="ca-ES"/>
              </w:rPr>
            </w:pPr>
            <w:r w:rsidRPr="00664FF0">
              <w:rPr>
                <w:rFonts w:eastAsia="Times New Roman" w:cs="Arial"/>
                <w:color w:val="000000"/>
                <w:sz w:val="16"/>
                <w:szCs w:val="16"/>
                <w:lang w:eastAsia="ca-ES"/>
              </w:rPr>
              <w:t> </w:t>
            </w:r>
          </w:p>
        </w:tc>
        <w:tc>
          <w:tcPr>
            <w:tcW w:w="543" w:type="dxa"/>
            <w:tcBorders>
              <w:top w:val="single" w:sz="4" w:space="0" w:color="auto"/>
              <w:bottom w:val="single" w:sz="4" w:space="0" w:color="auto"/>
            </w:tcBorders>
            <w:shd w:val="clear" w:color="auto" w:fill="auto"/>
            <w:vAlign w:val="center"/>
            <w:hideMark/>
          </w:tcPr>
          <w:p w:rsidR="006A4109" w:rsidRPr="00664FF0" w:rsidRDefault="006A4109" w:rsidP="00E930B2">
            <w:pPr>
              <w:rPr>
                <w:rFonts w:eastAsia="Times New Roman" w:cs="Arial"/>
                <w:color w:val="000000"/>
                <w:sz w:val="16"/>
                <w:szCs w:val="16"/>
                <w:lang w:eastAsia="ca-ES"/>
              </w:rPr>
            </w:pPr>
            <w:r w:rsidRPr="00664FF0">
              <w:rPr>
                <w:rFonts w:eastAsia="Times New Roman" w:cs="Arial"/>
                <w:color w:val="000000"/>
                <w:sz w:val="16"/>
                <w:szCs w:val="16"/>
                <w:lang w:eastAsia="ca-ES"/>
              </w:rPr>
              <w:t> </w:t>
            </w:r>
          </w:p>
        </w:tc>
        <w:tc>
          <w:tcPr>
            <w:tcW w:w="543" w:type="dxa"/>
            <w:tcBorders>
              <w:top w:val="single" w:sz="4" w:space="0" w:color="auto"/>
              <w:bottom w:val="single" w:sz="4" w:space="0" w:color="auto"/>
            </w:tcBorders>
            <w:shd w:val="clear" w:color="auto" w:fill="auto"/>
            <w:vAlign w:val="center"/>
            <w:hideMark/>
          </w:tcPr>
          <w:p w:rsidR="006A4109" w:rsidRPr="00664FF0" w:rsidRDefault="006A4109" w:rsidP="00E930B2">
            <w:pPr>
              <w:rPr>
                <w:rFonts w:eastAsia="Times New Roman" w:cs="Arial"/>
                <w:color w:val="000000"/>
                <w:sz w:val="16"/>
                <w:szCs w:val="16"/>
                <w:lang w:eastAsia="ca-ES"/>
              </w:rPr>
            </w:pPr>
            <w:r w:rsidRPr="00664FF0">
              <w:rPr>
                <w:rFonts w:eastAsia="Times New Roman" w:cs="Arial"/>
                <w:color w:val="000000"/>
                <w:sz w:val="16"/>
                <w:szCs w:val="16"/>
                <w:lang w:eastAsia="ca-ES"/>
              </w:rPr>
              <w:t> </w:t>
            </w:r>
          </w:p>
        </w:tc>
      </w:tr>
      <w:tr w:rsidR="006A4109" w:rsidRPr="00664FF0" w:rsidTr="00E930B2">
        <w:trPr>
          <w:trHeight w:val="20"/>
        </w:trPr>
        <w:tc>
          <w:tcPr>
            <w:tcW w:w="1433" w:type="dxa"/>
            <w:tcBorders>
              <w:top w:val="single" w:sz="4" w:space="0" w:color="auto"/>
              <w:bottom w:val="single" w:sz="4" w:space="0" w:color="auto"/>
            </w:tcBorders>
            <w:shd w:val="clear" w:color="auto" w:fill="auto"/>
            <w:vAlign w:val="center"/>
            <w:hideMark/>
          </w:tcPr>
          <w:p w:rsidR="006A4109" w:rsidRPr="00664FF0" w:rsidRDefault="006A4109" w:rsidP="00E930B2">
            <w:pPr>
              <w:rPr>
                <w:rFonts w:eastAsia="Times New Roman" w:cs="Arial"/>
                <w:color w:val="000000"/>
                <w:sz w:val="16"/>
                <w:szCs w:val="16"/>
                <w:lang w:eastAsia="ca-ES"/>
              </w:rPr>
            </w:pPr>
            <w:r w:rsidRPr="00664FF0">
              <w:rPr>
                <w:rFonts w:eastAsia="Times New Roman" w:cs="Arial"/>
                <w:color w:val="000000"/>
                <w:sz w:val="16"/>
                <w:szCs w:val="16"/>
                <w:lang w:eastAsia="ca-ES"/>
              </w:rPr>
              <w:t>Serralleria</w:t>
            </w:r>
          </w:p>
        </w:tc>
        <w:tc>
          <w:tcPr>
            <w:tcW w:w="542" w:type="dxa"/>
            <w:tcBorders>
              <w:top w:val="single" w:sz="4" w:space="0" w:color="auto"/>
              <w:bottom w:val="single" w:sz="4" w:space="0" w:color="auto"/>
            </w:tcBorders>
            <w:shd w:val="clear" w:color="auto" w:fill="auto"/>
            <w:vAlign w:val="center"/>
            <w:hideMark/>
          </w:tcPr>
          <w:p w:rsidR="006A4109" w:rsidRPr="00664FF0" w:rsidRDefault="006A4109" w:rsidP="00E930B2">
            <w:pPr>
              <w:rPr>
                <w:rFonts w:eastAsia="Times New Roman" w:cs="Arial"/>
                <w:color w:val="000000"/>
                <w:sz w:val="16"/>
                <w:szCs w:val="16"/>
                <w:lang w:eastAsia="ca-ES"/>
              </w:rPr>
            </w:pPr>
            <w:r w:rsidRPr="00664FF0">
              <w:rPr>
                <w:rFonts w:eastAsia="Times New Roman" w:cs="Arial"/>
                <w:color w:val="000000"/>
                <w:sz w:val="16"/>
                <w:szCs w:val="16"/>
                <w:lang w:eastAsia="ca-ES"/>
              </w:rPr>
              <w:t> </w:t>
            </w:r>
          </w:p>
        </w:tc>
        <w:tc>
          <w:tcPr>
            <w:tcW w:w="543" w:type="dxa"/>
            <w:tcBorders>
              <w:top w:val="single" w:sz="4" w:space="0" w:color="auto"/>
              <w:bottom w:val="single" w:sz="4" w:space="0" w:color="auto"/>
            </w:tcBorders>
            <w:shd w:val="clear" w:color="auto" w:fill="auto"/>
            <w:vAlign w:val="center"/>
            <w:hideMark/>
          </w:tcPr>
          <w:p w:rsidR="006A4109" w:rsidRPr="00664FF0" w:rsidRDefault="006A4109" w:rsidP="00E930B2">
            <w:pPr>
              <w:rPr>
                <w:rFonts w:eastAsia="Times New Roman" w:cs="Arial"/>
                <w:color w:val="000000"/>
                <w:sz w:val="16"/>
                <w:szCs w:val="16"/>
                <w:lang w:eastAsia="ca-ES"/>
              </w:rPr>
            </w:pPr>
            <w:r w:rsidRPr="00664FF0">
              <w:rPr>
                <w:rFonts w:eastAsia="Times New Roman" w:cs="Arial"/>
                <w:color w:val="000000"/>
                <w:sz w:val="16"/>
                <w:szCs w:val="16"/>
                <w:lang w:eastAsia="ca-ES"/>
              </w:rPr>
              <w:t> </w:t>
            </w:r>
          </w:p>
        </w:tc>
        <w:tc>
          <w:tcPr>
            <w:tcW w:w="543" w:type="dxa"/>
            <w:tcBorders>
              <w:top w:val="single" w:sz="4" w:space="0" w:color="auto"/>
              <w:bottom w:val="single" w:sz="4" w:space="0" w:color="auto"/>
            </w:tcBorders>
            <w:shd w:val="clear" w:color="auto" w:fill="auto"/>
            <w:vAlign w:val="center"/>
            <w:hideMark/>
          </w:tcPr>
          <w:p w:rsidR="006A4109" w:rsidRPr="00664FF0" w:rsidRDefault="006A4109" w:rsidP="00E930B2">
            <w:pPr>
              <w:rPr>
                <w:rFonts w:eastAsia="Times New Roman" w:cs="Arial"/>
                <w:color w:val="000000"/>
                <w:sz w:val="16"/>
                <w:szCs w:val="16"/>
                <w:lang w:eastAsia="ca-ES"/>
              </w:rPr>
            </w:pPr>
            <w:r w:rsidRPr="00664FF0">
              <w:rPr>
                <w:rFonts w:eastAsia="Times New Roman" w:cs="Arial"/>
                <w:color w:val="000000"/>
                <w:sz w:val="16"/>
                <w:szCs w:val="16"/>
                <w:lang w:eastAsia="ca-ES"/>
              </w:rPr>
              <w:t> </w:t>
            </w:r>
          </w:p>
        </w:tc>
        <w:tc>
          <w:tcPr>
            <w:tcW w:w="543" w:type="dxa"/>
            <w:tcBorders>
              <w:top w:val="single" w:sz="4" w:space="0" w:color="auto"/>
              <w:bottom w:val="single" w:sz="4" w:space="0" w:color="auto"/>
            </w:tcBorders>
            <w:shd w:val="clear" w:color="auto" w:fill="auto"/>
            <w:vAlign w:val="center"/>
            <w:hideMark/>
          </w:tcPr>
          <w:p w:rsidR="006A4109" w:rsidRPr="00664FF0" w:rsidRDefault="006A4109" w:rsidP="00E930B2">
            <w:pPr>
              <w:rPr>
                <w:rFonts w:eastAsia="Times New Roman" w:cs="Arial"/>
                <w:color w:val="000000"/>
                <w:sz w:val="16"/>
                <w:szCs w:val="16"/>
                <w:lang w:eastAsia="ca-ES"/>
              </w:rPr>
            </w:pPr>
            <w:r w:rsidRPr="00664FF0">
              <w:rPr>
                <w:rFonts w:eastAsia="Times New Roman" w:cs="Arial"/>
                <w:color w:val="000000"/>
                <w:sz w:val="16"/>
                <w:szCs w:val="16"/>
                <w:lang w:eastAsia="ca-ES"/>
              </w:rPr>
              <w:t> </w:t>
            </w:r>
          </w:p>
        </w:tc>
        <w:tc>
          <w:tcPr>
            <w:tcW w:w="543" w:type="dxa"/>
            <w:tcBorders>
              <w:top w:val="single" w:sz="4" w:space="0" w:color="auto"/>
              <w:bottom w:val="single" w:sz="4" w:space="0" w:color="auto"/>
            </w:tcBorders>
            <w:shd w:val="clear" w:color="auto" w:fill="auto"/>
            <w:vAlign w:val="center"/>
            <w:hideMark/>
          </w:tcPr>
          <w:p w:rsidR="006A4109" w:rsidRPr="00664FF0" w:rsidRDefault="006A4109" w:rsidP="00E930B2">
            <w:pPr>
              <w:rPr>
                <w:rFonts w:eastAsia="Times New Roman" w:cs="Arial"/>
                <w:color w:val="000000"/>
                <w:sz w:val="16"/>
                <w:szCs w:val="16"/>
                <w:lang w:eastAsia="ca-ES"/>
              </w:rPr>
            </w:pPr>
            <w:r w:rsidRPr="00664FF0">
              <w:rPr>
                <w:rFonts w:eastAsia="Times New Roman" w:cs="Arial"/>
                <w:color w:val="000000"/>
                <w:sz w:val="16"/>
                <w:szCs w:val="16"/>
                <w:lang w:eastAsia="ca-ES"/>
              </w:rPr>
              <w:t> </w:t>
            </w:r>
          </w:p>
        </w:tc>
        <w:tc>
          <w:tcPr>
            <w:tcW w:w="543" w:type="dxa"/>
            <w:tcBorders>
              <w:top w:val="single" w:sz="4" w:space="0" w:color="auto"/>
              <w:bottom w:val="single" w:sz="4" w:space="0" w:color="auto"/>
            </w:tcBorders>
            <w:shd w:val="clear" w:color="auto" w:fill="auto"/>
            <w:vAlign w:val="center"/>
            <w:hideMark/>
          </w:tcPr>
          <w:p w:rsidR="006A4109" w:rsidRPr="00664FF0" w:rsidRDefault="006A4109" w:rsidP="00E930B2">
            <w:pPr>
              <w:rPr>
                <w:rFonts w:eastAsia="Times New Roman" w:cs="Arial"/>
                <w:color w:val="000000"/>
                <w:sz w:val="16"/>
                <w:szCs w:val="16"/>
                <w:lang w:eastAsia="ca-ES"/>
              </w:rPr>
            </w:pPr>
            <w:r w:rsidRPr="00664FF0">
              <w:rPr>
                <w:rFonts w:eastAsia="Times New Roman" w:cs="Arial"/>
                <w:color w:val="000000"/>
                <w:sz w:val="16"/>
                <w:szCs w:val="16"/>
                <w:lang w:eastAsia="ca-ES"/>
              </w:rPr>
              <w:t> </w:t>
            </w:r>
          </w:p>
        </w:tc>
        <w:tc>
          <w:tcPr>
            <w:tcW w:w="543" w:type="dxa"/>
            <w:tcBorders>
              <w:top w:val="single" w:sz="4" w:space="0" w:color="auto"/>
              <w:bottom w:val="single" w:sz="4" w:space="0" w:color="auto"/>
            </w:tcBorders>
            <w:shd w:val="clear" w:color="auto" w:fill="auto"/>
            <w:vAlign w:val="center"/>
            <w:hideMark/>
          </w:tcPr>
          <w:p w:rsidR="006A4109" w:rsidRPr="00664FF0" w:rsidRDefault="006A4109" w:rsidP="00E930B2">
            <w:pPr>
              <w:rPr>
                <w:rFonts w:eastAsia="Times New Roman" w:cs="Arial"/>
                <w:color w:val="000000"/>
                <w:sz w:val="16"/>
                <w:szCs w:val="16"/>
                <w:lang w:eastAsia="ca-ES"/>
              </w:rPr>
            </w:pPr>
            <w:r w:rsidRPr="00664FF0">
              <w:rPr>
                <w:rFonts w:eastAsia="Times New Roman" w:cs="Arial"/>
                <w:color w:val="000000"/>
                <w:sz w:val="16"/>
                <w:szCs w:val="16"/>
                <w:lang w:eastAsia="ca-ES"/>
              </w:rPr>
              <w:t> </w:t>
            </w:r>
          </w:p>
        </w:tc>
        <w:tc>
          <w:tcPr>
            <w:tcW w:w="542" w:type="dxa"/>
            <w:tcBorders>
              <w:top w:val="single" w:sz="4" w:space="0" w:color="auto"/>
              <w:bottom w:val="single" w:sz="4" w:space="0" w:color="auto"/>
            </w:tcBorders>
            <w:shd w:val="clear" w:color="auto" w:fill="auto"/>
            <w:vAlign w:val="center"/>
            <w:hideMark/>
          </w:tcPr>
          <w:p w:rsidR="006A4109" w:rsidRPr="00664FF0" w:rsidRDefault="006A4109" w:rsidP="00E930B2">
            <w:pPr>
              <w:rPr>
                <w:rFonts w:eastAsia="Times New Roman" w:cs="Arial"/>
                <w:color w:val="000000"/>
                <w:sz w:val="16"/>
                <w:szCs w:val="16"/>
                <w:lang w:eastAsia="ca-ES"/>
              </w:rPr>
            </w:pPr>
            <w:r w:rsidRPr="00664FF0">
              <w:rPr>
                <w:rFonts w:eastAsia="Times New Roman" w:cs="Arial"/>
                <w:color w:val="000000"/>
                <w:sz w:val="16"/>
                <w:szCs w:val="16"/>
                <w:lang w:eastAsia="ca-ES"/>
              </w:rPr>
              <w:t>√</w:t>
            </w:r>
          </w:p>
        </w:tc>
        <w:tc>
          <w:tcPr>
            <w:tcW w:w="543" w:type="dxa"/>
            <w:tcBorders>
              <w:top w:val="single" w:sz="4" w:space="0" w:color="auto"/>
              <w:bottom w:val="single" w:sz="4" w:space="0" w:color="auto"/>
            </w:tcBorders>
            <w:shd w:val="clear" w:color="auto" w:fill="auto"/>
            <w:vAlign w:val="center"/>
            <w:hideMark/>
          </w:tcPr>
          <w:p w:rsidR="006A4109" w:rsidRPr="00664FF0" w:rsidRDefault="006A4109" w:rsidP="00E930B2">
            <w:pPr>
              <w:rPr>
                <w:rFonts w:eastAsia="Times New Roman" w:cs="Arial"/>
                <w:color w:val="000000"/>
                <w:sz w:val="16"/>
                <w:szCs w:val="16"/>
                <w:lang w:eastAsia="ca-ES"/>
              </w:rPr>
            </w:pPr>
            <w:r w:rsidRPr="00664FF0">
              <w:rPr>
                <w:rFonts w:eastAsia="Times New Roman" w:cs="Arial"/>
                <w:color w:val="000000"/>
                <w:sz w:val="16"/>
                <w:szCs w:val="16"/>
                <w:lang w:eastAsia="ca-ES"/>
              </w:rPr>
              <w:t> </w:t>
            </w:r>
          </w:p>
        </w:tc>
        <w:tc>
          <w:tcPr>
            <w:tcW w:w="543" w:type="dxa"/>
            <w:tcBorders>
              <w:top w:val="single" w:sz="4" w:space="0" w:color="auto"/>
              <w:bottom w:val="single" w:sz="4" w:space="0" w:color="auto"/>
            </w:tcBorders>
            <w:shd w:val="clear" w:color="auto" w:fill="auto"/>
            <w:vAlign w:val="center"/>
            <w:hideMark/>
          </w:tcPr>
          <w:p w:rsidR="006A4109" w:rsidRPr="00664FF0" w:rsidRDefault="006A4109" w:rsidP="00E930B2">
            <w:pPr>
              <w:rPr>
                <w:rFonts w:eastAsia="Times New Roman" w:cs="Arial"/>
                <w:color w:val="000000"/>
                <w:sz w:val="16"/>
                <w:szCs w:val="16"/>
                <w:lang w:eastAsia="ca-ES"/>
              </w:rPr>
            </w:pPr>
            <w:r w:rsidRPr="00664FF0">
              <w:rPr>
                <w:rFonts w:eastAsia="Times New Roman" w:cs="Arial"/>
                <w:color w:val="000000"/>
                <w:sz w:val="16"/>
                <w:szCs w:val="16"/>
                <w:lang w:eastAsia="ca-ES"/>
              </w:rPr>
              <w:t> </w:t>
            </w:r>
          </w:p>
        </w:tc>
        <w:tc>
          <w:tcPr>
            <w:tcW w:w="543" w:type="dxa"/>
            <w:tcBorders>
              <w:top w:val="single" w:sz="4" w:space="0" w:color="auto"/>
              <w:bottom w:val="single" w:sz="4" w:space="0" w:color="auto"/>
            </w:tcBorders>
            <w:shd w:val="clear" w:color="auto" w:fill="auto"/>
            <w:vAlign w:val="center"/>
            <w:hideMark/>
          </w:tcPr>
          <w:p w:rsidR="006A4109" w:rsidRPr="00664FF0" w:rsidRDefault="006A4109" w:rsidP="00E930B2">
            <w:pPr>
              <w:rPr>
                <w:rFonts w:eastAsia="Times New Roman" w:cs="Arial"/>
                <w:color w:val="000000"/>
                <w:sz w:val="16"/>
                <w:szCs w:val="16"/>
                <w:lang w:eastAsia="ca-ES"/>
              </w:rPr>
            </w:pPr>
            <w:r w:rsidRPr="00664FF0">
              <w:rPr>
                <w:rFonts w:eastAsia="Times New Roman" w:cs="Arial"/>
                <w:color w:val="000000"/>
                <w:sz w:val="16"/>
                <w:szCs w:val="16"/>
                <w:lang w:eastAsia="ca-ES"/>
              </w:rPr>
              <w:t> </w:t>
            </w:r>
          </w:p>
        </w:tc>
        <w:tc>
          <w:tcPr>
            <w:tcW w:w="543" w:type="dxa"/>
            <w:tcBorders>
              <w:top w:val="single" w:sz="4" w:space="0" w:color="auto"/>
              <w:bottom w:val="single" w:sz="4" w:space="0" w:color="auto"/>
            </w:tcBorders>
            <w:shd w:val="clear" w:color="auto" w:fill="auto"/>
            <w:vAlign w:val="center"/>
            <w:hideMark/>
          </w:tcPr>
          <w:p w:rsidR="006A4109" w:rsidRPr="00664FF0" w:rsidRDefault="006A4109" w:rsidP="00E930B2">
            <w:pPr>
              <w:rPr>
                <w:rFonts w:eastAsia="Times New Roman" w:cs="Arial"/>
                <w:color w:val="000000"/>
                <w:sz w:val="16"/>
                <w:szCs w:val="16"/>
                <w:lang w:eastAsia="ca-ES"/>
              </w:rPr>
            </w:pPr>
            <w:r w:rsidRPr="00664FF0">
              <w:rPr>
                <w:rFonts w:eastAsia="Times New Roman" w:cs="Arial"/>
                <w:color w:val="000000"/>
                <w:sz w:val="16"/>
                <w:szCs w:val="16"/>
                <w:lang w:eastAsia="ca-ES"/>
              </w:rPr>
              <w:t> </w:t>
            </w:r>
          </w:p>
        </w:tc>
        <w:tc>
          <w:tcPr>
            <w:tcW w:w="543" w:type="dxa"/>
            <w:tcBorders>
              <w:top w:val="single" w:sz="4" w:space="0" w:color="auto"/>
              <w:bottom w:val="single" w:sz="4" w:space="0" w:color="auto"/>
            </w:tcBorders>
            <w:shd w:val="clear" w:color="auto" w:fill="auto"/>
            <w:vAlign w:val="center"/>
            <w:hideMark/>
          </w:tcPr>
          <w:p w:rsidR="006A4109" w:rsidRPr="00664FF0" w:rsidRDefault="006A4109" w:rsidP="00E930B2">
            <w:pPr>
              <w:rPr>
                <w:rFonts w:eastAsia="Times New Roman" w:cs="Arial"/>
                <w:color w:val="000000"/>
                <w:sz w:val="16"/>
                <w:szCs w:val="16"/>
                <w:lang w:eastAsia="ca-ES"/>
              </w:rPr>
            </w:pPr>
            <w:r w:rsidRPr="00664FF0">
              <w:rPr>
                <w:rFonts w:eastAsia="Times New Roman" w:cs="Arial"/>
                <w:color w:val="000000"/>
                <w:sz w:val="16"/>
                <w:szCs w:val="16"/>
                <w:lang w:eastAsia="ca-ES"/>
              </w:rPr>
              <w:t> </w:t>
            </w:r>
          </w:p>
        </w:tc>
        <w:tc>
          <w:tcPr>
            <w:tcW w:w="543" w:type="dxa"/>
            <w:tcBorders>
              <w:top w:val="single" w:sz="4" w:space="0" w:color="auto"/>
              <w:bottom w:val="single" w:sz="4" w:space="0" w:color="auto"/>
            </w:tcBorders>
            <w:shd w:val="clear" w:color="auto" w:fill="auto"/>
            <w:vAlign w:val="center"/>
            <w:hideMark/>
          </w:tcPr>
          <w:p w:rsidR="006A4109" w:rsidRPr="00664FF0" w:rsidRDefault="006A4109" w:rsidP="00E930B2">
            <w:pPr>
              <w:rPr>
                <w:rFonts w:eastAsia="Times New Roman" w:cs="Arial"/>
                <w:color w:val="000000"/>
                <w:sz w:val="16"/>
                <w:szCs w:val="16"/>
                <w:lang w:eastAsia="ca-ES"/>
              </w:rPr>
            </w:pPr>
            <w:r w:rsidRPr="00664FF0">
              <w:rPr>
                <w:rFonts w:eastAsia="Times New Roman" w:cs="Arial"/>
                <w:color w:val="000000"/>
                <w:sz w:val="16"/>
                <w:szCs w:val="16"/>
                <w:lang w:eastAsia="ca-ES"/>
              </w:rPr>
              <w:t> </w:t>
            </w:r>
          </w:p>
        </w:tc>
      </w:tr>
      <w:tr w:rsidR="006A4109" w:rsidRPr="00664FF0" w:rsidTr="00E930B2">
        <w:trPr>
          <w:trHeight w:val="20"/>
        </w:trPr>
        <w:tc>
          <w:tcPr>
            <w:tcW w:w="1433" w:type="dxa"/>
            <w:tcBorders>
              <w:top w:val="single" w:sz="4" w:space="0" w:color="auto"/>
              <w:bottom w:val="single" w:sz="4" w:space="0" w:color="auto"/>
            </w:tcBorders>
            <w:shd w:val="clear" w:color="auto" w:fill="auto"/>
            <w:vAlign w:val="center"/>
            <w:hideMark/>
          </w:tcPr>
          <w:p w:rsidR="006A4109" w:rsidRPr="00664FF0" w:rsidRDefault="006A4109" w:rsidP="00E930B2">
            <w:pPr>
              <w:rPr>
                <w:rFonts w:eastAsia="Times New Roman" w:cs="Arial"/>
                <w:color w:val="000000"/>
                <w:sz w:val="16"/>
                <w:szCs w:val="16"/>
                <w:lang w:eastAsia="ca-ES"/>
              </w:rPr>
            </w:pPr>
            <w:r w:rsidRPr="00664FF0">
              <w:rPr>
                <w:rFonts w:eastAsia="Times New Roman" w:cs="Arial"/>
                <w:color w:val="000000"/>
                <w:sz w:val="16"/>
                <w:szCs w:val="16"/>
                <w:lang w:eastAsia="ca-ES"/>
              </w:rPr>
              <w:t>Lots higiènics</w:t>
            </w:r>
          </w:p>
        </w:tc>
        <w:tc>
          <w:tcPr>
            <w:tcW w:w="542" w:type="dxa"/>
            <w:tcBorders>
              <w:top w:val="single" w:sz="4" w:space="0" w:color="auto"/>
              <w:bottom w:val="single" w:sz="4" w:space="0" w:color="auto"/>
            </w:tcBorders>
            <w:shd w:val="clear" w:color="auto" w:fill="auto"/>
            <w:vAlign w:val="center"/>
            <w:hideMark/>
          </w:tcPr>
          <w:p w:rsidR="006A4109" w:rsidRPr="00664FF0" w:rsidRDefault="006A4109" w:rsidP="00E930B2">
            <w:pPr>
              <w:rPr>
                <w:rFonts w:eastAsia="Times New Roman" w:cs="Arial"/>
                <w:color w:val="000000"/>
                <w:sz w:val="16"/>
                <w:szCs w:val="16"/>
                <w:lang w:eastAsia="ca-ES"/>
              </w:rPr>
            </w:pPr>
            <w:r w:rsidRPr="00664FF0">
              <w:rPr>
                <w:rFonts w:eastAsia="Times New Roman" w:cs="Arial"/>
                <w:color w:val="000000"/>
                <w:sz w:val="16"/>
                <w:szCs w:val="16"/>
                <w:lang w:eastAsia="ca-ES"/>
              </w:rPr>
              <w:t> </w:t>
            </w:r>
          </w:p>
        </w:tc>
        <w:tc>
          <w:tcPr>
            <w:tcW w:w="543" w:type="dxa"/>
            <w:tcBorders>
              <w:top w:val="single" w:sz="4" w:space="0" w:color="auto"/>
              <w:bottom w:val="single" w:sz="4" w:space="0" w:color="auto"/>
            </w:tcBorders>
            <w:shd w:val="clear" w:color="auto" w:fill="auto"/>
            <w:vAlign w:val="center"/>
            <w:hideMark/>
          </w:tcPr>
          <w:p w:rsidR="006A4109" w:rsidRPr="00664FF0" w:rsidRDefault="006A4109" w:rsidP="00E930B2">
            <w:pPr>
              <w:rPr>
                <w:rFonts w:eastAsia="Times New Roman" w:cs="Arial"/>
                <w:color w:val="000000"/>
                <w:sz w:val="16"/>
                <w:szCs w:val="16"/>
                <w:lang w:eastAsia="ca-ES"/>
              </w:rPr>
            </w:pPr>
            <w:r w:rsidRPr="00664FF0">
              <w:rPr>
                <w:rFonts w:eastAsia="Times New Roman" w:cs="Arial"/>
                <w:color w:val="000000"/>
                <w:sz w:val="16"/>
                <w:szCs w:val="16"/>
                <w:lang w:eastAsia="ca-ES"/>
              </w:rPr>
              <w:t> </w:t>
            </w:r>
          </w:p>
        </w:tc>
        <w:tc>
          <w:tcPr>
            <w:tcW w:w="543" w:type="dxa"/>
            <w:tcBorders>
              <w:top w:val="single" w:sz="4" w:space="0" w:color="auto"/>
              <w:bottom w:val="single" w:sz="4" w:space="0" w:color="auto"/>
            </w:tcBorders>
            <w:shd w:val="clear" w:color="auto" w:fill="auto"/>
            <w:vAlign w:val="center"/>
            <w:hideMark/>
          </w:tcPr>
          <w:p w:rsidR="006A4109" w:rsidRPr="00664FF0" w:rsidRDefault="006A4109" w:rsidP="00E930B2">
            <w:pPr>
              <w:rPr>
                <w:rFonts w:eastAsia="Times New Roman" w:cs="Arial"/>
                <w:color w:val="000000"/>
                <w:sz w:val="16"/>
                <w:szCs w:val="16"/>
                <w:lang w:eastAsia="ca-ES"/>
              </w:rPr>
            </w:pPr>
            <w:r w:rsidRPr="00664FF0">
              <w:rPr>
                <w:rFonts w:eastAsia="Times New Roman" w:cs="Arial"/>
                <w:color w:val="000000"/>
                <w:sz w:val="16"/>
                <w:szCs w:val="16"/>
                <w:lang w:eastAsia="ca-ES"/>
              </w:rPr>
              <w:t> </w:t>
            </w:r>
          </w:p>
        </w:tc>
        <w:tc>
          <w:tcPr>
            <w:tcW w:w="543" w:type="dxa"/>
            <w:tcBorders>
              <w:top w:val="single" w:sz="4" w:space="0" w:color="auto"/>
              <w:bottom w:val="single" w:sz="4" w:space="0" w:color="auto"/>
            </w:tcBorders>
            <w:shd w:val="clear" w:color="auto" w:fill="auto"/>
            <w:vAlign w:val="center"/>
            <w:hideMark/>
          </w:tcPr>
          <w:p w:rsidR="006A4109" w:rsidRPr="00664FF0" w:rsidRDefault="006A4109" w:rsidP="00E930B2">
            <w:pPr>
              <w:rPr>
                <w:rFonts w:eastAsia="Times New Roman" w:cs="Arial"/>
                <w:color w:val="000000"/>
                <w:sz w:val="16"/>
                <w:szCs w:val="16"/>
                <w:lang w:eastAsia="ca-ES"/>
              </w:rPr>
            </w:pPr>
            <w:r w:rsidRPr="00664FF0">
              <w:rPr>
                <w:rFonts w:eastAsia="Times New Roman" w:cs="Arial"/>
                <w:color w:val="000000"/>
                <w:sz w:val="16"/>
                <w:szCs w:val="16"/>
                <w:lang w:eastAsia="ca-ES"/>
              </w:rPr>
              <w:t> </w:t>
            </w:r>
          </w:p>
        </w:tc>
        <w:tc>
          <w:tcPr>
            <w:tcW w:w="543" w:type="dxa"/>
            <w:tcBorders>
              <w:top w:val="single" w:sz="4" w:space="0" w:color="auto"/>
              <w:bottom w:val="single" w:sz="4" w:space="0" w:color="auto"/>
            </w:tcBorders>
            <w:shd w:val="clear" w:color="auto" w:fill="auto"/>
            <w:vAlign w:val="center"/>
            <w:hideMark/>
          </w:tcPr>
          <w:p w:rsidR="006A4109" w:rsidRPr="00664FF0" w:rsidRDefault="006A4109" w:rsidP="00E930B2">
            <w:pPr>
              <w:rPr>
                <w:rFonts w:eastAsia="Times New Roman" w:cs="Arial"/>
                <w:color w:val="000000"/>
                <w:sz w:val="16"/>
                <w:szCs w:val="16"/>
                <w:lang w:eastAsia="ca-ES"/>
              </w:rPr>
            </w:pPr>
            <w:r w:rsidRPr="00664FF0">
              <w:rPr>
                <w:rFonts w:eastAsia="Times New Roman" w:cs="Arial"/>
                <w:color w:val="000000"/>
                <w:sz w:val="16"/>
                <w:szCs w:val="16"/>
                <w:lang w:eastAsia="ca-ES"/>
              </w:rPr>
              <w:t> </w:t>
            </w:r>
          </w:p>
        </w:tc>
        <w:tc>
          <w:tcPr>
            <w:tcW w:w="543" w:type="dxa"/>
            <w:tcBorders>
              <w:top w:val="single" w:sz="4" w:space="0" w:color="auto"/>
              <w:bottom w:val="single" w:sz="4" w:space="0" w:color="auto"/>
            </w:tcBorders>
            <w:shd w:val="clear" w:color="auto" w:fill="auto"/>
            <w:vAlign w:val="center"/>
            <w:hideMark/>
          </w:tcPr>
          <w:p w:rsidR="006A4109" w:rsidRPr="00664FF0" w:rsidRDefault="006A4109" w:rsidP="00E930B2">
            <w:pPr>
              <w:rPr>
                <w:rFonts w:eastAsia="Times New Roman" w:cs="Arial"/>
                <w:color w:val="000000"/>
                <w:sz w:val="16"/>
                <w:szCs w:val="16"/>
                <w:lang w:eastAsia="ca-ES"/>
              </w:rPr>
            </w:pPr>
            <w:r w:rsidRPr="00664FF0">
              <w:rPr>
                <w:rFonts w:eastAsia="Times New Roman" w:cs="Arial"/>
                <w:color w:val="000000"/>
                <w:sz w:val="16"/>
                <w:szCs w:val="16"/>
                <w:lang w:eastAsia="ca-ES"/>
              </w:rPr>
              <w:t>√</w:t>
            </w:r>
          </w:p>
        </w:tc>
        <w:tc>
          <w:tcPr>
            <w:tcW w:w="543" w:type="dxa"/>
            <w:tcBorders>
              <w:top w:val="single" w:sz="4" w:space="0" w:color="auto"/>
              <w:bottom w:val="single" w:sz="4" w:space="0" w:color="auto"/>
            </w:tcBorders>
            <w:shd w:val="clear" w:color="auto" w:fill="auto"/>
            <w:vAlign w:val="center"/>
            <w:hideMark/>
          </w:tcPr>
          <w:p w:rsidR="006A4109" w:rsidRPr="00664FF0" w:rsidRDefault="006A4109" w:rsidP="00E930B2">
            <w:pPr>
              <w:rPr>
                <w:rFonts w:eastAsia="Times New Roman" w:cs="Arial"/>
                <w:color w:val="000000"/>
                <w:sz w:val="16"/>
                <w:szCs w:val="16"/>
                <w:lang w:eastAsia="ca-ES"/>
              </w:rPr>
            </w:pPr>
            <w:r w:rsidRPr="00664FF0">
              <w:rPr>
                <w:rFonts w:eastAsia="Times New Roman" w:cs="Arial"/>
                <w:color w:val="000000"/>
                <w:sz w:val="16"/>
                <w:szCs w:val="16"/>
                <w:lang w:eastAsia="ca-ES"/>
              </w:rPr>
              <w:t> </w:t>
            </w:r>
          </w:p>
        </w:tc>
        <w:tc>
          <w:tcPr>
            <w:tcW w:w="542" w:type="dxa"/>
            <w:tcBorders>
              <w:top w:val="single" w:sz="4" w:space="0" w:color="auto"/>
              <w:bottom w:val="single" w:sz="4" w:space="0" w:color="auto"/>
            </w:tcBorders>
            <w:shd w:val="clear" w:color="auto" w:fill="auto"/>
            <w:vAlign w:val="center"/>
            <w:hideMark/>
          </w:tcPr>
          <w:p w:rsidR="006A4109" w:rsidRPr="00664FF0" w:rsidRDefault="006A4109" w:rsidP="00E930B2">
            <w:pPr>
              <w:rPr>
                <w:rFonts w:eastAsia="Times New Roman" w:cs="Arial"/>
                <w:color w:val="000000"/>
                <w:sz w:val="16"/>
                <w:szCs w:val="16"/>
                <w:lang w:eastAsia="ca-ES"/>
              </w:rPr>
            </w:pPr>
            <w:r w:rsidRPr="00664FF0">
              <w:rPr>
                <w:rFonts w:eastAsia="Times New Roman" w:cs="Arial"/>
                <w:color w:val="000000"/>
                <w:sz w:val="16"/>
                <w:szCs w:val="16"/>
                <w:lang w:eastAsia="ca-ES"/>
              </w:rPr>
              <w:t> </w:t>
            </w:r>
          </w:p>
        </w:tc>
        <w:tc>
          <w:tcPr>
            <w:tcW w:w="543" w:type="dxa"/>
            <w:tcBorders>
              <w:top w:val="single" w:sz="4" w:space="0" w:color="auto"/>
              <w:bottom w:val="single" w:sz="4" w:space="0" w:color="auto"/>
            </w:tcBorders>
            <w:shd w:val="clear" w:color="auto" w:fill="auto"/>
            <w:vAlign w:val="center"/>
            <w:hideMark/>
          </w:tcPr>
          <w:p w:rsidR="006A4109" w:rsidRPr="00664FF0" w:rsidRDefault="006A4109" w:rsidP="00E930B2">
            <w:pPr>
              <w:rPr>
                <w:rFonts w:eastAsia="Times New Roman" w:cs="Arial"/>
                <w:color w:val="000000"/>
                <w:sz w:val="16"/>
                <w:szCs w:val="16"/>
                <w:lang w:eastAsia="ca-ES"/>
              </w:rPr>
            </w:pPr>
            <w:r w:rsidRPr="00664FF0">
              <w:rPr>
                <w:rFonts w:eastAsia="Times New Roman" w:cs="Arial"/>
                <w:color w:val="000000"/>
                <w:sz w:val="16"/>
                <w:szCs w:val="16"/>
                <w:lang w:eastAsia="ca-ES"/>
              </w:rPr>
              <w:t> </w:t>
            </w:r>
          </w:p>
        </w:tc>
        <w:tc>
          <w:tcPr>
            <w:tcW w:w="543" w:type="dxa"/>
            <w:tcBorders>
              <w:top w:val="single" w:sz="4" w:space="0" w:color="auto"/>
              <w:bottom w:val="single" w:sz="4" w:space="0" w:color="auto"/>
            </w:tcBorders>
            <w:shd w:val="clear" w:color="auto" w:fill="auto"/>
            <w:vAlign w:val="center"/>
            <w:hideMark/>
          </w:tcPr>
          <w:p w:rsidR="006A4109" w:rsidRPr="00664FF0" w:rsidRDefault="006A4109" w:rsidP="00E930B2">
            <w:pPr>
              <w:rPr>
                <w:rFonts w:eastAsia="Times New Roman" w:cs="Arial"/>
                <w:color w:val="000000"/>
                <w:sz w:val="16"/>
                <w:szCs w:val="16"/>
                <w:lang w:eastAsia="ca-ES"/>
              </w:rPr>
            </w:pPr>
            <w:r w:rsidRPr="00664FF0">
              <w:rPr>
                <w:rFonts w:eastAsia="Times New Roman" w:cs="Arial"/>
                <w:color w:val="000000"/>
                <w:sz w:val="16"/>
                <w:szCs w:val="16"/>
                <w:lang w:eastAsia="ca-ES"/>
              </w:rPr>
              <w:t> </w:t>
            </w:r>
          </w:p>
        </w:tc>
        <w:tc>
          <w:tcPr>
            <w:tcW w:w="543" w:type="dxa"/>
            <w:tcBorders>
              <w:top w:val="single" w:sz="4" w:space="0" w:color="auto"/>
              <w:bottom w:val="single" w:sz="4" w:space="0" w:color="auto"/>
            </w:tcBorders>
            <w:shd w:val="clear" w:color="auto" w:fill="auto"/>
            <w:vAlign w:val="center"/>
            <w:hideMark/>
          </w:tcPr>
          <w:p w:rsidR="006A4109" w:rsidRPr="00664FF0" w:rsidRDefault="006A4109" w:rsidP="00E930B2">
            <w:pPr>
              <w:rPr>
                <w:rFonts w:eastAsia="Times New Roman" w:cs="Arial"/>
                <w:color w:val="000000"/>
                <w:sz w:val="16"/>
                <w:szCs w:val="16"/>
                <w:lang w:eastAsia="ca-ES"/>
              </w:rPr>
            </w:pPr>
            <w:r w:rsidRPr="00664FF0">
              <w:rPr>
                <w:rFonts w:eastAsia="Times New Roman" w:cs="Arial"/>
                <w:color w:val="000000"/>
                <w:sz w:val="16"/>
                <w:szCs w:val="16"/>
                <w:lang w:eastAsia="ca-ES"/>
              </w:rPr>
              <w:t> </w:t>
            </w:r>
          </w:p>
        </w:tc>
        <w:tc>
          <w:tcPr>
            <w:tcW w:w="543" w:type="dxa"/>
            <w:tcBorders>
              <w:top w:val="single" w:sz="4" w:space="0" w:color="auto"/>
              <w:bottom w:val="single" w:sz="4" w:space="0" w:color="auto"/>
            </w:tcBorders>
            <w:shd w:val="clear" w:color="auto" w:fill="auto"/>
            <w:vAlign w:val="center"/>
            <w:hideMark/>
          </w:tcPr>
          <w:p w:rsidR="006A4109" w:rsidRPr="00664FF0" w:rsidRDefault="006A4109" w:rsidP="00E930B2">
            <w:pPr>
              <w:rPr>
                <w:rFonts w:eastAsia="Times New Roman" w:cs="Arial"/>
                <w:color w:val="000000"/>
                <w:sz w:val="16"/>
                <w:szCs w:val="16"/>
                <w:lang w:eastAsia="ca-ES"/>
              </w:rPr>
            </w:pPr>
            <w:r w:rsidRPr="00664FF0">
              <w:rPr>
                <w:rFonts w:eastAsia="Times New Roman" w:cs="Arial"/>
                <w:color w:val="000000"/>
                <w:sz w:val="16"/>
                <w:szCs w:val="16"/>
                <w:lang w:eastAsia="ca-ES"/>
              </w:rPr>
              <w:t> </w:t>
            </w:r>
          </w:p>
        </w:tc>
        <w:tc>
          <w:tcPr>
            <w:tcW w:w="543" w:type="dxa"/>
            <w:tcBorders>
              <w:top w:val="single" w:sz="4" w:space="0" w:color="auto"/>
              <w:bottom w:val="single" w:sz="4" w:space="0" w:color="auto"/>
            </w:tcBorders>
            <w:shd w:val="clear" w:color="auto" w:fill="auto"/>
            <w:vAlign w:val="center"/>
            <w:hideMark/>
          </w:tcPr>
          <w:p w:rsidR="006A4109" w:rsidRPr="00664FF0" w:rsidRDefault="006A4109" w:rsidP="00E930B2">
            <w:pPr>
              <w:rPr>
                <w:rFonts w:eastAsia="Times New Roman" w:cs="Arial"/>
                <w:color w:val="000000"/>
                <w:sz w:val="16"/>
                <w:szCs w:val="16"/>
                <w:lang w:eastAsia="ca-ES"/>
              </w:rPr>
            </w:pPr>
            <w:r w:rsidRPr="00664FF0">
              <w:rPr>
                <w:rFonts w:eastAsia="Times New Roman" w:cs="Arial"/>
                <w:color w:val="000000"/>
                <w:sz w:val="16"/>
                <w:szCs w:val="16"/>
                <w:lang w:eastAsia="ca-ES"/>
              </w:rPr>
              <w:t> </w:t>
            </w:r>
          </w:p>
        </w:tc>
        <w:tc>
          <w:tcPr>
            <w:tcW w:w="543" w:type="dxa"/>
            <w:tcBorders>
              <w:top w:val="single" w:sz="4" w:space="0" w:color="auto"/>
              <w:bottom w:val="single" w:sz="4" w:space="0" w:color="auto"/>
            </w:tcBorders>
            <w:shd w:val="clear" w:color="auto" w:fill="auto"/>
            <w:vAlign w:val="center"/>
            <w:hideMark/>
          </w:tcPr>
          <w:p w:rsidR="006A4109" w:rsidRPr="00664FF0" w:rsidRDefault="006A4109" w:rsidP="00E930B2">
            <w:pPr>
              <w:rPr>
                <w:rFonts w:eastAsia="Times New Roman" w:cs="Arial"/>
                <w:color w:val="000000"/>
                <w:sz w:val="16"/>
                <w:szCs w:val="16"/>
                <w:lang w:eastAsia="ca-ES"/>
              </w:rPr>
            </w:pPr>
            <w:r w:rsidRPr="00664FF0">
              <w:rPr>
                <w:rFonts w:eastAsia="Times New Roman" w:cs="Arial"/>
                <w:color w:val="000000"/>
                <w:sz w:val="16"/>
                <w:szCs w:val="16"/>
                <w:lang w:eastAsia="ca-ES"/>
              </w:rPr>
              <w:t> </w:t>
            </w:r>
          </w:p>
        </w:tc>
      </w:tr>
      <w:tr w:rsidR="006A4109" w:rsidRPr="00664FF0" w:rsidTr="00E930B2">
        <w:trPr>
          <w:trHeight w:val="20"/>
        </w:trPr>
        <w:tc>
          <w:tcPr>
            <w:tcW w:w="1433" w:type="dxa"/>
            <w:tcBorders>
              <w:top w:val="single" w:sz="4" w:space="0" w:color="auto"/>
              <w:bottom w:val="single" w:sz="4" w:space="0" w:color="auto"/>
            </w:tcBorders>
            <w:shd w:val="clear" w:color="auto" w:fill="auto"/>
            <w:vAlign w:val="center"/>
            <w:hideMark/>
          </w:tcPr>
          <w:p w:rsidR="006A4109" w:rsidRPr="00664FF0" w:rsidRDefault="006A4109" w:rsidP="00E930B2">
            <w:pPr>
              <w:rPr>
                <w:rFonts w:eastAsia="Times New Roman" w:cs="Arial"/>
                <w:color w:val="000000"/>
                <w:sz w:val="16"/>
                <w:szCs w:val="16"/>
                <w:lang w:eastAsia="ca-ES"/>
              </w:rPr>
            </w:pPr>
            <w:r w:rsidRPr="00664FF0">
              <w:rPr>
                <w:rFonts w:eastAsia="Times New Roman" w:cs="Arial"/>
                <w:color w:val="000000"/>
                <w:sz w:val="16"/>
                <w:szCs w:val="16"/>
                <w:lang w:eastAsia="ca-ES"/>
              </w:rPr>
              <w:t>Muntatge</w:t>
            </w:r>
          </w:p>
        </w:tc>
        <w:tc>
          <w:tcPr>
            <w:tcW w:w="542" w:type="dxa"/>
            <w:tcBorders>
              <w:top w:val="single" w:sz="4" w:space="0" w:color="auto"/>
              <w:bottom w:val="single" w:sz="4" w:space="0" w:color="auto"/>
            </w:tcBorders>
            <w:shd w:val="clear" w:color="auto" w:fill="auto"/>
            <w:vAlign w:val="center"/>
            <w:hideMark/>
          </w:tcPr>
          <w:p w:rsidR="006A4109" w:rsidRPr="00664FF0" w:rsidRDefault="006A4109" w:rsidP="00E930B2">
            <w:pPr>
              <w:rPr>
                <w:rFonts w:eastAsia="Times New Roman" w:cs="Arial"/>
                <w:color w:val="000000"/>
                <w:sz w:val="16"/>
                <w:szCs w:val="16"/>
                <w:lang w:eastAsia="ca-ES"/>
              </w:rPr>
            </w:pPr>
            <w:r w:rsidRPr="00664FF0">
              <w:rPr>
                <w:rFonts w:eastAsia="Times New Roman" w:cs="Arial"/>
                <w:color w:val="000000"/>
                <w:sz w:val="16"/>
                <w:szCs w:val="16"/>
                <w:lang w:eastAsia="ca-ES"/>
              </w:rPr>
              <w:t>√</w:t>
            </w:r>
          </w:p>
        </w:tc>
        <w:tc>
          <w:tcPr>
            <w:tcW w:w="543" w:type="dxa"/>
            <w:tcBorders>
              <w:top w:val="single" w:sz="4" w:space="0" w:color="auto"/>
              <w:bottom w:val="single" w:sz="4" w:space="0" w:color="auto"/>
            </w:tcBorders>
            <w:shd w:val="clear" w:color="auto" w:fill="auto"/>
            <w:vAlign w:val="center"/>
            <w:hideMark/>
          </w:tcPr>
          <w:p w:rsidR="006A4109" w:rsidRPr="00664FF0" w:rsidRDefault="006A4109" w:rsidP="00E930B2">
            <w:pPr>
              <w:rPr>
                <w:rFonts w:eastAsia="Times New Roman" w:cs="Arial"/>
                <w:color w:val="000000"/>
                <w:sz w:val="16"/>
                <w:szCs w:val="16"/>
                <w:lang w:eastAsia="ca-ES"/>
              </w:rPr>
            </w:pPr>
            <w:r w:rsidRPr="00664FF0">
              <w:rPr>
                <w:rFonts w:eastAsia="Times New Roman" w:cs="Arial"/>
                <w:color w:val="000000"/>
                <w:sz w:val="16"/>
                <w:szCs w:val="16"/>
                <w:lang w:eastAsia="ca-ES"/>
              </w:rPr>
              <w:t>√</w:t>
            </w:r>
          </w:p>
        </w:tc>
        <w:tc>
          <w:tcPr>
            <w:tcW w:w="543" w:type="dxa"/>
            <w:tcBorders>
              <w:top w:val="single" w:sz="4" w:space="0" w:color="auto"/>
              <w:bottom w:val="single" w:sz="4" w:space="0" w:color="auto"/>
            </w:tcBorders>
            <w:shd w:val="clear" w:color="auto" w:fill="auto"/>
            <w:vAlign w:val="center"/>
            <w:hideMark/>
          </w:tcPr>
          <w:p w:rsidR="006A4109" w:rsidRPr="00664FF0" w:rsidRDefault="006A4109" w:rsidP="00E930B2">
            <w:pPr>
              <w:rPr>
                <w:rFonts w:eastAsia="Times New Roman" w:cs="Arial"/>
                <w:color w:val="000000"/>
                <w:sz w:val="16"/>
                <w:szCs w:val="16"/>
                <w:lang w:eastAsia="ca-ES"/>
              </w:rPr>
            </w:pPr>
            <w:r w:rsidRPr="00664FF0">
              <w:rPr>
                <w:rFonts w:eastAsia="Times New Roman" w:cs="Arial"/>
                <w:color w:val="000000"/>
                <w:sz w:val="16"/>
                <w:szCs w:val="16"/>
                <w:lang w:eastAsia="ca-ES"/>
              </w:rPr>
              <w:t>√</w:t>
            </w:r>
          </w:p>
        </w:tc>
        <w:tc>
          <w:tcPr>
            <w:tcW w:w="543" w:type="dxa"/>
            <w:tcBorders>
              <w:top w:val="single" w:sz="4" w:space="0" w:color="auto"/>
              <w:bottom w:val="single" w:sz="4" w:space="0" w:color="auto"/>
            </w:tcBorders>
            <w:shd w:val="clear" w:color="auto" w:fill="auto"/>
            <w:vAlign w:val="center"/>
            <w:hideMark/>
          </w:tcPr>
          <w:p w:rsidR="006A4109" w:rsidRPr="00664FF0" w:rsidRDefault="006A4109" w:rsidP="00E930B2">
            <w:pPr>
              <w:rPr>
                <w:rFonts w:eastAsia="Times New Roman" w:cs="Arial"/>
                <w:color w:val="000000"/>
                <w:sz w:val="16"/>
                <w:szCs w:val="16"/>
                <w:lang w:eastAsia="ca-ES"/>
              </w:rPr>
            </w:pPr>
            <w:r w:rsidRPr="00664FF0">
              <w:rPr>
                <w:rFonts w:eastAsia="Times New Roman" w:cs="Arial"/>
                <w:color w:val="000000"/>
                <w:sz w:val="16"/>
                <w:szCs w:val="16"/>
                <w:lang w:eastAsia="ca-ES"/>
              </w:rPr>
              <w:t>√</w:t>
            </w:r>
          </w:p>
        </w:tc>
        <w:tc>
          <w:tcPr>
            <w:tcW w:w="543" w:type="dxa"/>
            <w:tcBorders>
              <w:top w:val="single" w:sz="4" w:space="0" w:color="auto"/>
              <w:bottom w:val="single" w:sz="4" w:space="0" w:color="auto"/>
            </w:tcBorders>
            <w:shd w:val="clear" w:color="auto" w:fill="auto"/>
            <w:vAlign w:val="center"/>
            <w:hideMark/>
          </w:tcPr>
          <w:p w:rsidR="006A4109" w:rsidRPr="00664FF0" w:rsidRDefault="006A4109" w:rsidP="00E930B2">
            <w:pPr>
              <w:rPr>
                <w:rFonts w:eastAsia="Times New Roman" w:cs="Arial"/>
                <w:color w:val="000000"/>
                <w:sz w:val="16"/>
                <w:szCs w:val="16"/>
                <w:lang w:eastAsia="ca-ES"/>
              </w:rPr>
            </w:pPr>
            <w:r w:rsidRPr="00664FF0">
              <w:rPr>
                <w:rFonts w:eastAsia="Times New Roman" w:cs="Arial"/>
                <w:color w:val="000000"/>
                <w:sz w:val="16"/>
                <w:szCs w:val="16"/>
                <w:lang w:eastAsia="ca-ES"/>
              </w:rPr>
              <w:t>√</w:t>
            </w:r>
          </w:p>
        </w:tc>
        <w:tc>
          <w:tcPr>
            <w:tcW w:w="543" w:type="dxa"/>
            <w:tcBorders>
              <w:top w:val="single" w:sz="4" w:space="0" w:color="auto"/>
              <w:bottom w:val="single" w:sz="4" w:space="0" w:color="auto"/>
            </w:tcBorders>
            <w:shd w:val="clear" w:color="auto" w:fill="auto"/>
            <w:vAlign w:val="center"/>
            <w:hideMark/>
          </w:tcPr>
          <w:p w:rsidR="006A4109" w:rsidRPr="00664FF0" w:rsidRDefault="006A4109" w:rsidP="00E930B2">
            <w:pPr>
              <w:rPr>
                <w:rFonts w:eastAsia="Times New Roman" w:cs="Arial"/>
                <w:color w:val="000000"/>
                <w:sz w:val="16"/>
                <w:szCs w:val="16"/>
                <w:lang w:eastAsia="ca-ES"/>
              </w:rPr>
            </w:pPr>
            <w:r w:rsidRPr="00664FF0">
              <w:rPr>
                <w:rFonts w:eastAsia="Times New Roman" w:cs="Arial"/>
                <w:color w:val="000000"/>
                <w:sz w:val="16"/>
                <w:szCs w:val="16"/>
                <w:lang w:eastAsia="ca-ES"/>
              </w:rPr>
              <w:t>√</w:t>
            </w:r>
          </w:p>
        </w:tc>
        <w:tc>
          <w:tcPr>
            <w:tcW w:w="543" w:type="dxa"/>
            <w:tcBorders>
              <w:top w:val="single" w:sz="4" w:space="0" w:color="auto"/>
              <w:bottom w:val="single" w:sz="4" w:space="0" w:color="auto"/>
            </w:tcBorders>
            <w:shd w:val="clear" w:color="auto" w:fill="auto"/>
            <w:vAlign w:val="center"/>
            <w:hideMark/>
          </w:tcPr>
          <w:p w:rsidR="006A4109" w:rsidRPr="00664FF0" w:rsidRDefault="006A4109" w:rsidP="00E930B2">
            <w:pPr>
              <w:rPr>
                <w:rFonts w:eastAsia="Times New Roman" w:cs="Arial"/>
                <w:color w:val="000000"/>
                <w:sz w:val="16"/>
                <w:szCs w:val="16"/>
                <w:lang w:eastAsia="ca-ES"/>
              </w:rPr>
            </w:pPr>
            <w:r w:rsidRPr="00664FF0">
              <w:rPr>
                <w:rFonts w:eastAsia="Times New Roman" w:cs="Arial"/>
                <w:color w:val="000000"/>
                <w:sz w:val="16"/>
                <w:szCs w:val="16"/>
                <w:lang w:eastAsia="ca-ES"/>
              </w:rPr>
              <w:t>√</w:t>
            </w:r>
          </w:p>
        </w:tc>
        <w:tc>
          <w:tcPr>
            <w:tcW w:w="542" w:type="dxa"/>
            <w:tcBorders>
              <w:top w:val="single" w:sz="4" w:space="0" w:color="auto"/>
              <w:bottom w:val="single" w:sz="4" w:space="0" w:color="auto"/>
            </w:tcBorders>
            <w:shd w:val="clear" w:color="auto" w:fill="auto"/>
            <w:vAlign w:val="center"/>
            <w:hideMark/>
          </w:tcPr>
          <w:p w:rsidR="006A4109" w:rsidRPr="00664FF0" w:rsidRDefault="006A4109" w:rsidP="00E930B2">
            <w:pPr>
              <w:rPr>
                <w:rFonts w:eastAsia="Times New Roman" w:cs="Arial"/>
                <w:color w:val="000000"/>
                <w:sz w:val="16"/>
                <w:szCs w:val="16"/>
                <w:lang w:eastAsia="ca-ES"/>
              </w:rPr>
            </w:pPr>
            <w:r w:rsidRPr="00664FF0">
              <w:rPr>
                <w:rFonts w:eastAsia="Times New Roman" w:cs="Arial"/>
                <w:color w:val="000000"/>
                <w:sz w:val="16"/>
                <w:szCs w:val="16"/>
                <w:lang w:eastAsia="ca-ES"/>
              </w:rPr>
              <w:t> </w:t>
            </w:r>
          </w:p>
        </w:tc>
        <w:tc>
          <w:tcPr>
            <w:tcW w:w="543" w:type="dxa"/>
            <w:tcBorders>
              <w:top w:val="single" w:sz="4" w:space="0" w:color="auto"/>
              <w:bottom w:val="single" w:sz="4" w:space="0" w:color="auto"/>
            </w:tcBorders>
            <w:shd w:val="clear" w:color="auto" w:fill="auto"/>
            <w:vAlign w:val="center"/>
            <w:hideMark/>
          </w:tcPr>
          <w:p w:rsidR="006A4109" w:rsidRPr="00664FF0" w:rsidRDefault="006A4109" w:rsidP="00E930B2">
            <w:pPr>
              <w:rPr>
                <w:rFonts w:eastAsia="Times New Roman" w:cs="Arial"/>
                <w:color w:val="000000"/>
                <w:sz w:val="16"/>
                <w:szCs w:val="16"/>
                <w:lang w:eastAsia="ca-ES"/>
              </w:rPr>
            </w:pPr>
            <w:r w:rsidRPr="00664FF0">
              <w:rPr>
                <w:rFonts w:eastAsia="Times New Roman" w:cs="Arial"/>
                <w:color w:val="000000"/>
                <w:sz w:val="16"/>
                <w:szCs w:val="16"/>
                <w:lang w:eastAsia="ca-ES"/>
              </w:rPr>
              <w:t>√</w:t>
            </w:r>
          </w:p>
        </w:tc>
        <w:tc>
          <w:tcPr>
            <w:tcW w:w="543" w:type="dxa"/>
            <w:tcBorders>
              <w:top w:val="single" w:sz="4" w:space="0" w:color="auto"/>
              <w:bottom w:val="single" w:sz="4" w:space="0" w:color="auto"/>
            </w:tcBorders>
            <w:shd w:val="clear" w:color="auto" w:fill="auto"/>
            <w:vAlign w:val="center"/>
            <w:hideMark/>
          </w:tcPr>
          <w:p w:rsidR="006A4109" w:rsidRPr="00664FF0" w:rsidRDefault="006A4109" w:rsidP="00E930B2">
            <w:pPr>
              <w:rPr>
                <w:rFonts w:eastAsia="Times New Roman" w:cs="Arial"/>
                <w:color w:val="000000"/>
                <w:sz w:val="16"/>
                <w:szCs w:val="16"/>
                <w:lang w:eastAsia="ca-ES"/>
              </w:rPr>
            </w:pPr>
            <w:r w:rsidRPr="00664FF0">
              <w:rPr>
                <w:rFonts w:eastAsia="Times New Roman" w:cs="Arial"/>
                <w:color w:val="000000"/>
                <w:sz w:val="16"/>
                <w:szCs w:val="16"/>
                <w:lang w:eastAsia="ca-ES"/>
              </w:rPr>
              <w:t>√</w:t>
            </w:r>
          </w:p>
        </w:tc>
        <w:tc>
          <w:tcPr>
            <w:tcW w:w="543" w:type="dxa"/>
            <w:tcBorders>
              <w:top w:val="single" w:sz="4" w:space="0" w:color="auto"/>
              <w:bottom w:val="single" w:sz="4" w:space="0" w:color="auto"/>
            </w:tcBorders>
            <w:shd w:val="clear" w:color="auto" w:fill="auto"/>
            <w:vAlign w:val="center"/>
            <w:hideMark/>
          </w:tcPr>
          <w:p w:rsidR="006A4109" w:rsidRPr="00664FF0" w:rsidRDefault="006A4109" w:rsidP="00E930B2">
            <w:pPr>
              <w:rPr>
                <w:rFonts w:eastAsia="Times New Roman" w:cs="Arial"/>
                <w:color w:val="000000"/>
                <w:sz w:val="16"/>
                <w:szCs w:val="16"/>
                <w:lang w:eastAsia="ca-ES"/>
              </w:rPr>
            </w:pPr>
            <w:r w:rsidRPr="00664FF0">
              <w:rPr>
                <w:rFonts w:eastAsia="Times New Roman" w:cs="Arial"/>
                <w:color w:val="000000"/>
                <w:sz w:val="16"/>
                <w:szCs w:val="16"/>
                <w:lang w:eastAsia="ca-ES"/>
              </w:rPr>
              <w:t>√</w:t>
            </w:r>
          </w:p>
        </w:tc>
        <w:tc>
          <w:tcPr>
            <w:tcW w:w="543" w:type="dxa"/>
            <w:tcBorders>
              <w:top w:val="single" w:sz="4" w:space="0" w:color="auto"/>
              <w:bottom w:val="single" w:sz="4" w:space="0" w:color="auto"/>
            </w:tcBorders>
            <w:shd w:val="clear" w:color="auto" w:fill="auto"/>
            <w:vAlign w:val="center"/>
            <w:hideMark/>
          </w:tcPr>
          <w:p w:rsidR="006A4109" w:rsidRPr="00664FF0" w:rsidRDefault="006A4109" w:rsidP="00E930B2">
            <w:pPr>
              <w:rPr>
                <w:rFonts w:eastAsia="Times New Roman" w:cs="Arial"/>
                <w:color w:val="000000"/>
                <w:sz w:val="16"/>
                <w:szCs w:val="16"/>
                <w:lang w:eastAsia="ca-ES"/>
              </w:rPr>
            </w:pPr>
            <w:r w:rsidRPr="00664FF0">
              <w:rPr>
                <w:rFonts w:eastAsia="Times New Roman" w:cs="Arial"/>
                <w:color w:val="000000"/>
                <w:sz w:val="16"/>
                <w:szCs w:val="16"/>
                <w:lang w:eastAsia="ca-ES"/>
              </w:rPr>
              <w:t>√</w:t>
            </w:r>
          </w:p>
        </w:tc>
        <w:tc>
          <w:tcPr>
            <w:tcW w:w="543" w:type="dxa"/>
            <w:tcBorders>
              <w:top w:val="single" w:sz="4" w:space="0" w:color="auto"/>
              <w:bottom w:val="single" w:sz="4" w:space="0" w:color="auto"/>
            </w:tcBorders>
            <w:shd w:val="clear" w:color="auto" w:fill="auto"/>
            <w:vAlign w:val="center"/>
            <w:hideMark/>
          </w:tcPr>
          <w:p w:rsidR="006A4109" w:rsidRPr="00664FF0" w:rsidRDefault="006A4109" w:rsidP="00E930B2">
            <w:pPr>
              <w:rPr>
                <w:rFonts w:eastAsia="Times New Roman" w:cs="Arial"/>
                <w:color w:val="000000"/>
                <w:sz w:val="16"/>
                <w:szCs w:val="16"/>
                <w:lang w:eastAsia="ca-ES"/>
              </w:rPr>
            </w:pPr>
            <w:r w:rsidRPr="00664FF0">
              <w:rPr>
                <w:rFonts w:eastAsia="Times New Roman" w:cs="Arial"/>
                <w:color w:val="000000"/>
                <w:sz w:val="16"/>
                <w:szCs w:val="16"/>
                <w:lang w:eastAsia="ca-ES"/>
              </w:rPr>
              <w:t> </w:t>
            </w:r>
          </w:p>
        </w:tc>
        <w:tc>
          <w:tcPr>
            <w:tcW w:w="543" w:type="dxa"/>
            <w:tcBorders>
              <w:top w:val="single" w:sz="4" w:space="0" w:color="auto"/>
              <w:bottom w:val="single" w:sz="4" w:space="0" w:color="auto"/>
            </w:tcBorders>
            <w:shd w:val="clear" w:color="auto" w:fill="auto"/>
            <w:vAlign w:val="center"/>
            <w:hideMark/>
          </w:tcPr>
          <w:p w:rsidR="006A4109" w:rsidRPr="00664FF0" w:rsidRDefault="006A4109" w:rsidP="00E930B2">
            <w:pPr>
              <w:rPr>
                <w:rFonts w:eastAsia="Times New Roman" w:cs="Arial"/>
                <w:color w:val="000000"/>
                <w:sz w:val="16"/>
                <w:szCs w:val="16"/>
                <w:lang w:eastAsia="ca-ES"/>
              </w:rPr>
            </w:pPr>
            <w:r w:rsidRPr="00664FF0">
              <w:rPr>
                <w:rFonts w:eastAsia="Times New Roman" w:cs="Arial"/>
                <w:color w:val="000000"/>
                <w:sz w:val="16"/>
                <w:szCs w:val="16"/>
                <w:lang w:eastAsia="ca-ES"/>
              </w:rPr>
              <w:t> </w:t>
            </w:r>
          </w:p>
        </w:tc>
      </w:tr>
      <w:tr w:rsidR="006A4109" w:rsidRPr="00664FF0" w:rsidTr="00E930B2">
        <w:trPr>
          <w:trHeight w:val="20"/>
        </w:trPr>
        <w:tc>
          <w:tcPr>
            <w:tcW w:w="1433" w:type="dxa"/>
            <w:tcBorders>
              <w:top w:val="single" w:sz="4" w:space="0" w:color="auto"/>
              <w:bottom w:val="single" w:sz="4" w:space="0" w:color="auto"/>
            </w:tcBorders>
            <w:shd w:val="clear" w:color="auto" w:fill="auto"/>
            <w:vAlign w:val="center"/>
            <w:hideMark/>
          </w:tcPr>
          <w:p w:rsidR="006A4109" w:rsidRPr="00664FF0" w:rsidRDefault="006A4109" w:rsidP="00E930B2">
            <w:pPr>
              <w:rPr>
                <w:rFonts w:eastAsia="Times New Roman" w:cs="Arial"/>
                <w:color w:val="000000"/>
                <w:sz w:val="16"/>
                <w:szCs w:val="16"/>
                <w:lang w:eastAsia="ca-ES"/>
              </w:rPr>
            </w:pPr>
            <w:r w:rsidRPr="00664FF0">
              <w:rPr>
                <w:rFonts w:eastAsia="Times New Roman" w:cs="Arial"/>
                <w:color w:val="000000"/>
                <w:sz w:val="16"/>
                <w:szCs w:val="16"/>
                <w:lang w:eastAsia="ca-ES"/>
              </w:rPr>
              <w:t>Embalatge</w:t>
            </w:r>
          </w:p>
        </w:tc>
        <w:tc>
          <w:tcPr>
            <w:tcW w:w="542" w:type="dxa"/>
            <w:tcBorders>
              <w:top w:val="single" w:sz="4" w:space="0" w:color="auto"/>
              <w:bottom w:val="single" w:sz="4" w:space="0" w:color="auto"/>
            </w:tcBorders>
            <w:shd w:val="clear" w:color="auto" w:fill="auto"/>
            <w:vAlign w:val="center"/>
            <w:hideMark/>
          </w:tcPr>
          <w:p w:rsidR="006A4109" w:rsidRPr="00664FF0" w:rsidRDefault="006A4109" w:rsidP="00E930B2">
            <w:pPr>
              <w:rPr>
                <w:rFonts w:eastAsia="Times New Roman" w:cs="Arial"/>
                <w:color w:val="000000"/>
                <w:sz w:val="16"/>
                <w:szCs w:val="16"/>
                <w:lang w:eastAsia="ca-ES"/>
              </w:rPr>
            </w:pPr>
            <w:r w:rsidRPr="00664FF0">
              <w:rPr>
                <w:rFonts w:eastAsia="Times New Roman" w:cs="Arial"/>
                <w:color w:val="000000"/>
                <w:sz w:val="16"/>
                <w:szCs w:val="16"/>
                <w:lang w:eastAsia="ca-ES"/>
              </w:rPr>
              <w:t> </w:t>
            </w:r>
          </w:p>
        </w:tc>
        <w:tc>
          <w:tcPr>
            <w:tcW w:w="543" w:type="dxa"/>
            <w:tcBorders>
              <w:top w:val="single" w:sz="4" w:space="0" w:color="auto"/>
              <w:bottom w:val="single" w:sz="4" w:space="0" w:color="auto"/>
            </w:tcBorders>
            <w:shd w:val="clear" w:color="auto" w:fill="auto"/>
            <w:vAlign w:val="center"/>
            <w:hideMark/>
          </w:tcPr>
          <w:p w:rsidR="006A4109" w:rsidRPr="00664FF0" w:rsidRDefault="006A4109" w:rsidP="00E930B2">
            <w:pPr>
              <w:rPr>
                <w:rFonts w:eastAsia="Times New Roman" w:cs="Arial"/>
                <w:color w:val="000000"/>
                <w:sz w:val="16"/>
                <w:szCs w:val="16"/>
                <w:lang w:eastAsia="ca-ES"/>
              </w:rPr>
            </w:pPr>
            <w:r w:rsidRPr="00664FF0">
              <w:rPr>
                <w:rFonts w:eastAsia="Times New Roman" w:cs="Arial"/>
                <w:color w:val="000000"/>
                <w:sz w:val="16"/>
                <w:szCs w:val="16"/>
                <w:lang w:eastAsia="ca-ES"/>
              </w:rPr>
              <w:t> </w:t>
            </w:r>
          </w:p>
        </w:tc>
        <w:tc>
          <w:tcPr>
            <w:tcW w:w="543" w:type="dxa"/>
            <w:tcBorders>
              <w:top w:val="single" w:sz="4" w:space="0" w:color="auto"/>
              <w:bottom w:val="single" w:sz="4" w:space="0" w:color="auto"/>
            </w:tcBorders>
            <w:shd w:val="clear" w:color="auto" w:fill="auto"/>
            <w:vAlign w:val="center"/>
            <w:hideMark/>
          </w:tcPr>
          <w:p w:rsidR="006A4109" w:rsidRPr="00664FF0" w:rsidRDefault="006A4109" w:rsidP="00E930B2">
            <w:pPr>
              <w:rPr>
                <w:rFonts w:eastAsia="Times New Roman" w:cs="Arial"/>
                <w:color w:val="000000"/>
                <w:sz w:val="16"/>
                <w:szCs w:val="16"/>
                <w:lang w:eastAsia="ca-ES"/>
              </w:rPr>
            </w:pPr>
            <w:r w:rsidRPr="00664FF0">
              <w:rPr>
                <w:rFonts w:eastAsia="Times New Roman" w:cs="Arial"/>
                <w:color w:val="000000"/>
                <w:sz w:val="16"/>
                <w:szCs w:val="16"/>
                <w:lang w:eastAsia="ca-ES"/>
              </w:rPr>
              <w:t> </w:t>
            </w:r>
          </w:p>
        </w:tc>
        <w:tc>
          <w:tcPr>
            <w:tcW w:w="543" w:type="dxa"/>
            <w:tcBorders>
              <w:top w:val="single" w:sz="4" w:space="0" w:color="auto"/>
              <w:bottom w:val="single" w:sz="4" w:space="0" w:color="auto"/>
            </w:tcBorders>
            <w:shd w:val="clear" w:color="auto" w:fill="auto"/>
            <w:vAlign w:val="center"/>
            <w:hideMark/>
          </w:tcPr>
          <w:p w:rsidR="006A4109" w:rsidRPr="00664FF0" w:rsidRDefault="006A4109" w:rsidP="00E930B2">
            <w:pPr>
              <w:rPr>
                <w:rFonts w:eastAsia="Times New Roman" w:cs="Arial"/>
                <w:color w:val="000000"/>
                <w:sz w:val="16"/>
                <w:szCs w:val="16"/>
                <w:lang w:eastAsia="ca-ES"/>
              </w:rPr>
            </w:pPr>
            <w:r w:rsidRPr="00664FF0">
              <w:rPr>
                <w:rFonts w:eastAsia="Times New Roman" w:cs="Arial"/>
                <w:color w:val="000000"/>
                <w:sz w:val="16"/>
                <w:szCs w:val="16"/>
                <w:lang w:eastAsia="ca-ES"/>
              </w:rPr>
              <w:t> </w:t>
            </w:r>
          </w:p>
        </w:tc>
        <w:tc>
          <w:tcPr>
            <w:tcW w:w="543" w:type="dxa"/>
            <w:tcBorders>
              <w:top w:val="single" w:sz="4" w:space="0" w:color="auto"/>
              <w:bottom w:val="single" w:sz="4" w:space="0" w:color="auto"/>
            </w:tcBorders>
            <w:shd w:val="clear" w:color="auto" w:fill="auto"/>
            <w:vAlign w:val="center"/>
            <w:hideMark/>
          </w:tcPr>
          <w:p w:rsidR="006A4109" w:rsidRPr="00664FF0" w:rsidRDefault="006A4109" w:rsidP="00E930B2">
            <w:pPr>
              <w:rPr>
                <w:rFonts w:eastAsia="Times New Roman" w:cs="Arial"/>
                <w:color w:val="000000"/>
                <w:sz w:val="16"/>
                <w:szCs w:val="16"/>
                <w:lang w:eastAsia="ca-ES"/>
              </w:rPr>
            </w:pPr>
            <w:r w:rsidRPr="00664FF0">
              <w:rPr>
                <w:rFonts w:eastAsia="Times New Roman" w:cs="Arial"/>
                <w:color w:val="000000"/>
                <w:sz w:val="16"/>
                <w:szCs w:val="16"/>
                <w:lang w:eastAsia="ca-ES"/>
              </w:rPr>
              <w:t> </w:t>
            </w:r>
          </w:p>
        </w:tc>
        <w:tc>
          <w:tcPr>
            <w:tcW w:w="543" w:type="dxa"/>
            <w:tcBorders>
              <w:top w:val="single" w:sz="4" w:space="0" w:color="auto"/>
              <w:bottom w:val="single" w:sz="4" w:space="0" w:color="auto"/>
            </w:tcBorders>
            <w:shd w:val="clear" w:color="auto" w:fill="auto"/>
            <w:vAlign w:val="center"/>
            <w:hideMark/>
          </w:tcPr>
          <w:p w:rsidR="006A4109" w:rsidRPr="00664FF0" w:rsidRDefault="006A4109" w:rsidP="00E930B2">
            <w:pPr>
              <w:rPr>
                <w:rFonts w:eastAsia="Times New Roman" w:cs="Arial"/>
                <w:color w:val="000000"/>
                <w:sz w:val="16"/>
                <w:szCs w:val="16"/>
                <w:lang w:eastAsia="ca-ES"/>
              </w:rPr>
            </w:pPr>
            <w:r w:rsidRPr="00664FF0">
              <w:rPr>
                <w:rFonts w:eastAsia="Times New Roman" w:cs="Arial"/>
                <w:color w:val="000000"/>
                <w:sz w:val="16"/>
                <w:szCs w:val="16"/>
                <w:lang w:eastAsia="ca-ES"/>
              </w:rPr>
              <w:t> </w:t>
            </w:r>
          </w:p>
        </w:tc>
        <w:tc>
          <w:tcPr>
            <w:tcW w:w="543" w:type="dxa"/>
            <w:tcBorders>
              <w:top w:val="single" w:sz="4" w:space="0" w:color="auto"/>
              <w:bottom w:val="single" w:sz="4" w:space="0" w:color="auto"/>
            </w:tcBorders>
            <w:shd w:val="clear" w:color="auto" w:fill="auto"/>
            <w:vAlign w:val="center"/>
            <w:hideMark/>
          </w:tcPr>
          <w:p w:rsidR="006A4109" w:rsidRPr="00664FF0" w:rsidRDefault="006A4109" w:rsidP="00E930B2">
            <w:pPr>
              <w:rPr>
                <w:rFonts w:eastAsia="Times New Roman" w:cs="Arial"/>
                <w:color w:val="000000"/>
                <w:sz w:val="16"/>
                <w:szCs w:val="16"/>
                <w:lang w:eastAsia="ca-ES"/>
              </w:rPr>
            </w:pPr>
            <w:r w:rsidRPr="00664FF0">
              <w:rPr>
                <w:rFonts w:eastAsia="Times New Roman" w:cs="Arial"/>
                <w:color w:val="000000"/>
                <w:sz w:val="16"/>
                <w:szCs w:val="16"/>
                <w:lang w:eastAsia="ca-ES"/>
              </w:rPr>
              <w:t> </w:t>
            </w:r>
          </w:p>
        </w:tc>
        <w:tc>
          <w:tcPr>
            <w:tcW w:w="542" w:type="dxa"/>
            <w:tcBorders>
              <w:top w:val="single" w:sz="4" w:space="0" w:color="auto"/>
              <w:bottom w:val="single" w:sz="4" w:space="0" w:color="auto"/>
            </w:tcBorders>
            <w:shd w:val="clear" w:color="auto" w:fill="auto"/>
            <w:vAlign w:val="center"/>
            <w:hideMark/>
          </w:tcPr>
          <w:p w:rsidR="006A4109" w:rsidRPr="00664FF0" w:rsidRDefault="006A4109" w:rsidP="00E930B2">
            <w:pPr>
              <w:rPr>
                <w:rFonts w:eastAsia="Times New Roman" w:cs="Arial"/>
                <w:color w:val="000000"/>
                <w:sz w:val="16"/>
                <w:szCs w:val="16"/>
                <w:lang w:eastAsia="ca-ES"/>
              </w:rPr>
            </w:pPr>
            <w:r w:rsidRPr="00664FF0">
              <w:rPr>
                <w:rFonts w:eastAsia="Times New Roman" w:cs="Arial"/>
                <w:color w:val="000000"/>
                <w:sz w:val="16"/>
                <w:szCs w:val="16"/>
                <w:lang w:eastAsia="ca-ES"/>
              </w:rPr>
              <w:t>√</w:t>
            </w:r>
          </w:p>
        </w:tc>
        <w:tc>
          <w:tcPr>
            <w:tcW w:w="543" w:type="dxa"/>
            <w:tcBorders>
              <w:top w:val="single" w:sz="4" w:space="0" w:color="auto"/>
              <w:bottom w:val="single" w:sz="4" w:space="0" w:color="auto"/>
            </w:tcBorders>
            <w:shd w:val="clear" w:color="auto" w:fill="auto"/>
            <w:vAlign w:val="center"/>
            <w:hideMark/>
          </w:tcPr>
          <w:p w:rsidR="006A4109" w:rsidRPr="00664FF0" w:rsidRDefault="006A4109" w:rsidP="00E930B2">
            <w:pPr>
              <w:rPr>
                <w:rFonts w:eastAsia="Times New Roman" w:cs="Arial"/>
                <w:color w:val="000000"/>
                <w:sz w:val="16"/>
                <w:szCs w:val="16"/>
                <w:lang w:eastAsia="ca-ES"/>
              </w:rPr>
            </w:pPr>
            <w:r w:rsidRPr="00664FF0">
              <w:rPr>
                <w:rFonts w:eastAsia="Times New Roman" w:cs="Arial"/>
                <w:color w:val="000000"/>
                <w:sz w:val="16"/>
                <w:szCs w:val="16"/>
                <w:lang w:eastAsia="ca-ES"/>
              </w:rPr>
              <w:t> </w:t>
            </w:r>
          </w:p>
        </w:tc>
        <w:tc>
          <w:tcPr>
            <w:tcW w:w="543" w:type="dxa"/>
            <w:tcBorders>
              <w:top w:val="single" w:sz="4" w:space="0" w:color="auto"/>
              <w:bottom w:val="single" w:sz="4" w:space="0" w:color="auto"/>
            </w:tcBorders>
            <w:shd w:val="clear" w:color="auto" w:fill="auto"/>
            <w:vAlign w:val="center"/>
            <w:hideMark/>
          </w:tcPr>
          <w:p w:rsidR="006A4109" w:rsidRPr="00664FF0" w:rsidRDefault="006A4109" w:rsidP="00E930B2">
            <w:pPr>
              <w:rPr>
                <w:rFonts w:eastAsia="Times New Roman" w:cs="Arial"/>
                <w:color w:val="000000"/>
                <w:sz w:val="16"/>
                <w:szCs w:val="16"/>
                <w:lang w:eastAsia="ca-ES"/>
              </w:rPr>
            </w:pPr>
            <w:r w:rsidRPr="00664FF0">
              <w:rPr>
                <w:rFonts w:eastAsia="Times New Roman" w:cs="Arial"/>
                <w:color w:val="000000"/>
                <w:sz w:val="16"/>
                <w:szCs w:val="16"/>
                <w:lang w:eastAsia="ca-ES"/>
              </w:rPr>
              <w:t> </w:t>
            </w:r>
          </w:p>
        </w:tc>
        <w:tc>
          <w:tcPr>
            <w:tcW w:w="543" w:type="dxa"/>
            <w:tcBorders>
              <w:top w:val="single" w:sz="4" w:space="0" w:color="auto"/>
              <w:bottom w:val="single" w:sz="4" w:space="0" w:color="auto"/>
            </w:tcBorders>
            <w:shd w:val="clear" w:color="auto" w:fill="auto"/>
            <w:vAlign w:val="center"/>
            <w:hideMark/>
          </w:tcPr>
          <w:p w:rsidR="006A4109" w:rsidRPr="00664FF0" w:rsidRDefault="006A4109" w:rsidP="00E930B2">
            <w:pPr>
              <w:rPr>
                <w:rFonts w:eastAsia="Times New Roman" w:cs="Arial"/>
                <w:color w:val="000000"/>
                <w:sz w:val="16"/>
                <w:szCs w:val="16"/>
                <w:lang w:eastAsia="ca-ES"/>
              </w:rPr>
            </w:pPr>
            <w:r w:rsidRPr="00664FF0">
              <w:rPr>
                <w:rFonts w:eastAsia="Times New Roman" w:cs="Arial"/>
                <w:color w:val="000000"/>
                <w:sz w:val="16"/>
                <w:szCs w:val="16"/>
                <w:lang w:eastAsia="ca-ES"/>
              </w:rPr>
              <w:t> </w:t>
            </w:r>
          </w:p>
        </w:tc>
        <w:tc>
          <w:tcPr>
            <w:tcW w:w="543" w:type="dxa"/>
            <w:tcBorders>
              <w:top w:val="single" w:sz="4" w:space="0" w:color="auto"/>
              <w:bottom w:val="single" w:sz="4" w:space="0" w:color="auto"/>
            </w:tcBorders>
            <w:shd w:val="clear" w:color="auto" w:fill="auto"/>
            <w:vAlign w:val="center"/>
            <w:hideMark/>
          </w:tcPr>
          <w:p w:rsidR="006A4109" w:rsidRPr="00664FF0" w:rsidRDefault="006A4109" w:rsidP="00E930B2">
            <w:pPr>
              <w:rPr>
                <w:rFonts w:eastAsia="Times New Roman" w:cs="Arial"/>
                <w:color w:val="000000"/>
                <w:sz w:val="16"/>
                <w:szCs w:val="16"/>
                <w:lang w:eastAsia="ca-ES"/>
              </w:rPr>
            </w:pPr>
            <w:r w:rsidRPr="00664FF0">
              <w:rPr>
                <w:rFonts w:eastAsia="Times New Roman" w:cs="Arial"/>
                <w:color w:val="000000"/>
                <w:sz w:val="16"/>
                <w:szCs w:val="16"/>
                <w:lang w:eastAsia="ca-ES"/>
              </w:rPr>
              <w:t> </w:t>
            </w:r>
          </w:p>
        </w:tc>
        <w:tc>
          <w:tcPr>
            <w:tcW w:w="543" w:type="dxa"/>
            <w:tcBorders>
              <w:top w:val="single" w:sz="4" w:space="0" w:color="auto"/>
              <w:bottom w:val="single" w:sz="4" w:space="0" w:color="auto"/>
            </w:tcBorders>
            <w:shd w:val="clear" w:color="auto" w:fill="auto"/>
            <w:vAlign w:val="center"/>
            <w:hideMark/>
          </w:tcPr>
          <w:p w:rsidR="006A4109" w:rsidRPr="00664FF0" w:rsidRDefault="006A4109" w:rsidP="00E930B2">
            <w:pPr>
              <w:rPr>
                <w:rFonts w:eastAsia="Times New Roman" w:cs="Arial"/>
                <w:color w:val="000000"/>
                <w:sz w:val="16"/>
                <w:szCs w:val="16"/>
                <w:lang w:eastAsia="ca-ES"/>
              </w:rPr>
            </w:pPr>
            <w:r w:rsidRPr="00664FF0">
              <w:rPr>
                <w:rFonts w:eastAsia="Times New Roman" w:cs="Arial"/>
                <w:color w:val="000000"/>
                <w:sz w:val="16"/>
                <w:szCs w:val="16"/>
                <w:lang w:eastAsia="ca-ES"/>
              </w:rPr>
              <w:t> </w:t>
            </w:r>
          </w:p>
        </w:tc>
        <w:tc>
          <w:tcPr>
            <w:tcW w:w="543" w:type="dxa"/>
            <w:tcBorders>
              <w:top w:val="single" w:sz="4" w:space="0" w:color="auto"/>
              <w:bottom w:val="single" w:sz="4" w:space="0" w:color="auto"/>
            </w:tcBorders>
            <w:shd w:val="clear" w:color="auto" w:fill="auto"/>
            <w:vAlign w:val="center"/>
            <w:hideMark/>
          </w:tcPr>
          <w:p w:rsidR="006A4109" w:rsidRPr="00664FF0" w:rsidRDefault="006A4109" w:rsidP="00E930B2">
            <w:pPr>
              <w:rPr>
                <w:rFonts w:eastAsia="Times New Roman" w:cs="Arial"/>
                <w:color w:val="000000"/>
                <w:sz w:val="16"/>
                <w:szCs w:val="16"/>
                <w:lang w:eastAsia="ca-ES"/>
              </w:rPr>
            </w:pPr>
            <w:r w:rsidRPr="00664FF0">
              <w:rPr>
                <w:rFonts w:eastAsia="Times New Roman" w:cs="Arial"/>
                <w:color w:val="000000"/>
                <w:sz w:val="16"/>
                <w:szCs w:val="16"/>
                <w:lang w:eastAsia="ca-ES"/>
              </w:rPr>
              <w:t> </w:t>
            </w:r>
          </w:p>
        </w:tc>
      </w:tr>
      <w:tr w:rsidR="006A4109" w:rsidRPr="00664FF0" w:rsidTr="00E930B2">
        <w:trPr>
          <w:trHeight w:val="20"/>
        </w:trPr>
        <w:tc>
          <w:tcPr>
            <w:tcW w:w="1433" w:type="dxa"/>
            <w:tcBorders>
              <w:top w:val="single" w:sz="4" w:space="0" w:color="auto"/>
              <w:bottom w:val="single" w:sz="4" w:space="0" w:color="auto"/>
            </w:tcBorders>
            <w:shd w:val="clear" w:color="auto" w:fill="auto"/>
            <w:vAlign w:val="center"/>
            <w:hideMark/>
          </w:tcPr>
          <w:p w:rsidR="006A4109" w:rsidRPr="00664FF0" w:rsidRDefault="006A4109" w:rsidP="00E930B2">
            <w:pPr>
              <w:rPr>
                <w:rFonts w:eastAsia="Times New Roman" w:cs="Arial"/>
                <w:color w:val="000000"/>
                <w:sz w:val="16"/>
                <w:szCs w:val="16"/>
                <w:lang w:eastAsia="ca-ES"/>
              </w:rPr>
            </w:pPr>
            <w:r w:rsidRPr="00664FF0">
              <w:rPr>
                <w:rFonts w:eastAsia="Times New Roman" w:cs="Arial"/>
                <w:color w:val="000000"/>
                <w:sz w:val="16"/>
                <w:szCs w:val="16"/>
                <w:lang w:eastAsia="ca-ES"/>
              </w:rPr>
              <w:t>Made in CIRE</w:t>
            </w:r>
          </w:p>
        </w:tc>
        <w:tc>
          <w:tcPr>
            <w:tcW w:w="542" w:type="dxa"/>
            <w:tcBorders>
              <w:top w:val="single" w:sz="4" w:space="0" w:color="auto"/>
              <w:bottom w:val="single" w:sz="4" w:space="0" w:color="auto"/>
            </w:tcBorders>
            <w:shd w:val="clear" w:color="auto" w:fill="auto"/>
            <w:vAlign w:val="center"/>
            <w:hideMark/>
          </w:tcPr>
          <w:p w:rsidR="006A4109" w:rsidRPr="00664FF0" w:rsidRDefault="006A4109" w:rsidP="00E930B2">
            <w:pPr>
              <w:rPr>
                <w:rFonts w:eastAsia="Times New Roman" w:cs="Arial"/>
                <w:color w:val="000000"/>
                <w:sz w:val="16"/>
                <w:szCs w:val="16"/>
                <w:lang w:eastAsia="ca-ES"/>
              </w:rPr>
            </w:pPr>
            <w:r w:rsidRPr="00664FF0">
              <w:rPr>
                <w:rFonts w:eastAsia="Times New Roman" w:cs="Arial"/>
                <w:color w:val="000000"/>
                <w:sz w:val="16"/>
                <w:szCs w:val="16"/>
                <w:lang w:eastAsia="ca-ES"/>
              </w:rPr>
              <w:t> </w:t>
            </w:r>
          </w:p>
        </w:tc>
        <w:tc>
          <w:tcPr>
            <w:tcW w:w="543" w:type="dxa"/>
            <w:tcBorders>
              <w:top w:val="single" w:sz="4" w:space="0" w:color="auto"/>
              <w:bottom w:val="single" w:sz="4" w:space="0" w:color="auto"/>
            </w:tcBorders>
            <w:shd w:val="clear" w:color="auto" w:fill="auto"/>
            <w:vAlign w:val="center"/>
            <w:hideMark/>
          </w:tcPr>
          <w:p w:rsidR="006A4109" w:rsidRPr="00664FF0" w:rsidRDefault="006A4109" w:rsidP="00E930B2">
            <w:pPr>
              <w:rPr>
                <w:rFonts w:eastAsia="Times New Roman" w:cs="Arial"/>
                <w:color w:val="000000"/>
                <w:sz w:val="16"/>
                <w:szCs w:val="16"/>
                <w:lang w:eastAsia="ca-ES"/>
              </w:rPr>
            </w:pPr>
            <w:r w:rsidRPr="00664FF0">
              <w:rPr>
                <w:rFonts w:eastAsia="Times New Roman" w:cs="Arial"/>
                <w:color w:val="000000"/>
                <w:sz w:val="16"/>
                <w:szCs w:val="16"/>
                <w:lang w:eastAsia="ca-ES"/>
              </w:rPr>
              <w:t> </w:t>
            </w:r>
          </w:p>
        </w:tc>
        <w:tc>
          <w:tcPr>
            <w:tcW w:w="543" w:type="dxa"/>
            <w:tcBorders>
              <w:top w:val="single" w:sz="4" w:space="0" w:color="auto"/>
              <w:bottom w:val="single" w:sz="4" w:space="0" w:color="auto"/>
            </w:tcBorders>
            <w:shd w:val="clear" w:color="auto" w:fill="auto"/>
            <w:vAlign w:val="center"/>
            <w:hideMark/>
          </w:tcPr>
          <w:p w:rsidR="006A4109" w:rsidRPr="00664FF0" w:rsidRDefault="006A4109" w:rsidP="00E930B2">
            <w:pPr>
              <w:rPr>
                <w:rFonts w:eastAsia="Times New Roman" w:cs="Arial"/>
                <w:color w:val="000000"/>
                <w:sz w:val="16"/>
                <w:szCs w:val="16"/>
                <w:lang w:eastAsia="ca-ES"/>
              </w:rPr>
            </w:pPr>
            <w:r w:rsidRPr="00664FF0">
              <w:rPr>
                <w:rFonts w:eastAsia="Times New Roman" w:cs="Arial"/>
                <w:color w:val="000000"/>
                <w:sz w:val="16"/>
                <w:szCs w:val="16"/>
                <w:lang w:eastAsia="ca-ES"/>
              </w:rPr>
              <w:t> </w:t>
            </w:r>
          </w:p>
        </w:tc>
        <w:tc>
          <w:tcPr>
            <w:tcW w:w="543" w:type="dxa"/>
            <w:tcBorders>
              <w:top w:val="single" w:sz="4" w:space="0" w:color="auto"/>
              <w:bottom w:val="single" w:sz="4" w:space="0" w:color="auto"/>
            </w:tcBorders>
            <w:shd w:val="clear" w:color="auto" w:fill="auto"/>
            <w:vAlign w:val="center"/>
            <w:hideMark/>
          </w:tcPr>
          <w:p w:rsidR="006A4109" w:rsidRPr="00664FF0" w:rsidRDefault="006A4109" w:rsidP="00E930B2">
            <w:pPr>
              <w:rPr>
                <w:rFonts w:eastAsia="Times New Roman" w:cs="Arial"/>
                <w:color w:val="000000"/>
                <w:sz w:val="16"/>
                <w:szCs w:val="16"/>
                <w:lang w:eastAsia="ca-ES"/>
              </w:rPr>
            </w:pPr>
            <w:r w:rsidRPr="00664FF0">
              <w:rPr>
                <w:rFonts w:eastAsia="Times New Roman" w:cs="Arial"/>
                <w:color w:val="000000"/>
                <w:sz w:val="16"/>
                <w:szCs w:val="16"/>
                <w:lang w:eastAsia="ca-ES"/>
              </w:rPr>
              <w:t>√</w:t>
            </w:r>
          </w:p>
        </w:tc>
        <w:tc>
          <w:tcPr>
            <w:tcW w:w="543" w:type="dxa"/>
            <w:tcBorders>
              <w:top w:val="single" w:sz="4" w:space="0" w:color="auto"/>
              <w:bottom w:val="single" w:sz="4" w:space="0" w:color="auto"/>
            </w:tcBorders>
            <w:shd w:val="clear" w:color="auto" w:fill="auto"/>
            <w:vAlign w:val="center"/>
            <w:hideMark/>
          </w:tcPr>
          <w:p w:rsidR="006A4109" w:rsidRPr="00664FF0" w:rsidRDefault="006A4109" w:rsidP="00E930B2">
            <w:pPr>
              <w:rPr>
                <w:rFonts w:eastAsia="Times New Roman" w:cs="Arial"/>
                <w:color w:val="000000"/>
                <w:sz w:val="16"/>
                <w:szCs w:val="16"/>
                <w:lang w:eastAsia="ca-ES"/>
              </w:rPr>
            </w:pPr>
            <w:r w:rsidRPr="00664FF0">
              <w:rPr>
                <w:rFonts w:eastAsia="Times New Roman" w:cs="Arial"/>
                <w:color w:val="000000"/>
                <w:sz w:val="16"/>
                <w:szCs w:val="16"/>
                <w:lang w:eastAsia="ca-ES"/>
              </w:rPr>
              <w:t> </w:t>
            </w:r>
          </w:p>
        </w:tc>
        <w:tc>
          <w:tcPr>
            <w:tcW w:w="543" w:type="dxa"/>
            <w:tcBorders>
              <w:top w:val="single" w:sz="4" w:space="0" w:color="auto"/>
              <w:bottom w:val="single" w:sz="4" w:space="0" w:color="auto"/>
            </w:tcBorders>
            <w:shd w:val="clear" w:color="auto" w:fill="auto"/>
            <w:vAlign w:val="center"/>
            <w:hideMark/>
          </w:tcPr>
          <w:p w:rsidR="006A4109" w:rsidRPr="00664FF0" w:rsidRDefault="006A4109" w:rsidP="00E930B2">
            <w:pPr>
              <w:rPr>
                <w:rFonts w:eastAsia="Times New Roman" w:cs="Arial"/>
                <w:color w:val="000000"/>
                <w:sz w:val="16"/>
                <w:szCs w:val="16"/>
                <w:lang w:eastAsia="ca-ES"/>
              </w:rPr>
            </w:pPr>
            <w:r w:rsidRPr="00664FF0">
              <w:rPr>
                <w:rFonts w:eastAsia="Times New Roman" w:cs="Arial"/>
                <w:color w:val="000000"/>
                <w:sz w:val="16"/>
                <w:szCs w:val="16"/>
                <w:lang w:eastAsia="ca-ES"/>
              </w:rPr>
              <w:t> </w:t>
            </w:r>
          </w:p>
        </w:tc>
        <w:tc>
          <w:tcPr>
            <w:tcW w:w="543" w:type="dxa"/>
            <w:tcBorders>
              <w:top w:val="single" w:sz="4" w:space="0" w:color="auto"/>
              <w:bottom w:val="single" w:sz="4" w:space="0" w:color="auto"/>
            </w:tcBorders>
            <w:shd w:val="clear" w:color="auto" w:fill="auto"/>
            <w:vAlign w:val="center"/>
            <w:hideMark/>
          </w:tcPr>
          <w:p w:rsidR="006A4109" w:rsidRPr="00664FF0" w:rsidRDefault="006A4109" w:rsidP="00E930B2">
            <w:pPr>
              <w:rPr>
                <w:rFonts w:eastAsia="Times New Roman" w:cs="Arial"/>
                <w:color w:val="000000"/>
                <w:sz w:val="16"/>
                <w:szCs w:val="16"/>
                <w:lang w:eastAsia="ca-ES"/>
              </w:rPr>
            </w:pPr>
            <w:r w:rsidRPr="00664FF0">
              <w:rPr>
                <w:rFonts w:eastAsia="Times New Roman" w:cs="Arial"/>
                <w:color w:val="000000"/>
                <w:sz w:val="16"/>
                <w:szCs w:val="16"/>
                <w:lang w:eastAsia="ca-ES"/>
              </w:rPr>
              <w:t> </w:t>
            </w:r>
          </w:p>
        </w:tc>
        <w:tc>
          <w:tcPr>
            <w:tcW w:w="542" w:type="dxa"/>
            <w:tcBorders>
              <w:top w:val="single" w:sz="4" w:space="0" w:color="auto"/>
              <w:bottom w:val="single" w:sz="4" w:space="0" w:color="auto"/>
            </w:tcBorders>
            <w:shd w:val="clear" w:color="auto" w:fill="auto"/>
            <w:vAlign w:val="center"/>
            <w:hideMark/>
          </w:tcPr>
          <w:p w:rsidR="006A4109" w:rsidRPr="00664FF0" w:rsidRDefault="006A4109" w:rsidP="00E930B2">
            <w:pPr>
              <w:rPr>
                <w:rFonts w:eastAsia="Times New Roman" w:cs="Arial"/>
                <w:color w:val="000000"/>
                <w:sz w:val="16"/>
                <w:szCs w:val="16"/>
                <w:lang w:eastAsia="ca-ES"/>
              </w:rPr>
            </w:pPr>
            <w:r w:rsidRPr="00664FF0">
              <w:rPr>
                <w:rFonts w:eastAsia="Times New Roman" w:cs="Arial"/>
                <w:color w:val="000000"/>
                <w:sz w:val="16"/>
                <w:szCs w:val="16"/>
                <w:lang w:eastAsia="ca-ES"/>
              </w:rPr>
              <w:t> </w:t>
            </w:r>
          </w:p>
        </w:tc>
        <w:tc>
          <w:tcPr>
            <w:tcW w:w="543" w:type="dxa"/>
            <w:tcBorders>
              <w:top w:val="single" w:sz="4" w:space="0" w:color="auto"/>
              <w:bottom w:val="single" w:sz="4" w:space="0" w:color="auto"/>
            </w:tcBorders>
            <w:shd w:val="clear" w:color="auto" w:fill="auto"/>
            <w:vAlign w:val="center"/>
            <w:hideMark/>
          </w:tcPr>
          <w:p w:rsidR="006A4109" w:rsidRPr="00664FF0" w:rsidRDefault="006A4109" w:rsidP="00E930B2">
            <w:pPr>
              <w:rPr>
                <w:rFonts w:eastAsia="Times New Roman" w:cs="Arial"/>
                <w:color w:val="000000"/>
                <w:sz w:val="16"/>
                <w:szCs w:val="16"/>
                <w:lang w:eastAsia="ca-ES"/>
              </w:rPr>
            </w:pPr>
            <w:r w:rsidRPr="00664FF0">
              <w:rPr>
                <w:rFonts w:eastAsia="Times New Roman" w:cs="Arial"/>
                <w:color w:val="000000"/>
                <w:sz w:val="16"/>
                <w:szCs w:val="16"/>
                <w:lang w:eastAsia="ca-ES"/>
              </w:rPr>
              <w:t> </w:t>
            </w:r>
          </w:p>
        </w:tc>
        <w:tc>
          <w:tcPr>
            <w:tcW w:w="543" w:type="dxa"/>
            <w:tcBorders>
              <w:top w:val="single" w:sz="4" w:space="0" w:color="auto"/>
              <w:bottom w:val="single" w:sz="4" w:space="0" w:color="auto"/>
            </w:tcBorders>
            <w:shd w:val="clear" w:color="auto" w:fill="auto"/>
            <w:vAlign w:val="center"/>
            <w:hideMark/>
          </w:tcPr>
          <w:p w:rsidR="006A4109" w:rsidRPr="00664FF0" w:rsidRDefault="006A4109" w:rsidP="00E930B2">
            <w:pPr>
              <w:rPr>
                <w:rFonts w:eastAsia="Times New Roman" w:cs="Arial"/>
                <w:color w:val="000000"/>
                <w:sz w:val="16"/>
                <w:szCs w:val="16"/>
                <w:lang w:eastAsia="ca-ES"/>
              </w:rPr>
            </w:pPr>
            <w:r w:rsidRPr="00664FF0">
              <w:rPr>
                <w:rFonts w:eastAsia="Times New Roman" w:cs="Arial"/>
                <w:color w:val="000000"/>
                <w:sz w:val="16"/>
                <w:szCs w:val="16"/>
                <w:lang w:eastAsia="ca-ES"/>
              </w:rPr>
              <w:t> </w:t>
            </w:r>
          </w:p>
        </w:tc>
        <w:tc>
          <w:tcPr>
            <w:tcW w:w="543" w:type="dxa"/>
            <w:tcBorders>
              <w:top w:val="single" w:sz="4" w:space="0" w:color="auto"/>
              <w:bottom w:val="single" w:sz="4" w:space="0" w:color="auto"/>
            </w:tcBorders>
            <w:shd w:val="clear" w:color="auto" w:fill="auto"/>
            <w:vAlign w:val="center"/>
            <w:hideMark/>
          </w:tcPr>
          <w:p w:rsidR="006A4109" w:rsidRPr="00664FF0" w:rsidRDefault="006A4109" w:rsidP="00E930B2">
            <w:pPr>
              <w:rPr>
                <w:rFonts w:eastAsia="Times New Roman" w:cs="Arial"/>
                <w:color w:val="000000"/>
                <w:sz w:val="16"/>
                <w:szCs w:val="16"/>
                <w:lang w:eastAsia="ca-ES"/>
              </w:rPr>
            </w:pPr>
            <w:r w:rsidRPr="00664FF0">
              <w:rPr>
                <w:rFonts w:eastAsia="Times New Roman" w:cs="Arial"/>
                <w:color w:val="000000"/>
                <w:sz w:val="16"/>
                <w:szCs w:val="16"/>
                <w:lang w:eastAsia="ca-ES"/>
              </w:rPr>
              <w:t> </w:t>
            </w:r>
          </w:p>
        </w:tc>
        <w:tc>
          <w:tcPr>
            <w:tcW w:w="543" w:type="dxa"/>
            <w:tcBorders>
              <w:top w:val="single" w:sz="4" w:space="0" w:color="auto"/>
              <w:bottom w:val="single" w:sz="4" w:space="0" w:color="auto"/>
            </w:tcBorders>
            <w:shd w:val="clear" w:color="auto" w:fill="auto"/>
            <w:vAlign w:val="center"/>
            <w:hideMark/>
          </w:tcPr>
          <w:p w:rsidR="006A4109" w:rsidRPr="00664FF0" w:rsidRDefault="006A4109" w:rsidP="00E930B2">
            <w:pPr>
              <w:rPr>
                <w:rFonts w:eastAsia="Times New Roman" w:cs="Arial"/>
                <w:color w:val="000000"/>
                <w:sz w:val="16"/>
                <w:szCs w:val="16"/>
                <w:lang w:eastAsia="ca-ES"/>
              </w:rPr>
            </w:pPr>
            <w:r w:rsidRPr="00664FF0">
              <w:rPr>
                <w:rFonts w:eastAsia="Times New Roman" w:cs="Arial"/>
                <w:color w:val="000000"/>
                <w:sz w:val="16"/>
                <w:szCs w:val="16"/>
                <w:lang w:eastAsia="ca-ES"/>
              </w:rPr>
              <w:t> </w:t>
            </w:r>
          </w:p>
        </w:tc>
        <w:tc>
          <w:tcPr>
            <w:tcW w:w="543" w:type="dxa"/>
            <w:tcBorders>
              <w:top w:val="single" w:sz="4" w:space="0" w:color="auto"/>
              <w:bottom w:val="single" w:sz="4" w:space="0" w:color="auto"/>
            </w:tcBorders>
            <w:shd w:val="clear" w:color="auto" w:fill="auto"/>
            <w:vAlign w:val="center"/>
            <w:hideMark/>
          </w:tcPr>
          <w:p w:rsidR="006A4109" w:rsidRPr="00664FF0" w:rsidRDefault="006A4109" w:rsidP="00E930B2">
            <w:pPr>
              <w:rPr>
                <w:rFonts w:eastAsia="Times New Roman" w:cs="Arial"/>
                <w:color w:val="000000"/>
                <w:sz w:val="16"/>
                <w:szCs w:val="16"/>
                <w:lang w:eastAsia="ca-ES"/>
              </w:rPr>
            </w:pPr>
            <w:r w:rsidRPr="00664FF0">
              <w:rPr>
                <w:rFonts w:eastAsia="Times New Roman" w:cs="Arial"/>
                <w:color w:val="000000"/>
                <w:sz w:val="16"/>
                <w:szCs w:val="16"/>
                <w:lang w:eastAsia="ca-ES"/>
              </w:rPr>
              <w:t> </w:t>
            </w:r>
          </w:p>
        </w:tc>
        <w:tc>
          <w:tcPr>
            <w:tcW w:w="543" w:type="dxa"/>
            <w:tcBorders>
              <w:top w:val="single" w:sz="4" w:space="0" w:color="auto"/>
              <w:bottom w:val="single" w:sz="4" w:space="0" w:color="auto"/>
            </w:tcBorders>
            <w:shd w:val="clear" w:color="auto" w:fill="auto"/>
            <w:vAlign w:val="center"/>
            <w:hideMark/>
          </w:tcPr>
          <w:p w:rsidR="006A4109" w:rsidRPr="00664FF0" w:rsidRDefault="006A4109" w:rsidP="00E930B2">
            <w:pPr>
              <w:rPr>
                <w:rFonts w:eastAsia="Times New Roman" w:cs="Arial"/>
                <w:color w:val="000000"/>
                <w:sz w:val="16"/>
                <w:szCs w:val="16"/>
                <w:lang w:eastAsia="ca-ES"/>
              </w:rPr>
            </w:pPr>
            <w:r w:rsidRPr="00664FF0">
              <w:rPr>
                <w:rFonts w:eastAsia="Times New Roman" w:cs="Arial"/>
                <w:color w:val="000000"/>
                <w:sz w:val="16"/>
                <w:szCs w:val="16"/>
                <w:lang w:eastAsia="ca-ES"/>
              </w:rPr>
              <w:t> </w:t>
            </w:r>
          </w:p>
        </w:tc>
      </w:tr>
      <w:tr w:rsidR="006A4109" w:rsidRPr="00664FF0" w:rsidTr="00E930B2">
        <w:trPr>
          <w:trHeight w:val="20"/>
        </w:trPr>
        <w:tc>
          <w:tcPr>
            <w:tcW w:w="1433" w:type="dxa"/>
            <w:tcBorders>
              <w:top w:val="single" w:sz="4" w:space="0" w:color="auto"/>
              <w:bottom w:val="single" w:sz="4" w:space="0" w:color="auto"/>
            </w:tcBorders>
            <w:shd w:val="clear" w:color="auto" w:fill="auto"/>
            <w:vAlign w:val="center"/>
            <w:hideMark/>
          </w:tcPr>
          <w:p w:rsidR="006A4109" w:rsidRPr="00664FF0" w:rsidRDefault="006A4109" w:rsidP="00E930B2">
            <w:pPr>
              <w:rPr>
                <w:rFonts w:eastAsia="Times New Roman" w:cs="Arial"/>
                <w:color w:val="000000"/>
                <w:sz w:val="16"/>
                <w:szCs w:val="16"/>
                <w:lang w:eastAsia="ca-ES"/>
              </w:rPr>
            </w:pPr>
            <w:r w:rsidRPr="00664FF0">
              <w:rPr>
                <w:rFonts w:eastAsia="Times New Roman" w:cs="Arial"/>
                <w:color w:val="000000"/>
                <w:sz w:val="16"/>
                <w:szCs w:val="16"/>
                <w:lang w:eastAsia="ca-ES"/>
              </w:rPr>
              <w:t>Cuina</w:t>
            </w:r>
          </w:p>
        </w:tc>
        <w:tc>
          <w:tcPr>
            <w:tcW w:w="542" w:type="dxa"/>
            <w:tcBorders>
              <w:top w:val="single" w:sz="4" w:space="0" w:color="auto"/>
              <w:bottom w:val="single" w:sz="4" w:space="0" w:color="auto"/>
            </w:tcBorders>
            <w:shd w:val="clear" w:color="auto" w:fill="auto"/>
            <w:vAlign w:val="center"/>
            <w:hideMark/>
          </w:tcPr>
          <w:p w:rsidR="006A4109" w:rsidRPr="00664FF0" w:rsidRDefault="006A4109" w:rsidP="00E930B2">
            <w:pPr>
              <w:rPr>
                <w:rFonts w:eastAsia="Times New Roman" w:cs="Arial"/>
                <w:color w:val="000000"/>
                <w:sz w:val="16"/>
                <w:szCs w:val="16"/>
                <w:lang w:eastAsia="ca-ES"/>
              </w:rPr>
            </w:pPr>
            <w:r w:rsidRPr="00664FF0">
              <w:rPr>
                <w:rFonts w:eastAsia="Times New Roman" w:cs="Arial"/>
                <w:color w:val="000000"/>
                <w:sz w:val="16"/>
                <w:szCs w:val="16"/>
                <w:lang w:eastAsia="ca-ES"/>
              </w:rPr>
              <w:t> </w:t>
            </w:r>
          </w:p>
        </w:tc>
        <w:tc>
          <w:tcPr>
            <w:tcW w:w="543" w:type="dxa"/>
            <w:tcBorders>
              <w:top w:val="single" w:sz="4" w:space="0" w:color="auto"/>
              <w:bottom w:val="single" w:sz="4" w:space="0" w:color="auto"/>
            </w:tcBorders>
            <w:shd w:val="clear" w:color="auto" w:fill="auto"/>
            <w:vAlign w:val="center"/>
            <w:hideMark/>
          </w:tcPr>
          <w:p w:rsidR="006A4109" w:rsidRPr="00664FF0" w:rsidRDefault="006A4109" w:rsidP="00E930B2">
            <w:pPr>
              <w:rPr>
                <w:rFonts w:eastAsia="Times New Roman" w:cs="Arial"/>
                <w:color w:val="000000"/>
                <w:sz w:val="16"/>
                <w:szCs w:val="16"/>
                <w:lang w:eastAsia="ca-ES"/>
              </w:rPr>
            </w:pPr>
            <w:r w:rsidRPr="00664FF0">
              <w:rPr>
                <w:rFonts w:eastAsia="Times New Roman" w:cs="Arial"/>
                <w:color w:val="000000"/>
                <w:sz w:val="16"/>
                <w:szCs w:val="16"/>
                <w:lang w:eastAsia="ca-ES"/>
              </w:rPr>
              <w:t>√</w:t>
            </w:r>
          </w:p>
        </w:tc>
        <w:tc>
          <w:tcPr>
            <w:tcW w:w="543" w:type="dxa"/>
            <w:tcBorders>
              <w:top w:val="single" w:sz="4" w:space="0" w:color="auto"/>
              <w:bottom w:val="single" w:sz="4" w:space="0" w:color="auto"/>
            </w:tcBorders>
            <w:shd w:val="clear" w:color="auto" w:fill="auto"/>
            <w:vAlign w:val="center"/>
            <w:hideMark/>
          </w:tcPr>
          <w:p w:rsidR="006A4109" w:rsidRPr="00664FF0" w:rsidRDefault="006A4109" w:rsidP="00E930B2">
            <w:pPr>
              <w:rPr>
                <w:rFonts w:eastAsia="Times New Roman" w:cs="Arial"/>
                <w:color w:val="000000"/>
                <w:sz w:val="16"/>
                <w:szCs w:val="16"/>
                <w:lang w:eastAsia="ca-ES"/>
              </w:rPr>
            </w:pPr>
            <w:r w:rsidRPr="00664FF0">
              <w:rPr>
                <w:rFonts w:eastAsia="Times New Roman" w:cs="Arial"/>
                <w:color w:val="000000"/>
                <w:sz w:val="16"/>
                <w:szCs w:val="16"/>
                <w:lang w:eastAsia="ca-ES"/>
              </w:rPr>
              <w:t>√</w:t>
            </w:r>
          </w:p>
        </w:tc>
        <w:tc>
          <w:tcPr>
            <w:tcW w:w="543" w:type="dxa"/>
            <w:tcBorders>
              <w:top w:val="single" w:sz="4" w:space="0" w:color="auto"/>
              <w:bottom w:val="single" w:sz="4" w:space="0" w:color="auto"/>
            </w:tcBorders>
            <w:shd w:val="clear" w:color="auto" w:fill="auto"/>
            <w:vAlign w:val="center"/>
            <w:hideMark/>
          </w:tcPr>
          <w:p w:rsidR="006A4109" w:rsidRPr="00664FF0" w:rsidRDefault="006A4109" w:rsidP="00E930B2">
            <w:pPr>
              <w:rPr>
                <w:rFonts w:eastAsia="Times New Roman" w:cs="Arial"/>
                <w:color w:val="000000"/>
                <w:sz w:val="16"/>
                <w:szCs w:val="16"/>
                <w:lang w:eastAsia="ca-ES"/>
              </w:rPr>
            </w:pPr>
            <w:r w:rsidRPr="00664FF0">
              <w:rPr>
                <w:rFonts w:eastAsia="Times New Roman" w:cs="Arial"/>
                <w:color w:val="000000"/>
                <w:sz w:val="16"/>
                <w:szCs w:val="16"/>
                <w:lang w:eastAsia="ca-ES"/>
              </w:rPr>
              <w:t>√</w:t>
            </w:r>
          </w:p>
        </w:tc>
        <w:tc>
          <w:tcPr>
            <w:tcW w:w="543" w:type="dxa"/>
            <w:tcBorders>
              <w:top w:val="single" w:sz="4" w:space="0" w:color="auto"/>
              <w:bottom w:val="single" w:sz="4" w:space="0" w:color="auto"/>
            </w:tcBorders>
            <w:shd w:val="clear" w:color="auto" w:fill="auto"/>
            <w:vAlign w:val="center"/>
            <w:hideMark/>
          </w:tcPr>
          <w:p w:rsidR="006A4109" w:rsidRPr="00664FF0" w:rsidRDefault="006A4109" w:rsidP="00E930B2">
            <w:pPr>
              <w:rPr>
                <w:rFonts w:eastAsia="Times New Roman" w:cs="Arial"/>
                <w:color w:val="000000"/>
                <w:sz w:val="16"/>
                <w:szCs w:val="16"/>
                <w:lang w:eastAsia="ca-ES"/>
              </w:rPr>
            </w:pPr>
            <w:r w:rsidRPr="00664FF0">
              <w:rPr>
                <w:rFonts w:eastAsia="Times New Roman" w:cs="Arial"/>
                <w:color w:val="000000"/>
                <w:sz w:val="16"/>
                <w:szCs w:val="16"/>
                <w:lang w:eastAsia="ca-ES"/>
              </w:rPr>
              <w:t> </w:t>
            </w:r>
          </w:p>
        </w:tc>
        <w:tc>
          <w:tcPr>
            <w:tcW w:w="543" w:type="dxa"/>
            <w:tcBorders>
              <w:top w:val="single" w:sz="4" w:space="0" w:color="auto"/>
              <w:bottom w:val="single" w:sz="4" w:space="0" w:color="auto"/>
            </w:tcBorders>
            <w:shd w:val="clear" w:color="auto" w:fill="auto"/>
            <w:vAlign w:val="center"/>
            <w:hideMark/>
          </w:tcPr>
          <w:p w:rsidR="006A4109" w:rsidRPr="00664FF0" w:rsidRDefault="006A4109" w:rsidP="00E930B2">
            <w:pPr>
              <w:rPr>
                <w:rFonts w:eastAsia="Times New Roman" w:cs="Arial"/>
                <w:color w:val="000000"/>
                <w:sz w:val="16"/>
                <w:szCs w:val="16"/>
                <w:lang w:eastAsia="ca-ES"/>
              </w:rPr>
            </w:pPr>
            <w:r w:rsidRPr="00664FF0">
              <w:rPr>
                <w:rFonts w:eastAsia="Times New Roman" w:cs="Arial"/>
                <w:color w:val="000000"/>
                <w:sz w:val="16"/>
                <w:szCs w:val="16"/>
                <w:lang w:eastAsia="ca-ES"/>
              </w:rPr>
              <w:t>√</w:t>
            </w:r>
          </w:p>
        </w:tc>
        <w:tc>
          <w:tcPr>
            <w:tcW w:w="543" w:type="dxa"/>
            <w:tcBorders>
              <w:top w:val="single" w:sz="4" w:space="0" w:color="auto"/>
              <w:bottom w:val="single" w:sz="4" w:space="0" w:color="auto"/>
            </w:tcBorders>
            <w:shd w:val="clear" w:color="auto" w:fill="auto"/>
            <w:vAlign w:val="center"/>
            <w:hideMark/>
          </w:tcPr>
          <w:p w:rsidR="006A4109" w:rsidRPr="00664FF0" w:rsidRDefault="006A4109" w:rsidP="00E930B2">
            <w:pPr>
              <w:rPr>
                <w:rFonts w:eastAsia="Times New Roman" w:cs="Arial"/>
                <w:color w:val="000000"/>
                <w:sz w:val="16"/>
                <w:szCs w:val="16"/>
                <w:lang w:eastAsia="ca-ES"/>
              </w:rPr>
            </w:pPr>
            <w:r w:rsidRPr="00664FF0">
              <w:rPr>
                <w:rFonts w:eastAsia="Times New Roman" w:cs="Arial"/>
                <w:color w:val="000000"/>
                <w:sz w:val="16"/>
                <w:szCs w:val="16"/>
                <w:lang w:eastAsia="ca-ES"/>
              </w:rPr>
              <w:t>√</w:t>
            </w:r>
          </w:p>
        </w:tc>
        <w:tc>
          <w:tcPr>
            <w:tcW w:w="542" w:type="dxa"/>
            <w:tcBorders>
              <w:top w:val="single" w:sz="4" w:space="0" w:color="auto"/>
              <w:bottom w:val="single" w:sz="4" w:space="0" w:color="auto"/>
            </w:tcBorders>
            <w:shd w:val="clear" w:color="auto" w:fill="auto"/>
            <w:vAlign w:val="center"/>
            <w:hideMark/>
          </w:tcPr>
          <w:p w:rsidR="006A4109" w:rsidRPr="00664FF0" w:rsidRDefault="006A4109" w:rsidP="00E930B2">
            <w:pPr>
              <w:rPr>
                <w:rFonts w:eastAsia="Times New Roman" w:cs="Arial"/>
                <w:color w:val="000000"/>
                <w:sz w:val="16"/>
                <w:szCs w:val="16"/>
                <w:lang w:eastAsia="ca-ES"/>
              </w:rPr>
            </w:pPr>
            <w:r w:rsidRPr="00664FF0">
              <w:rPr>
                <w:rFonts w:eastAsia="Times New Roman" w:cs="Arial"/>
                <w:color w:val="000000"/>
                <w:sz w:val="16"/>
                <w:szCs w:val="16"/>
                <w:lang w:eastAsia="ca-ES"/>
              </w:rPr>
              <w:t> </w:t>
            </w:r>
          </w:p>
        </w:tc>
        <w:tc>
          <w:tcPr>
            <w:tcW w:w="543" w:type="dxa"/>
            <w:tcBorders>
              <w:top w:val="single" w:sz="4" w:space="0" w:color="auto"/>
              <w:bottom w:val="single" w:sz="4" w:space="0" w:color="auto"/>
            </w:tcBorders>
            <w:shd w:val="clear" w:color="auto" w:fill="auto"/>
            <w:vAlign w:val="center"/>
            <w:hideMark/>
          </w:tcPr>
          <w:p w:rsidR="006A4109" w:rsidRPr="00664FF0" w:rsidRDefault="006A4109" w:rsidP="00E930B2">
            <w:pPr>
              <w:rPr>
                <w:rFonts w:eastAsia="Times New Roman" w:cs="Arial"/>
                <w:color w:val="000000"/>
                <w:sz w:val="16"/>
                <w:szCs w:val="16"/>
                <w:lang w:eastAsia="ca-ES"/>
              </w:rPr>
            </w:pPr>
            <w:r w:rsidRPr="00664FF0">
              <w:rPr>
                <w:rFonts w:eastAsia="Times New Roman" w:cs="Arial"/>
                <w:color w:val="000000"/>
                <w:sz w:val="16"/>
                <w:szCs w:val="16"/>
                <w:lang w:eastAsia="ca-ES"/>
              </w:rPr>
              <w:t>√</w:t>
            </w:r>
          </w:p>
        </w:tc>
        <w:tc>
          <w:tcPr>
            <w:tcW w:w="543" w:type="dxa"/>
            <w:tcBorders>
              <w:top w:val="single" w:sz="4" w:space="0" w:color="auto"/>
              <w:bottom w:val="single" w:sz="4" w:space="0" w:color="auto"/>
            </w:tcBorders>
            <w:shd w:val="clear" w:color="auto" w:fill="auto"/>
            <w:vAlign w:val="center"/>
            <w:hideMark/>
          </w:tcPr>
          <w:p w:rsidR="006A4109" w:rsidRPr="00664FF0" w:rsidRDefault="006A4109" w:rsidP="00E930B2">
            <w:pPr>
              <w:rPr>
                <w:rFonts w:eastAsia="Times New Roman" w:cs="Arial"/>
                <w:color w:val="000000"/>
                <w:sz w:val="16"/>
                <w:szCs w:val="16"/>
                <w:lang w:eastAsia="ca-ES"/>
              </w:rPr>
            </w:pPr>
            <w:r w:rsidRPr="00664FF0">
              <w:rPr>
                <w:rFonts w:eastAsia="Times New Roman" w:cs="Arial"/>
                <w:color w:val="000000"/>
                <w:sz w:val="16"/>
                <w:szCs w:val="16"/>
                <w:lang w:eastAsia="ca-ES"/>
              </w:rPr>
              <w:t>√</w:t>
            </w:r>
          </w:p>
        </w:tc>
        <w:tc>
          <w:tcPr>
            <w:tcW w:w="543" w:type="dxa"/>
            <w:tcBorders>
              <w:top w:val="single" w:sz="4" w:space="0" w:color="auto"/>
              <w:bottom w:val="single" w:sz="4" w:space="0" w:color="auto"/>
            </w:tcBorders>
            <w:shd w:val="clear" w:color="auto" w:fill="auto"/>
            <w:vAlign w:val="center"/>
            <w:hideMark/>
          </w:tcPr>
          <w:p w:rsidR="006A4109" w:rsidRPr="00664FF0" w:rsidRDefault="006A4109" w:rsidP="00E930B2">
            <w:pPr>
              <w:rPr>
                <w:rFonts w:eastAsia="Times New Roman" w:cs="Arial"/>
                <w:color w:val="000000"/>
                <w:sz w:val="16"/>
                <w:szCs w:val="16"/>
                <w:lang w:eastAsia="ca-ES"/>
              </w:rPr>
            </w:pPr>
            <w:r w:rsidRPr="00664FF0">
              <w:rPr>
                <w:rFonts w:eastAsia="Times New Roman" w:cs="Arial"/>
                <w:color w:val="000000"/>
                <w:sz w:val="16"/>
                <w:szCs w:val="16"/>
                <w:lang w:eastAsia="ca-ES"/>
              </w:rPr>
              <w:t>√</w:t>
            </w:r>
          </w:p>
        </w:tc>
        <w:tc>
          <w:tcPr>
            <w:tcW w:w="543" w:type="dxa"/>
            <w:tcBorders>
              <w:top w:val="single" w:sz="4" w:space="0" w:color="auto"/>
              <w:bottom w:val="single" w:sz="4" w:space="0" w:color="auto"/>
            </w:tcBorders>
            <w:shd w:val="clear" w:color="auto" w:fill="auto"/>
            <w:vAlign w:val="center"/>
            <w:hideMark/>
          </w:tcPr>
          <w:p w:rsidR="006A4109" w:rsidRPr="00664FF0" w:rsidRDefault="006A4109" w:rsidP="00E930B2">
            <w:pPr>
              <w:rPr>
                <w:rFonts w:eastAsia="Times New Roman" w:cs="Arial"/>
                <w:color w:val="000000"/>
                <w:sz w:val="16"/>
                <w:szCs w:val="16"/>
                <w:lang w:eastAsia="ca-ES"/>
              </w:rPr>
            </w:pPr>
            <w:r w:rsidRPr="00664FF0">
              <w:rPr>
                <w:rFonts w:eastAsia="Times New Roman" w:cs="Arial"/>
                <w:color w:val="000000"/>
                <w:sz w:val="16"/>
                <w:szCs w:val="16"/>
                <w:lang w:eastAsia="ca-ES"/>
              </w:rPr>
              <w:t> </w:t>
            </w:r>
          </w:p>
        </w:tc>
        <w:tc>
          <w:tcPr>
            <w:tcW w:w="543" w:type="dxa"/>
            <w:tcBorders>
              <w:top w:val="single" w:sz="4" w:space="0" w:color="auto"/>
              <w:bottom w:val="single" w:sz="4" w:space="0" w:color="auto"/>
            </w:tcBorders>
            <w:shd w:val="clear" w:color="auto" w:fill="auto"/>
            <w:vAlign w:val="center"/>
            <w:hideMark/>
          </w:tcPr>
          <w:p w:rsidR="006A4109" w:rsidRPr="00664FF0" w:rsidRDefault="006A4109" w:rsidP="00E930B2">
            <w:pPr>
              <w:rPr>
                <w:rFonts w:eastAsia="Times New Roman" w:cs="Arial"/>
                <w:color w:val="000000"/>
                <w:sz w:val="16"/>
                <w:szCs w:val="16"/>
                <w:lang w:eastAsia="ca-ES"/>
              </w:rPr>
            </w:pPr>
            <w:r w:rsidRPr="00664FF0">
              <w:rPr>
                <w:rFonts w:eastAsia="Times New Roman" w:cs="Arial"/>
                <w:color w:val="000000"/>
                <w:sz w:val="16"/>
                <w:szCs w:val="16"/>
                <w:lang w:eastAsia="ca-ES"/>
              </w:rPr>
              <w:t> </w:t>
            </w:r>
          </w:p>
        </w:tc>
        <w:tc>
          <w:tcPr>
            <w:tcW w:w="543" w:type="dxa"/>
            <w:tcBorders>
              <w:top w:val="single" w:sz="4" w:space="0" w:color="auto"/>
              <w:bottom w:val="single" w:sz="4" w:space="0" w:color="auto"/>
            </w:tcBorders>
            <w:shd w:val="clear" w:color="auto" w:fill="auto"/>
            <w:vAlign w:val="center"/>
            <w:hideMark/>
          </w:tcPr>
          <w:p w:rsidR="006A4109" w:rsidRPr="00664FF0" w:rsidRDefault="006A4109" w:rsidP="00E930B2">
            <w:pPr>
              <w:rPr>
                <w:rFonts w:eastAsia="Times New Roman" w:cs="Arial"/>
                <w:color w:val="000000"/>
                <w:sz w:val="16"/>
                <w:szCs w:val="16"/>
                <w:lang w:eastAsia="ca-ES"/>
              </w:rPr>
            </w:pPr>
            <w:r w:rsidRPr="00664FF0">
              <w:rPr>
                <w:rFonts w:eastAsia="Times New Roman" w:cs="Arial"/>
                <w:color w:val="000000"/>
                <w:sz w:val="16"/>
                <w:szCs w:val="16"/>
                <w:lang w:eastAsia="ca-ES"/>
              </w:rPr>
              <w:t> </w:t>
            </w:r>
          </w:p>
        </w:tc>
      </w:tr>
      <w:tr w:rsidR="006A4109" w:rsidRPr="00664FF0" w:rsidTr="00E930B2">
        <w:trPr>
          <w:trHeight w:val="20"/>
        </w:trPr>
        <w:tc>
          <w:tcPr>
            <w:tcW w:w="1433" w:type="dxa"/>
            <w:tcBorders>
              <w:top w:val="single" w:sz="4" w:space="0" w:color="auto"/>
              <w:bottom w:val="single" w:sz="4" w:space="0" w:color="auto"/>
            </w:tcBorders>
            <w:shd w:val="clear" w:color="auto" w:fill="auto"/>
            <w:vAlign w:val="center"/>
            <w:hideMark/>
          </w:tcPr>
          <w:p w:rsidR="006A4109" w:rsidRPr="00664FF0" w:rsidRDefault="006A4109" w:rsidP="00E930B2">
            <w:pPr>
              <w:rPr>
                <w:rFonts w:eastAsia="Times New Roman" w:cs="Arial"/>
                <w:color w:val="000000"/>
                <w:sz w:val="16"/>
                <w:szCs w:val="16"/>
                <w:lang w:eastAsia="ca-ES"/>
              </w:rPr>
            </w:pPr>
            <w:r w:rsidRPr="00664FF0">
              <w:rPr>
                <w:rFonts w:eastAsia="Times New Roman" w:cs="Arial"/>
                <w:color w:val="000000"/>
                <w:sz w:val="16"/>
                <w:szCs w:val="16"/>
                <w:lang w:eastAsia="ca-ES"/>
              </w:rPr>
              <w:t>Bugaderia</w:t>
            </w:r>
          </w:p>
        </w:tc>
        <w:tc>
          <w:tcPr>
            <w:tcW w:w="542" w:type="dxa"/>
            <w:tcBorders>
              <w:top w:val="single" w:sz="4" w:space="0" w:color="auto"/>
              <w:bottom w:val="single" w:sz="4" w:space="0" w:color="auto"/>
            </w:tcBorders>
            <w:shd w:val="clear" w:color="auto" w:fill="auto"/>
            <w:vAlign w:val="center"/>
            <w:hideMark/>
          </w:tcPr>
          <w:p w:rsidR="006A4109" w:rsidRPr="00664FF0" w:rsidRDefault="006A4109" w:rsidP="00E930B2">
            <w:pPr>
              <w:rPr>
                <w:rFonts w:eastAsia="Times New Roman" w:cs="Arial"/>
                <w:color w:val="000000"/>
                <w:sz w:val="16"/>
                <w:szCs w:val="16"/>
                <w:lang w:eastAsia="ca-ES"/>
              </w:rPr>
            </w:pPr>
            <w:r w:rsidRPr="00664FF0">
              <w:rPr>
                <w:rFonts w:eastAsia="Times New Roman" w:cs="Arial"/>
                <w:color w:val="000000"/>
                <w:sz w:val="16"/>
                <w:szCs w:val="16"/>
                <w:lang w:eastAsia="ca-ES"/>
              </w:rPr>
              <w:t> </w:t>
            </w:r>
          </w:p>
        </w:tc>
        <w:tc>
          <w:tcPr>
            <w:tcW w:w="543" w:type="dxa"/>
            <w:tcBorders>
              <w:top w:val="single" w:sz="4" w:space="0" w:color="auto"/>
              <w:bottom w:val="single" w:sz="4" w:space="0" w:color="auto"/>
            </w:tcBorders>
            <w:shd w:val="clear" w:color="auto" w:fill="auto"/>
            <w:vAlign w:val="center"/>
            <w:hideMark/>
          </w:tcPr>
          <w:p w:rsidR="006A4109" w:rsidRPr="00664FF0" w:rsidRDefault="006A4109" w:rsidP="00E930B2">
            <w:pPr>
              <w:rPr>
                <w:rFonts w:eastAsia="Times New Roman" w:cs="Arial"/>
                <w:color w:val="000000"/>
                <w:sz w:val="16"/>
                <w:szCs w:val="16"/>
                <w:lang w:eastAsia="ca-ES"/>
              </w:rPr>
            </w:pPr>
            <w:r w:rsidRPr="00664FF0">
              <w:rPr>
                <w:rFonts w:eastAsia="Times New Roman" w:cs="Arial"/>
                <w:color w:val="000000"/>
                <w:sz w:val="16"/>
                <w:szCs w:val="16"/>
                <w:lang w:eastAsia="ca-ES"/>
              </w:rPr>
              <w:t>√</w:t>
            </w:r>
          </w:p>
        </w:tc>
        <w:tc>
          <w:tcPr>
            <w:tcW w:w="543" w:type="dxa"/>
            <w:tcBorders>
              <w:top w:val="single" w:sz="4" w:space="0" w:color="auto"/>
              <w:bottom w:val="single" w:sz="4" w:space="0" w:color="auto"/>
            </w:tcBorders>
            <w:shd w:val="clear" w:color="auto" w:fill="auto"/>
            <w:vAlign w:val="center"/>
            <w:hideMark/>
          </w:tcPr>
          <w:p w:rsidR="006A4109" w:rsidRPr="00664FF0" w:rsidRDefault="006A4109" w:rsidP="00E930B2">
            <w:pPr>
              <w:rPr>
                <w:rFonts w:eastAsia="Times New Roman" w:cs="Arial"/>
                <w:color w:val="000000"/>
                <w:sz w:val="16"/>
                <w:szCs w:val="16"/>
                <w:lang w:eastAsia="ca-ES"/>
              </w:rPr>
            </w:pPr>
            <w:r w:rsidRPr="00664FF0">
              <w:rPr>
                <w:rFonts w:eastAsia="Times New Roman" w:cs="Arial"/>
                <w:color w:val="000000"/>
                <w:sz w:val="16"/>
                <w:szCs w:val="16"/>
                <w:lang w:eastAsia="ca-ES"/>
              </w:rPr>
              <w:t>√</w:t>
            </w:r>
          </w:p>
        </w:tc>
        <w:tc>
          <w:tcPr>
            <w:tcW w:w="543" w:type="dxa"/>
            <w:tcBorders>
              <w:top w:val="single" w:sz="4" w:space="0" w:color="auto"/>
              <w:bottom w:val="single" w:sz="4" w:space="0" w:color="auto"/>
            </w:tcBorders>
            <w:shd w:val="clear" w:color="auto" w:fill="auto"/>
            <w:vAlign w:val="center"/>
            <w:hideMark/>
          </w:tcPr>
          <w:p w:rsidR="006A4109" w:rsidRPr="00664FF0" w:rsidRDefault="006A4109" w:rsidP="00E930B2">
            <w:pPr>
              <w:rPr>
                <w:rFonts w:eastAsia="Times New Roman" w:cs="Arial"/>
                <w:color w:val="000000"/>
                <w:sz w:val="16"/>
                <w:szCs w:val="16"/>
                <w:lang w:eastAsia="ca-ES"/>
              </w:rPr>
            </w:pPr>
            <w:r w:rsidRPr="00664FF0">
              <w:rPr>
                <w:rFonts w:eastAsia="Times New Roman" w:cs="Arial"/>
                <w:color w:val="000000"/>
                <w:sz w:val="16"/>
                <w:szCs w:val="16"/>
                <w:lang w:eastAsia="ca-ES"/>
              </w:rPr>
              <w:t> </w:t>
            </w:r>
          </w:p>
        </w:tc>
        <w:tc>
          <w:tcPr>
            <w:tcW w:w="543" w:type="dxa"/>
            <w:tcBorders>
              <w:top w:val="single" w:sz="4" w:space="0" w:color="auto"/>
              <w:bottom w:val="single" w:sz="4" w:space="0" w:color="auto"/>
            </w:tcBorders>
            <w:shd w:val="clear" w:color="auto" w:fill="auto"/>
            <w:vAlign w:val="center"/>
            <w:hideMark/>
          </w:tcPr>
          <w:p w:rsidR="006A4109" w:rsidRPr="00664FF0" w:rsidRDefault="006A4109" w:rsidP="00E930B2">
            <w:pPr>
              <w:rPr>
                <w:rFonts w:eastAsia="Times New Roman" w:cs="Arial"/>
                <w:color w:val="000000"/>
                <w:sz w:val="16"/>
                <w:szCs w:val="16"/>
                <w:lang w:eastAsia="ca-ES"/>
              </w:rPr>
            </w:pPr>
            <w:r w:rsidRPr="00664FF0">
              <w:rPr>
                <w:rFonts w:eastAsia="Times New Roman" w:cs="Arial"/>
                <w:color w:val="000000"/>
                <w:sz w:val="16"/>
                <w:szCs w:val="16"/>
                <w:lang w:eastAsia="ca-ES"/>
              </w:rPr>
              <w:t> </w:t>
            </w:r>
          </w:p>
        </w:tc>
        <w:tc>
          <w:tcPr>
            <w:tcW w:w="543" w:type="dxa"/>
            <w:tcBorders>
              <w:top w:val="single" w:sz="4" w:space="0" w:color="auto"/>
              <w:bottom w:val="single" w:sz="4" w:space="0" w:color="auto"/>
            </w:tcBorders>
            <w:shd w:val="clear" w:color="auto" w:fill="auto"/>
            <w:vAlign w:val="center"/>
            <w:hideMark/>
          </w:tcPr>
          <w:p w:rsidR="006A4109" w:rsidRPr="00664FF0" w:rsidRDefault="006A4109" w:rsidP="00E930B2">
            <w:pPr>
              <w:rPr>
                <w:rFonts w:eastAsia="Times New Roman" w:cs="Arial"/>
                <w:color w:val="000000"/>
                <w:sz w:val="16"/>
                <w:szCs w:val="16"/>
                <w:lang w:eastAsia="ca-ES"/>
              </w:rPr>
            </w:pPr>
            <w:r w:rsidRPr="00664FF0">
              <w:rPr>
                <w:rFonts w:eastAsia="Times New Roman" w:cs="Arial"/>
                <w:color w:val="000000"/>
                <w:sz w:val="16"/>
                <w:szCs w:val="16"/>
                <w:lang w:eastAsia="ca-ES"/>
              </w:rPr>
              <w:t>√</w:t>
            </w:r>
          </w:p>
        </w:tc>
        <w:tc>
          <w:tcPr>
            <w:tcW w:w="543" w:type="dxa"/>
            <w:tcBorders>
              <w:top w:val="single" w:sz="4" w:space="0" w:color="auto"/>
              <w:bottom w:val="single" w:sz="4" w:space="0" w:color="auto"/>
            </w:tcBorders>
            <w:shd w:val="clear" w:color="auto" w:fill="auto"/>
            <w:vAlign w:val="center"/>
            <w:hideMark/>
          </w:tcPr>
          <w:p w:rsidR="006A4109" w:rsidRPr="00664FF0" w:rsidRDefault="006A4109" w:rsidP="00E930B2">
            <w:pPr>
              <w:rPr>
                <w:rFonts w:eastAsia="Times New Roman" w:cs="Arial"/>
                <w:color w:val="000000"/>
                <w:sz w:val="16"/>
                <w:szCs w:val="16"/>
                <w:lang w:eastAsia="ca-ES"/>
              </w:rPr>
            </w:pPr>
            <w:r w:rsidRPr="00664FF0">
              <w:rPr>
                <w:rFonts w:eastAsia="Times New Roman" w:cs="Arial"/>
                <w:color w:val="000000"/>
                <w:sz w:val="16"/>
                <w:szCs w:val="16"/>
                <w:lang w:eastAsia="ca-ES"/>
              </w:rPr>
              <w:t> </w:t>
            </w:r>
          </w:p>
        </w:tc>
        <w:tc>
          <w:tcPr>
            <w:tcW w:w="542" w:type="dxa"/>
            <w:tcBorders>
              <w:top w:val="single" w:sz="4" w:space="0" w:color="auto"/>
              <w:bottom w:val="single" w:sz="4" w:space="0" w:color="auto"/>
            </w:tcBorders>
            <w:shd w:val="clear" w:color="auto" w:fill="auto"/>
            <w:vAlign w:val="center"/>
            <w:hideMark/>
          </w:tcPr>
          <w:p w:rsidR="006A4109" w:rsidRPr="00664FF0" w:rsidRDefault="006A4109" w:rsidP="00E930B2">
            <w:pPr>
              <w:rPr>
                <w:rFonts w:eastAsia="Times New Roman" w:cs="Arial"/>
                <w:color w:val="000000"/>
                <w:sz w:val="16"/>
                <w:szCs w:val="16"/>
                <w:lang w:eastAsia="ca-ES"/>
              </w:rPr>
            </w:pPr>
            <w:r w:rsidRPr="00664FF0">
              <w:rPr>
                <w:rFonts w:eastAsia="Times New Roman" w:cs="Arial"/>
                <w:color w:val="000000"/>
                <w:sz w:val="16"/>
                <w:szCs w:val="16"/>
                <w:lang w:eastAsia="ca-ES"/>
              </w:rPr>
              <w:t> </w:t>
            </w:r>
          </w:p>
        </w:tc>
        <w:tc>
          <w:tcPr>
            <w:tcW w:w="543" w:type="dxa"/>
            <w:tcBorders>
              <w:top w:val="single" w:sz="4" w:space="0" w:color="auto"/>
              <w:bottom w:val="single" w:sz="4" w:space="0" w:color="auto"/>
            </w:tcBorders>
            <w:shd w:val="clear" w:color="auto" w:fill="auto"/>
            <w:vAlign w:val="center"/>
            <w:hideMark/>
          </w:tcPr>
          <w:p w:rsidR="006A4109" w:rsidRPr="00664FF0" w:rsidRDefault="006A4109" w:rsidP="00E930B2">
            <w:pPr>
              <w:rPr>
                <w:rFonts w:eastAsia="Times New Roman" w:cs="Arial"/>
                <w:color w:val="000000"/>
                <w:sz w:val="16"/>
                <w:szCs w:val="16"/>
                <w:lang w:eastAsia="ca-ES"/>
              </w:rPr>
            </w:pPr>
            <w:r w:rsidRPr="00664FF0">
              <w:rPr>
                <w:rFonts w:eastAsia="Times New Roman" w:cs="Arial"/>
                <w:color w:val="000000"/>
                <w:sz w:val="16"/>
                <w:szCs w:val="16"/>
                <w:lang w:eastAsia="ca-ES"/>
              </w:rPr>
              <w:t>√</w:t>
            </w:r>
          </w:p>
        </w:tc>
        <w:tc>
          <w:tcPr>
            <w:tcW w:w="543" w:type="dxa"/>
            <w:tcBorders>
              <w:top w:val="single" w:sz="4" w:space="0" w:color="auto"/>
              <w:bottom w:val="single" w:sz="4" w:space="0" w:color="auto"/>
            </w:tcBorders>
            <w:shd w:val="clear" w:color="auto" w:fill="auto"/>
            <w:vAlign w:val="center"/>
            <w:hideMark/>
          </w:tcPr>
          <w:p w:rsidR="006A4109" w:rsidRPr="00664FF0" w:rsidRDefault="006A4109" w:rsidP="00E930B2">
            <w:pPr>
              <w:rPr>
                <w:rFonts w:eastAsia="Times New Roman" w:cs="Arial"/>
                <w:color w:val="000000"/>
                <w:sz w:val="16"/>
                <w:szCs w:val="16"/>
                <w:lang w:eastAsia="ca-ES"/>
              </w:rPr>
            </w:pPr>
            <w:r w:rsidRPr="00664FF0">
              <w:rPr>
                <w:rFonts w:eastAsia="Times New Roman" w:cs="Arial"/>
                <w:color w:val="000000"/>
                <w:sz w:val="16"/>
                <w:szCs w:val="16"/>
                <w:lang w:eastAsia="ca-ES"/>
              </w:rPr>
              <w:t>√</w:t>
            </w:r>
          </w:p>
        </w:tc>
        <w:tc>
          <w:tcPr>
            <w:tcW w:w="543" w:type="dxa"/>
            <w:tcBorders>
              <w:top w:val="single" w:sz="4" w:space="0" w:color="auto"/>
              <w:bottom w:val="single" w:sz="4" w:space="0" w:color="auto"/>
            </w:tcBorders>
            <w:shd w:val="clear" w:color="auto" w:fill="auto"/>
            <w:vAlign w:val="center"/>
            <w:hideMark/>
          </w:tcPr>
          <w:p w:rsidR="006A4109" w:rsidRPr="00664FF0" w:rsidRDefault="006A4109" w:rsidP="00E930B2">
            <w:pPr>
              <w:rPr>
                <w:rFonts w:eastAsia="Times New Roman" w:cs="Arial"/>
                <w:color w:val="000000"/>
                <w:sz w:val="16"/>
                <w:szCs w:val="16"/>
                <w:lang w:eastAsia="ca-ES"/>
              </w:rPr>
            </w:pPr>
            <w:r w:rsidRPr="00664FF0">
              <w:rPr>
                <w:rFonts w:eastAsia="Times New Roman" w:cs="Arial"/>
                <w:color w:val="000000"/>
                <w:sz w:val="16"/>
                <w:szCs w:val="16"/>
                <w:lang w:eastAsia="ca-ES"/>
              </w:rPr>
              <w:t>√</w:t>
            </w:r>
          </w:p>
        </w:tc>
        <w:tc>
          <w:tcPr>
            <w:tcW w:w="543" w:type="dxa"/>
            <w:tcBorders>
              <w:top w:val="single" w:sz="4" w:space="0" w:color="auto"/>
              <w:bottom w:val="single" w:sz="4" w:space="0" w:color="auto"/>
            </w:tcBorders>
            <w:shd w:val="clear" w:color="auto" w:fill="auto"/>
            <w:vAlign w:val="center"/>
            <w:hideMark/>
          </w:tcPr>
          <w:p w:rsidR="006A4109" w:rsidRPr="00664FF0" w:rsidRDefault="006A4109" w:rsidP="00E930B2">
            <w:pPr>
              <w:rPr>
                <w:rFonts w:eastAsia="Times New Roman" w:cs="Arial"/>
                <w:color w:val="000000"/>
                <w:sz w:val="16"/>
                <w:szCs w:val="16"/>
                <w:lang w:eastAsia="ca-ES"/>
              </w:rPr>
            </w:pPr>
            <w:r w:rsidRPr="00664FF0">
              <w:rPr>
                <w:rFonts w:eastAsia="Times New Roman" w:cs="Arial"/>
                <w:color w:val="000000"/>
                <w:sz w:val="16"/>
                <w:szCs w:val="16"/>
                <w:lang w:eastAsia="ca-ES"/>
              </w:rPr>
              <w:t> </w:t>
            </w:r>
          </w:p>
        </w:tc>
        <w:tc>
          <w:tcPr>
            <w:tcW w:w="543" w:type="dxa"/>
            <w:tcBorders>
              <w:top w:val="single" w:sz="4" w:space="0" w:color="auto"/>
              <w:bottom w:val="single" w:sz="4" w:space="0" w:color="auto"/>
            </w:tcBorders>
            <w:shd w:val="clear" w:color="auto" w:fill="auto"/>
            <w:vAlign w:val="center"/>
            <w:hideMark/>
          </w:tcPr>
          <w:p w:rsidR="006A4109" w:rsidRPr="00664FF0" w:rsidRDefault="006A4109" w:rsidP="00E930B2">
            <w:pPr>
              <w:rPr>
                <w:rFonts w:eastAsia="Times New Roman" w:cs="Arial"/>
                <w:color w:val="000000"/>
                <w:sz w:val="16"/>
                <w:szCs w:val="16"/>
                <w:lang w:eastAsia="ca-ES"/>
              </w:rPr>
            </w:pPr>
            <w:r w:rsidRPr="00664FF0">
              <w:rPr>
                <w:rFonts w:eastAsia="Times New Roman" w:cs="Arial"/>
                <w:color w:val="000000"/>
                <w:sz w:val="16"/>
                <w:szCs w:val="16"/>
                <w:lang w:eastAsia="ca-ES"/>
              </w:rPr>
              <w:t> </w:t>
            </w:r>
          </w:p>
        </w:tc>
        <w:tc>
          <w:tcPr>
            <w:tcW w:w="543" w:type="dxa"/>
            <w:tcBorders>
              <w:top w:val="single" w:sz="4" w:space="0" w:color="auto"/>
              <w:bottom w:val="single" w:sz="4" w:space="0" w:color="auto"/>
            </w:tcBorders>
            <w:shd w:val="clear" w:color="auto" w:fill="auto"/>
            <w:vAlign w:val="center"/>
            <w:hideMark/>
          </w:tcPr>
          <w:p w:rsidR="006A4109" w:rsidRPr="00664FF0" w:rsidRDefault="006A4109" w:rsidP="00E930B2">
            <w:pPr>
              <w:rPr>
                <w:rFonts w:eastAsia="Times New Roman" w:cs="Arial"/>
                <w:color w:val="000000"/>
                <w:sz w:val="16"/>
                <w:szCs w:val="16"/>
                <w:lang w:eastAsia="ca-ES"/>
              </w:rPr>
            </w:pPr>
            <w:r w:rsidRPr="00664FF0">
              <w:rPr>
                <w:rFonts w:eastAsia="Times New Roman" w:cs="Arial"/>
                <w:color w:val="000000"/>
                <w:sz w:val="16"/>
                <w:szCs w:val="16"/>
                <w:lang w:eastAsia="ca-ES"/>
              </w:rPr>
              <w:t> </w:t>
            </w:r>
          </w:p>
        </w:tc>
      </w:tr>
      <w:tr w:rsidR="006A4109" w:rsidRPr="00664FF0" w:rsidTr="00E930B2">
        <w:trPr>
          <w:trHeight w:val="20"/>
        </w:trPr>
        <w:tc>
          <w:tcPr>
            <w:tcW w:w="1433" w:type="dxa"/>
            <w:tcBorders>
              <w:top w:val="single" w:sz="4" w:space="0" w:color="auto"/>
              <w:bottom w:val="single" w:sz="4" w:space="0" w:color="auto"/>
            </w:tcBorders>
            <w:shd w:val="clear" w:color="auto" w:fill="auto"/>
            <w:vAlign w:val="center"/>
            <w:hideMark/>
          </w:tcPr>
          <w:p w:rsidR="006A4109" w:rsidRPr="00664FF0" w:rsidRDefault="006A4109" w:rsidP="00E930B2">
            <w:pPr>
              <w:rPr>
                <w:rFonts w:eastAsia="Times New Roman" w:cs="Arial"/>
                <w:color w:val="000000"/>
                <w:sz w:val="16"/>
                <w:szCs w:val="16"/>
                <w:lang w:eastAsia="ca-ES"/>
              </w:rPr>
            </w:pPr>
            <w:r w:rsidRPr="00664FF0">
              <w:rPr>
                <w:rFonts w:eastAsia="Times New Roman" w:cs="Arial"/>
                <w:color w:val="000000"/>
                <w:sz w:val="16"/>
                <w:szCs w:val="16"/>
                <w:lang w:eastAsia="ca-ES"/>
              </w:rPr>
              <w:t>Fleca</w:t>
            </w:r>
          </w:p>
        </w:tc>
        <w:tc>
          <w:tcPr>
            <w:tcW w:w="542" w:type="dxa"/>
            <w:tcBorders>
              <w:top w:val="single" w:sz="4" w:space="0" w:color="auto"/>
              <w:bottom w:val="single" w:sz="4" w:space="0" w:color="auto"/>
            </w:tcBorders>
            <w:shd w:val="clear" w:color="auto" w:fill="auto"/>
            <w:vAlign w:val="center"/>
            <w:hideMark/>
          </w:tcPr>
          <w:p w:rsidR="006A4109" w:rsidRPr="00664FF0" w:rsidRDefault="006A4109" w:rsidP="00E930B2">
            <w:pPr>
              <w:rPr>
                <w:rFonts w:eastAsia="Times New Roman" w:cs="Arial"/>
                <w:color w:val="000000"/>
                <w:sz w:val="16"/>
                <w:szCs w:val="16"/>
                <w:lang w:eastAsia="ca-ES"/>
              </w:rPr>
            </w:pPr>
            <w:r w:rsidRPr="00664FF0">
              <w:rPr>
                <w:rFonts w:eastAsia="Times New Roman" w:cs="Arial"/>
                <w:color w:val="000000"/>
                <w:sz w:val="16"/>
                <w:szCs w:val="16"/>
                <w:lang w:eastAsia="ca-ES"/>
              </w:rPr>
              <w:t>√</w:t>
            </w:r>
          </w:p>
        </w:tc>
        <w:tc>
          <w:tcPr>
            <w:tcW w:w="543" w:type="dxa"/>
            <w:tcBorders>
              <w:top w:val="single" w:sz="4" w:space="0" w:color="auto"/>
              <w:bottom w:val="single" w:sz="4" w:space="0" w:color="auto"/>
            </w:tcBorders>
            <w:shd w:val="clear" w:color="auto" w:fill="auto"/>
            <w:vAlign w:val="center"/>
            <w:hideMark/>
          </w:tcPr>
          <w:p w:rsidR="006A4109" w:rsidRPr="00664FF0" w:rsidRDefault="006A4109" w:rsidP="00E930B2">
            <w:pPr>
              <w:rPr>
                <w:rFonts w:eastAsia="Times New Roman" w:cs="Arial"/>
                <w:color w:val="000000"/>
                <w:sz w:val="16"/>
                <w:szCs w:val="16"/>
                <w:lang w:eastAsia="ca-ES"/>
              </w:rPr>
            </w:pPr>
            <w:r w:rsidRPr="00664FF0">
              <w:rPr>
                <w:rFonts w:eastAsia="Times New Roman" w:cs="Arial"/>
                <w:color w:val="000000"/>
                <w:sz w:val="16"/>
                <w:szCs w:val="16"/>
                <w:lang w:eastAsia="ca-ES"/>
              </w:rPr>
              <w:t> </w:t>
            </w:r>
          </w:p>
        </w:tc>
        <w:tc>
          <w:tcPr>
            <w:tcW w:w="543" w:type="dxa"/>
            <w:tcBorders>
              <w:top w:val="single" w:sz="4" w:space="0" w:color="auto"/>
              <w:bottom w:val="single" w:sz="4" w:space="0" w:color="auto"/>
            </w:tcBorders>
            <w:shd w:val="clear" w:color="auto" w:fill="auto"/>
            <w:vAlign w:val="center"/>
            <w:hideMark/>
          </w:tcPr>
          <w:p w:rsidR="006A4109" w:rsidRPr="00664FF0" w:rsidRDefault="006A4109" w:rsidP="00E930B2">
            <w:pPr>
              <w:rPr>
                <w:rFonts w:eastAsia="Times New Roman" w:cs="Arial"/>
                <w:color w:val="000000"/>
                <w:sz w:val="16"/>
                <w:szCs w:val="16"/>
                <w:lang w:eastAsia="ca-ES"/>
              </w:rPr>
            </w:pPr>
            <w:r w:rsidRPr="00664FF0">
              <w:rPr>
                <w:rFonts w:eastAsia="Times New Roman" w:cs="Arial"/>
                <w:color w:val="000000"/>
                <w:sz w:val="16"/>
                <w:szCs w:val="16"/>
                <w:lang w:eastAsia="ca-ES"/>
              </w:rPr>
              <w:t>√</w:t>
            </w:r>
          </w:p>
        </w:tc>
        <w:tc>
          <w:tcPr>
            <w:tcW w:w="543" w:type="dxa"/>
            <w:tcBorders>
              <w:top w:val="single" w:sz="4" w:space="0" w:color="auto"/>
              <w:bottom w:val="single" w:sz="4" w:space="0" w:color="auto"/>
            </w:tcBorders>
            <w:shd w:val="clear" w:color="auto" w:fill="auto"/>
            <w:vAlign w:val="center"/>
            <w:hideMark/>
          </w:tcPr>
          <w:p w:rsidR="006A4109" w:rsidRPr="00664FF0" w:rsidRDefault="006A4109" w:rsidP="00E930B2">
            <w:pPr>
              <w:rPr>
                <w:rFonts w:eastAsia="Times New Roman" w:cs="Arial"/>
                <w:color w:val="000000"/>
                <w:sz w:val="16"/>
                <w:szCs w:val="16"/>
                <w:lang w:eastAsia="ca-ES"/>
              </w:rPr>
            </w:pPr>
            <w:r w:rsidRPr="00664FF0">
              <w:rPr>
                <w:rFonts w:eastAsia="Times New Roman" w:cs="Arial"/>
                <w:color w:val="000000"/>
                <w:sz w:val="16"/>
                <w:szCs w:val="16"/>
                <w:lang w:eastAsia="ca-ES"/>
              </w:rPr>
              <w:t>√</w:t>
            </w:r>
          </w:p>
        </w:tc>
        <w:tc>
          <w:tcPr>
            <w:tcW w:w="543" w:type="dxa"/>
            <w:tcBorders>
              <w:top w:val="single" w:sz="4" w:space="0" w:color="auto"/>
              <w:bottom w:val="single" w:sz="4" w:space="0" w:color="auto"/>
            </w:tcBorders>
            <w:shd w:val="clear" w:color="auto" w:fill="auto"/>
            <w:vAlign w:val="center"/>
            <w:hideMark/>
          </w:tcPr>
          <w:p w:rsidR="006A4109" w:rsidRPr="00664FF0" w:rsidRDefault="006A4109" w:rsidP="00E930B2">
            <w:pPr>
              <w:rPr>
                <w:rFonts w:eastAsia="Times New Roman" w:cs="Arial"/>
                <w:color w:val="000000"/>
                <w:sz w:val="16"/>
                <w:szCs w:val="16"/>
                <w:lang w:eastAsia="ca-ES"/>
              </w:rPr>
            </w:pPr>
            <w:r w:rsidRPr="00664FF0">
              <w:rPr>
                <w:rFonts w:eastAsia="Times New Roman" w:cs="Arial"/>
                <w:color w:val="000000"/>
                <w:sz w:val="16"/>
                <w:szCs w:val="16"/>
                <w:lang w:eastAsia="ca-ES"/>
              </w:rPr>
              <w:t>√</w:t>
            </w:r>
          </w:p>
        </w:tc>
        <w:tc>
          <w:tcPr>
            <w:tcW w:w="543" w:type="dxa"/>
            <w:tcBorders>
              <w:top w:val="single" w:sz="4" w:space="0" w:color="auto"/>
              <w:bottom w:val="single" w:sz="4" w:space="0" w:color="auto"/>
            </w:tcBorders>
            <w:shd w:val="clear" w:color="auto" w:fill="auto"/>
            <w:vAlign w:val="center"/>
            <w:hideMark/>
          </w:tcPr>
          <w:p w:rsidR="006A4109" w:rsidRPr="00664FF0" w:rsidRDefault="006A4109" w:rsidP="00E930B2">
            <w:pPr>
              <w:rPr>
                <w:rFonts w:eastAsia="Times New Roman" w:cs="Arial"/>
                <w:color w:val="000000"/>
                <w:sz w:val="16"/>
                <w:szCs w:val="16"/>
                <w:lang w:eastAsia="ca-ES"/>
              </w:rPr>
            </w:pPr>
            <w:r w:rsidRPr="00664FF0">
              <w:rPr>
                <w:rFonts w:eastAsia="Times New Roman" w:cs="Arial"/>
                <w:color w:val="000000"/>
                <w:sz w:val="16"/>
                <w:szCs w:val="16"/>
                <w:lang w:eastAsia="ca-ES"/>
              </w:rPr>
              <w:t>√</w:t>
            </w:r>
          </w:p>
        </w:tc>
        <w:tc>
          <w:tcPr>
            <w:tcW w:w="543" w:type="dxa"/>
            <w:tcBorders>
              <w:top w:val="single" w:sz="4" w:space="0" w:color="auto"/>
              <w:bottom w:val="single" w:sz="4" w:space="0" w:color="auto"/>
            </w:tcBorders>
            <w:shd w:val="clear" w:color="auto" w:fill="auto"/>
            <w:vAlign w:val="center"/>
            <w:hideMark/>
          </w:tcPr>
          <w:p w:rsidR="006A4109" w:rsidRPr="00664FF0" w:rsidRDefault="006A4109" w:rsidP="00E930B2">
            <w:pPr>
              <w:rPr>
                <w:rFonts w:eastAsia="Times New Roman" w:cs="Arial"/>
                <w:color w:val="000000"/>
                <w:sz w:val="16"/>
                <w:szCs w:val="16"/>
                <w:lang w:eastAsia="ca-ES"/>
              </w:rPr>
            </w:pPr>
            <w:r w:rsidRPr="00664FF0">
              <w:rPr>
                <w:rFonts w:eastAsia="Times New Roman" w:cs="Arial"/>
                <w:color w:val="000000"/>
                <w:sz w:val="16"/>
                <w:szCs w:val="16"/>
                <w:lang w:eastAsia="ca-ES"/>
              </w:rPr>
              <w:t>√</w:t>
            </w:r>
          </w:p>
        </w:tc>
        <w:tc>
          <w:tcPr>
            <w:tcW w:w="542" w:type="dxa"/>
            <w:tcBorders>
              <w:top w:val="single" w:sz="4" w:space="0" w:color="auto"/>
              <w:bottom w:val="single" w:sz="4" w:space="0" w:color="auto"/>
            </w:tcBorders>
            <w:shd w:val="clear" w:color="auto" w:fill="auto"/>
            <w:vAlign w:val="center"/>
            <w:hideMark/>
          </w:tcPr>
          <w:p w:rsidR="006A4109" w:rsidRPr="00664FF0" w:rsidRDefault="006A4109" w:rsidP="00E930B2">
            <w:pPr>
              <w:rPr>
                <w:rFonts w:eastAsia="Times New Roman" w:cs="Arial"/>
                <w:color w:val="000000"/>
                <w:sz w:val="16"/>
                <w:szCs w:val="16"/>
                <w:lang w:eastAsia="ca-ES"/>
              </w:rPr>
            </w:pPr>
            <w:r w:rsidRPr="00664FF0">
              <w:rPr>
                <w:rFonts w:eastAsia="Times New Roman" w:cs="Arial"/>
                <w:color w:val="000000"/>
                <w:sz w:val="16"/>
                <w:szCs w:val="16"/>
                <w:lang w:eastAsia="ca-ES"/>
              </w:rPr>
              <w:t> </w:t>
            </w:r>
          </w:p>
        </w:tc>
        <w:tc>
          <w:tcPr>
            <w:tcW w:w="543" w:type="dxa"/>
            <w:tcBorders>
              <w:top w:val="single" w:sz="4" w:space="0" w:color="auto"/>
              <w:bottom w:val="single" w:sz="4" w:space="0" w:color="auto"/>
            </w:tcBorders>
            <w:shd w:val="clear" w:color="auto" w:fill="auto"/>
            <w:vAlign w:val="center"/>
            <w:hideMark/>
          </w:tcPr>
          <w:p w:rsidR="006A4109" w:rsidRPr="00664FF0" w:rsidRDefault="006A4109" w:rsidP="00E930B2">
            <w:pPr>
              <w:rPr>
                <w:rFonts w:eastAsia="Times New Roman" w:cs="Arial"/>
                <w:color w:val="000000"/>
                <w:sz w:val="16"/>
                <w:szCs w:val="16"/>
                <w:lang w:eastAsia="ca-ES"/>
              </w:rPr>
            </w:pPr>
            <w:r w:rsidRPr="00664FF0">
              <w:rPr>
                <w:rFonts w:eastAsia="Times New Roman" w:cs="Arial"/>
                <w:color w:val="000000"/>
                <w:sz w:val="16"/>
                <w:szCs w:val="16"/>
                <w:lang w:eastAsia="ca-ES"/>
              </w:rPr>
              <w:t>√</w:t>
            </w:r>
          </w:p>
        </w:tc>
        <w:tc>
          <w:tcPr>
            <w:tcW w:w="543" w:type="dxa"/>
            <w:tcBorders>
              <w:top w:val="single" w:sz="4" w:space="0" w:color="auto"/>
              <w:bottom w:val="single" w:sz="4" w:space="0" w:color="auto"/>
            </w:tcBorders>
            <w:shd w:val="clear" w:color="auto" w:fill="auto"/>
            <w:vAlign w:val="center"/>
            <w:hideMark/>
          </w:tcPr>
          <w:p w:rsidR="006A4109" w:rsidRPr="00664FF0" w:rsidRDefault="006A4109" w:rsidP="00E930B2">
            <w:pPr>
              <w:rPr>
                <w:rFonts w:eastAsia="Times New Roman" w:cs="Arial"/>
                <w:color w:val="000000"/>
                <w:sz w:val="16"/>
                <w:szCs w:val="16"/>
                <w:lang w:eastAsia="ca-ES"/>
              </w:rPr>
            </w:pPr>
            <w:r w:rsidRPr="00664FF0">
              <w:rPr>
                <w:rFonts w:eastAsia="Times New Roman" w:cs="Arial"/>
                <w:color w:val="000000"/>
                <w:sz w:val="16"/>
                <w:szCs w:val="16"/>
                <w:lang w:eastAsia="ca-ES"/>
              </w:rPr>
              <w:t>√</w:t>
            </w:r>
          </w:p>
        </w:tc>
        <w:tc>
          <w:tcPr>
            <w:tcW w:w="543" w:type="dxa"/>
            <w:tcBorders>
              <w:top w:val="single" w:sz="4" w:space="0" w:color="auto"/>
              <w:bottom w:val="single" w:sz="4" w:space="0" w:color="auto"/>
            </w:tcBorders>
            <w:shd w:val="clear" w:color="auto" w:fill="auto"/>
            <w:vAlign w:val="center"/>
            <w:hideMark/>
          </w:tcPr>
          <w:p w:rsidR="006A4109" w:rsidRPr="00664FF0" w:rsidRDefault="006A4109" w:rsidP="00E930B2">
            <w:pPr>
              <w:rPr>
                <w:rFonts w:eastAsia="Times New Roman" w:cs="Arial"/>
                <w:color w:val="000000"/>
                <w:sz w:val="16"/>
                <w:szCs w:val="16"/>
                <w:lang w:eastAsia="ca-ES"/>
              </w:rPr>
            </w:pPr>
            <w:r w:rsidRPr="00664FF0">
              <w:rPr>
                <w:rFonts w:eastAsia="Times New Roman" w:cs="Arial"/>
                <w:color w:val="000000"/>
                <w:sz w:val="16"/>
                <w:szCs w:val="16"/>
                <w:lang w:eastAsia="ca-ES"/>
              </w:rPr>
              <w:t>√</w:t>
            </w:r>
          </w:p>
        </w:tc>
        <w:tc>
          <w:tcPr>
            <w:tcW w:w="543" w:type="dxa"/>
            <w:tcBorders>
              <w:top w:val="single" w:sz="4" w:space="0" w:color="auto"/>
              <w:bottom w:val="single" w:sz="4" w:space="0" w:color="auto"/>
            </w:tcBorders>
            <w:shd w:val="clear" w:color="auto" w:fill="auto"/>
            <w:vAlign w:val="center"/>
            <w:hideMark/>
          </w:tcPr>
          <w:p w:rsidR="006A4109" w:rsidRPr="00664FF0" w:rsidRDefault="006A4109" w:rsidP="00E930B2">
            <w:pPr>
              <w:rPr>
                <w:rFonts w:eastAsia="Times New Roman" w:cs="Arial"/>
                <w:color w:val="000000"/>
                <w:sz w:val="16"/>
                <w:szCs w:val="16"/>
                <w:lang w:eastAsia="ca-ES"/>
              </w:rPr>
            </w:pPr>
            <w:r w:rsidRPr="00664FF0">
              <w:rPr>
                <w:rFonts w:eastAsia="Times New Roman" w:cs="Arial"/>
                <w:color w:val="000000"/>
                <w:sz w:val="16"/>
                <w:szCs w:val="16"/>
                <w:lang w:eastAsia="ca-ES"/>
              </w:rPr>
              <w:t> </w:t>
            </w:r>
          </w:p>
        </w:tc>
        <w:tc>
          <w:tcPr>
            <w:tcW w:w="543" w:type="dxa"/>
            <w:tcBorders>
              <w:top w:val="single" w:sz="4" w:space="0" w:color="auto"/>
              <w:bottom w:val="single" w:sz="4" w:space="0" w:color="auto"/>
            </w:tcBorders>
            <w:shd w:val="clear" w:color="auto" w:fill="auto"/>
            <w:vAlign w:val="center"/>
            <w:hideMark/>
          </w:tcPr>
          <w:p w:rsidR="006A4109" w:rsidRPr="00664FF0" w:rsidRDefault="006A4109" w:rsidP="00E930B2">
            <w:pPr>
              <w:rPr>
                <w:rFonts w:eastAsia="Times New Roman" w:cs="Arial"/>
                <w:color w:val="000000"/>
                <w:sz w:val="16"/>
                <w:szCs w:val="16"/>
                <w:lang w:eastAsia="ca-ES"/>
              </w:rPr>
            </w:pPr>
            <w:r w:rsidRPr="00664FF0">
              <w:rPr>
                <w:rFonts w:eastAsia="Times New Roman" w:cs="Arial"/>
                <w:color w:val="000000"/>
                <w:sz w:val="16"/>
                <w:szCs w:val="16"/>
                <w:lang w:eastAsia="ca-ES"/>
              </w:rPr>
              <w:t> </w:t>
            </w:r>
          </w:p>
        </w:tc>
        <w:tc>
          <w:tcPr>
            <w:tcW w:w="543" w:type="dxa"/>
            <w:tcBorders>
              <w:top w:val="single" w:sz="4" w:space="0" w:color="auto"/>
              <w:bottom w:val="single" w:sz="4" w:space="0" w:color="auto"/>
            </w:tcBorders>
            <w:shd w:val="clear" w:color="auto" w:fill="auto"/>
            <w:vAlign w:val="center"/>
            <w:hideMark/>
          </w:tcPr>
          <w:p w:rsidR="006A4109" w:rsidRPr="00664FF0" w:rsidRDefault="006A4109" w:rsidP="00E930B2">
            <w:pPr>
              <w:rPr>
                <w:rFonts w:eastAsia="Times New Roman" w:cs="Arial"/>
                <w:color w:val="000000"/>
                <w:sz w:val="16"/>
                <w:szCs w:val="16"/>
                <w:lang w:eastAsia="ca-ES"/>
              </w:rPr>
            </w:pPr>
            <w:r w:rsidRPr="00664FF0">
              <w:rPr>
                <w:rFonts w:eastAsia="Times New Roman" w:cs="Arial"/>
                <w:color w:val="000000"/>
                <w:sz w:val="16"/>
                <w:szCs w:val="16"/>
                <w:lang w:eastAsia="ca-ES"/>
              </w:rPr>
              <w:t> </w:t>
            </w:r>
          </w:p>
        </w:tc>
      </w:tr>
      <w:tr w:rsidR="006A4109" w:rsidRPr="00664FF0" w:rsidTr="00E930B2">
        <w:trPr>
          <w:trHeight w:val="20"/>
        </w:trPr>
        <w:tc>
          <w:tcPr>
            <w:tcW w:w="1433" w:type="dxa"/>
            <w:tcBorders>
              <w:top w:val="single" w:sz="4" w:space="0" w:color="auto"/>
              <w:bottom w:val="single" w:sz="4" w:space="0" w:color="auto"/>
            </w:tcBorders>
            <w:shd w:val="clear" w:color="auto" w:fill="auto"/>
            <w:vAlign w:val="center"/>
            <w:hideMark/>
          </w:tcPr>
          <w:p w:rsidR="006A4109" w:rsidRPr="00664FF0" w:rsidRDefault="006A4109" w:rsidP="00E930B2">
            <w:pPr>
              <w:rPr>
                <w:rFonts w:eastAsia="Times New Roman" w:cs="Arial"/>
                <w:color w:val="000000"/>
                <w:sz w:val="16"/>
                <w:szCs w:val="16"/>
                <w:lang w:eastAsia="ca-ES"/>
              </w:rPr>
            </w:pPr>
            <w:r w:rsidRPr="00664FF0">
              <w:rPr>
                <w:rFonts w:eastAsia="Times New Roman" w:cs="Arial"/>
                <w:color w:val="000000"/>
                <w:sz w:val="16"/>
                <w:szCs w:val="16"/>
                <w:lang w:eastAsia="ca-ES"/>
              </w:rPr>
              <w:t>Botiga</w:t>
            </w:r>
          </w:p>
        </w:tc>
        <w:tc>
          <w:tcPr>
            <w:tcW w:w="542" w:type="dxa"/>
            <w:tcBorders>
              <w:top w:val="single" w:sz="4" w:space="0" w:color="auto"/>
              <w:bottom w:val="single" w:sz="4" w:space="0" w:color="auto"/>
            </w:tcBorders>
            <w:shd w:val="clear" w:color="auto" w:fill="auto"/>
            <w:vAlign w:val="center"/>
            <w:hideMark/>
          </w:tcPr>
          <w:p w:rsidR="006A4109" w:rsidRPr="00664FF0" w:rsidRDefault="006A4109" w:rsidP="00E930B2">
            <w:pPr>
              <w:rPr>
                <w:rFonts w:eastAsia="Times New Roman" w:cs="Arial"/>
                <w:color w:val="000000"/>
                <w:sz w:val="16"/>
                <w:szCs w:val="16"/>
                <w:lang w:eastAsia="ca-ES"/>
              </w:rPr>
            </w:pPr>
            <w:r w:rsidRPr="00664FF0">
              <w:rPr>
                <w:rFonts w:eastAsia="Times New Roman" w:cs="Arial"/>
                <w:color w:val="000000"/>
                <w:sz w:val="16"/>
                <w:szCs w:val="16"/>
                <w:lang w:eastAsia="ca-ES"/>
              </w:rPr>
              <w:t> </w:t>
            </w:r>
          </w:p>
        </w:tc>
        <w:tc>
          <w:tcPr>
            <w:tcW w:w="543" w:type="dxa"/>
            <w:tcBorders>
              <w:top w:val="single" w:sz="4" w:space="0" w:color="auto"/>
              <w:bottom w:val="single" w:sz="4" w:space="0" w:color="auto"/>
            </w:tcBorders>
            <w:shd w:val="clear" w:color="auto" w:fill="auto"/>
            <w:vAlign w:val="center"/>
            <w:hideMark/>
          </w:tcPr>
          <w:p w:rsidR="006A4109" w:rsidRPr="00664FF0" w:rsidRDefault="006A4109" w:rsidP="00E930B2">
            <w:pPr>
              <w:rPr>
                <w:rFonts w:eastAsia="Times New Roman" w:cs="Arial"/>
                <w:color w:val="000000"/>
                <w:sz w:val="16"/>
                <w:szCs w:val="16"/>
                <w:lang w:eastAsia="ca-ES"/>
              </w:rPr>
            </w:pPr>
            <w:r w:rsidRPr="00664FF0">
              <w:rPr>
                <w:rFonts w:eastAsia="Times New Roman" w:cs="Arial"/>
                <w:color w:val="000000"/>
                <w:sz w:val="16"/>
                <w:szCs w:val="16"/>
                <w:lang w:eastAsia="ca-ES"/>
              </w:rPr>
              <w:t>√</w:t>
            </w:r>
          </w:p>
        </w:tc>
        <w:tc>
          <w:tcPr>
            <w:tcW w:w="543" w:type="dxa"/>
            <w:tcBorders>
              <w:top w:val="single" w:sz="4" w:space="0" w:color="auto"/>
              <w:bottom w:val="single" w:sz="4" w:space="0" w:color="auto"/>
            </w:tcBorders>
            <w:shd w:val="clear" w:color="auto" w:fill="auto"/>
            <w:vAlign w:val="center"/>
            <w:hideMark/>
          </w:tcPr>
          <w:p w:rsidR="006A4109" w:rsidRPr="00664FF0" w:rsidRDefault="006A4109" w:rsidP="00E930B2">
            <w:pPr>
              <w:rPr>
                <w:rFonts w:eastAsia="Times New Roman" w:cs="Arial"/>
                <w:color w:val="000000"/>
                <w:sz w:val="16"/>
                <w:szCs w:val="16"/>
                <w:lang w:eastAsia="ca-ES"/>
              </w:rPr>
            </w:pPr>
            <w:r w:rsidRPr="00664FF0">
              <w:rPr>
                <w:rFonts w:eastAsia="Times New Roman" w:cs="Arial"/>
                <w:color w:val="000000"/>
                <w:sz w:val="16"/>
                <w:szCs w:val="16"/>
                <w:lang w:eastAsia="ca-ES"/>
              </w:rPr>
              <w:t>√</w:t>
            </w:r>
          </w:p>
        </w:tc>
        <w:tc>
          <w:tcPr>
            <w:tcW w:w="543" w:type="dxa"/>
            <w:tcBorders>
              <w:top w:val="single" w:sz="4" w:space="0" w:color="auto"/>
              <w:bottom w:val="single" w:sz="4" w:space="0" w:color="auto"/>
            </w:tcBorders>
            <w:shd w:val="clear" w:color="auto" w:fill="auto"/>
            <w:vAlign w:val="center"/>
            <w:hideMark/>
          </w:tcPr>
          <w:p w:rsidR="006A4109" w:rsidRPr="00664FF0" w:rsidRDefault="006A4109" w:rsidP="00E930B2">
            <w:pPr>
              <w:rPr>
                <w:rFonts w:eastAsia="Times New Roman" w:cs="Arial"/>
                <w:color w:val="000000"/>
                <w:sz w:val="16"/>
                <w:szCs w:val="16"/>
                <w:lang w:eastAsia="ca-ES"/>
              </w:rPr>
            </w:pPr>
            <w:r w:rsidRPr="00664FF0">
              <w:rPr>
                <w:rFonts w:eastAsia="Times New Roman" w:cs="Arial"/>
                <w:color w:val="000000"/>
                <w:sz w:val="16"/>
                <w:szCs w:val="16"/>
                <w:lang w:eastAsia="ca-ES"/>
              </w:rPr>
              <w:t>√</w:t>
            </w:r>
          </w:p>
        </w:tc>
        <w:tc>
          <w:tcPr>
            <w:tcW w:w="543" w:type="dxa"/>
            <w:tcBorders>
              <w:top w:val="single" w:sz="4" w:space="0" w:color="auto"/>
              <w:bottom w:val="single" w:sz="4" w:space="0" w:color="auto"/>
            </w:tcBorders>
            <w:shd w:val="clear" w:color="auto" w:fill="auto"/>
            <w:vAlign w:val="center"/>
            <w:hideMark/>
          </w:tcPr>
          <w:p w:rsidR="006A4109" w:rsidRPr="00664FF0" w:rsidRDefault="006A4109" w:rsidP="00E930B2">
            <w:pPr>
              <w:rPr>
                <w:rFonts w:eastAsia="Times New Roman" w:cs="Arial"/>
                <w:color w:val="000000"/>
                <w:sz w:val="16"/>
                <w:szCs w:val="16"/>
                <w:lang w:eastAsia="ca-ES"/>
              </w:rPr>
            </w:pPr>
            <w:r w:rsidRPr="00664FF0">
              <w:rPr>
                <w:rFonts w:eastAsia="Times New Roman" w:cs="Arial"/>
                <w:color w:val="000000"/>
                <w:sz w:val="16"/>
                <w:szCs w:val="16"/>
                <w:lang w:eastAsia="ca-ES"/>
              </w:rPr>
              <w:t> </w:t>
            </w:r>
          </w:p>
        </w:tc>
        <w:tc>
          <w:tcPr>
            <w:tcW w:w="543" w:type="dxa"/>
            <w:tcBorders>
              <w:top w:val="single" w:sz="4" w:space="0" w:color="auto"/>
              <w:bottom w:val="single" w:sz="4" w:space="0" w:color="auto"/>
            </w:tcBorders>
            <w:shd w:val="clear" w:color="auto" w:fill="auto"/>
            <w:vAlign w:val="center"/>
            <w:hideMark/>
          </w:tcPr>
          <w:p w:rsidR="006A4109" w:rsidRPr="00664FF0" w:rsidRDefault="006A4109" w:rsidP="00E930B2">
            <w:pPr>
              <w:rPr>
                <w:rFonts w:eastAsia="Times New Roman" w:cs="Arial"/>
                <w:color w:val="000000"/>
                <w:sz w:val="16"/>
                <w:szCs w:val="16"/>
                <w:lang w:eastAsia="ca-ES"/>
              </w:rPr>
            </w:pPr>
            <w:r w:rsidRPr="00664FF0">
              <w:rPr>
                <w:rFonts w:eastAsia="Times New Roman" w:cs="Arial"/>
                <w:color w:val="000000"/>
                <w:sz w:val="16"/>
                <w:szCs w:val="16"/>
                <w:lang w:eastAsia="ca-ES"/>
              </w:rPr>
              <w:t>√</w:t>
            </w:r>
          </w:p>
        </w:tc>
        <w:tc>
          <w:tcPr>
            <w:tcW w:w="543" w:type="dxa"/>
            <w:tcBorders>
              <w:top w:val="single" w:sz="4" w:space="0" w:color="auto"/>
              <w:bottom w:val="single" w:sz="4" w:space="0" w:color="auto"/>
            </w:tcBorders>
            <w:shd w:val="clear" w:color="auto" w:fill="auto"/>
            <w:vAlign w:val="center"/>
            <w:hideMark/>
          </w:tcPr>
          <w:p w:rsidR="006A4109" w:rsidRPr="00664FF0" w:rsidRDefault="006A4109" w:rsidP="00E930B2">
            <w:pPr>
              <w:rPr>
                <w:rFonts w:eastAsia="Times New Roman" w:cs="Arial"/>
                <w:color w:val="000000"/>
                <w:sz w:val="16"/>
                <w:szCs w:val="16"/>
                <w:lang w:eastAsia="ca-ES"/>
              </w:rPr>
            </w:pPr>
            <w:r w:rsidRPr="00664FF0">
              <w:rPr>
                <w:rFonts w:eastAsia="Times New Roman" w:cs="Arial"/>
                <w:color w:val="000000"/>
                <w:sz w:val="16"/>
                <w:szCs w:val="16"/>
                <w:lang w:eastAsia="ca-ES"/>
              </w:rPr>
              <w:t>√</w:t>
            </w:r>
          </w:p>
        </w:tc>
        <w:tc>
          <w:tcPr>
            <w:tcW w:w="542" w:type="dxa"/>
            <w:tcBorders>
              <w:top w:val="single" w:sz="4" w:space="0" w:color="auto"/>
              <w:bottom w:val="single" w:sz="4" w:space="0" w:color="auto"/>
            </w:tcBorders>
            <w:shd w:val="clear" w:color="auto" w:fill="auto"/>
            <w:vAlign w:val="center"/>
            <w:hideMark/>
          </w:tcPr>
          <w:p w:rsidR="006A4109" w:rsidRPr="00664FF0" w:rsidRDefault="006A4109" w:rsidP="00E930B2">
            <w:pPr>
              <w:rPr>
                <w:rFonts w:eastAsia="Times New Roman" w:cs="Arial"/>
                <w:color w:val="000000"/>
                <w:sz w:val="16"/>
                <w:szCs w:val="16"/>
                <w:lang w:eastAsia="ca-ES"/>
              </w:rPr>
            </w:pPr>
            <w:r w:rsidRPr="00664FF0">
              <w:rPr>
                <w:rFonts w:eastAsia="Times New Roman" w:cs="Arial"/>
                <w:color w:val="000000"/>
                <w:sz w:val="16"/>
                <w:szCs w:val="16"/>
                <w:lang w:eastAsia="ca-ES"/>
              </w:rPr>
              <w:t> </w:t>
            </w:r>
          </w:p>
        </w:tc>
        <w:tc>
          <w:tcPr>
            <w:tcW w:w="543" w:type="dxa"/>
            <w:tcBorders>
              <w:top w:val="single" w:sz="4" w:space="0" w:color="auto"/>
              <w:bottom w:val="single" w:sz="4" w:space="0" w:color="auto"/>
            </w:tcBorders>
            <w:shd w:val="clear" w:color="auto" w:fill="auto"/>
            <w:vAlign w:val="center"/>
            <w:hideMark/>
          </w:tcPr>
          <w:p w:rsidR="006A4109" w:rsidRPr="00664FF0" w:rsidRDefault="006A4109" w:rsidP="00E930B2">
            <w:pPr>
              <w:rPr>
                <w:rFonts w:eastAsia="Times New Roman" w:cs="Arial"/>
                <w:color w:val="000000"/>
                <w:sz w:val="16"/>
                <w:szCs w:val="16"/>
                <w:lang w:eastAsia="ca-ES"/>
              </w:rPr>
            </w:pPr>
            <w:r w:rsidRPr="00664FF0">
              <w:rPr>
                <w:rFonts w:eastAsia="Times New Roman" w:cs="Arial"/>
                <w:color w:val="000000"/>
                <w:sz w:val="16"/>
                <w:szCs w:val="16"/>
                <w:lang w:eastAsia="ca-ES"/>
              </w:rPr>
              <w:t>√</w:t>
            </w:r>
          </w:p>
        </w:tc>
        <w:tc>
          <w:tcPr>
            <w:tcW w:w="543" w:type="dxa"/>
            <w:tcBorders>
              <w:top w:val="single" w:sz="4" w:space="0" w:color="auto"/>
              <w:bottom w:val="single" w:sz="4" w:space="0" w:color="auto"/>
            </w:tcBorders>
            <w:shd w:val="clear" w:color="auto" w:fill="auto"/>
            <w:vAlign w:val="center"/>
            <w:hideMark/>
          </w:tcPr>
          <w:p w:rsidR="006A4109" w:rsidRPr="00664FF0" w:rsidRDefault="006A4109" w:rsidP="00E930B2">
            <w:pPr>
              <w:rPr>
                <w:rFonts w:eastAsia="Times New Roman" w:cs="Arial"/>
                <w:color w:val="000000"/>
                <w:sz w:val="16"/>
                <w:szCs w:val="16"/>
                <w:lang w:eastAsia="ca-ES"/>
              </w:rPr>
            </w:pPr>
            <w:r w:rsidRPr="00664FF0">
              <w:rPr>
                <w:rFonts w:eastAsia="Times New Roman" w:cs="Arial"/>
                <w:color w:val="000000"/>
                <w:sz w:val="16"/>
                <w:szCs w:val="16"/>
                <w:lang w:eastAsia="ca-ES"/>
              </w:rPr>
              <w:t>√</w:t>
            </w:r>
          </w:p>
        </w:tc>
        <w:tc>
          <w:tcPr>
            <w:tcW w:w="543" w:type="dxa"/>
            <w:tcBorders>
              <w:top w:val="single" w:sz="4" w:space="0" w:color="auto"/>
              <w:bottom w:val="single" w:sz="4" w:space="0" w:color="auto"/>
            </w:tcBorders>
            <w:shd w:val="clear" w:color="auto" w:fill="auto"/>
            <w:vAlign w:val="center"/>
            <w:hideMark/>
          </w:tcPr>
          <w:p w:rsidR="006A4109" w:rsidRPr="00664FF0" w:rsidRDefault="006A4109" w:rsidP="00E930B2">
            <w:pPr>
              <w:rPr>
                <w:rFonts w:eastAsia="Times New Roman" w:cs="Arial"/>
                <w:color w:val="000000"/>
                <w:sz w:val="16"/>
                <w:szCs w:val="16"/>
                <w:lang w:eastAsia="ca-ES"/>
              </w:rPr>
            </w:pPr>
            <w:r w:rsidRPr="00664FF0">
              <w:rPr>
                <w:rFonts w:eastAsia="Times New Roman" w:cs="Arial"/>
                <w:color w:val="000000"/>
                <w:sz w:val="16"/>
                <w:szCs w:val="16"/>
                <w:lang w:eastAsia="ca-ES"/>
              </w:rPr>
              <w:t>√</w:t>
            </w:r>
          </w:p>
        </w:tc>
        <w:tc>
          <w:tcPr>
            <w:tcW w:w="543" w:type="dxa"/>
            <w:tcBorders>
              <w:top w:val="single" w:sz="4" w:space="0" w:color="auto"/>
              <w:bottom w:val="single" w:sz="4" w:space="0" w:color="auto"/>
            </w:tcBorders>
            <w:shd w:val="clear" w:color="auto" w:fill="auto"/>
            <w:vAlign w:val="center"/>
            <w:hideMark/>
          </w:tcPr>
          <w:p w:rsidR="006A4109" w:rsidRPr="00664FF0" w:rsidRDefault="006A4109" w:rsidP="00E930B2">
            <w:pPr>
              <w:rPr>
                <w:rFonts w:eastAsia="Times New Roman" w:cs="Arial"/>
                <w:color w:val="000000"/>
                <w:sz w:val="16"/>
                <w:szCs w:val="16"/>
                <w:lang w:eastAsia="ca-ES"/>
              </w:rPr>
            </w:pPr>
            <w:r w:rsidRPr="00664FF0">
              <w:rPr>
                <w:rFonts w:eastAsia="Times New Roman" w:cs="Arial"/>
                <w:color w:val="000000"/>
                <w:sz w:val="16"/>
                <w:szCs w:val="16"/>
                <w:lang w:eastAsia="ca-ES"/>
              </w:rPr>
              <w:t> </w:t>
            </w:r>
          </w:p>
        </w:tc>
        <w:tc>
          <w:tcPr>
            <w:tcW w:w="543" w:type="dxa"/>
            <w:tcBorders>
              <w:top w:val="single" w:sz="4" w:space="0" w:color="auto"/>
              <w:bottom w:val="single" w:sz="4" w:space="0" w:color="auto"/>
            </w:tcBorders>
            <w:shd w:val="clear" w:color="auto" w:fill="auto"/>
            <w:vAlign w:val="center"/>
            <w:hideMark/>
          </w:tcPr>
          <w:p w:rsidR="006A4109" w:rsidRPr="00664FF0" w:rsidRDefault="006A4109" w:rsidP="00E930B2">
            <w:pPr>
              <w:rPr>
                <w:rFonts w:eastAsia="Times New Roman" w:cs="Arial"/>
                <w:color w:val="000000"/>
                <w:sz w:val="16"/>
                <w:szCs w:val="16"/>
                <w:lang w:eastAsia="ca-ES"/>
              </w:rPr>
            </w:pPr>
            <w:r w:rsidRPr="00664FF0">
              <w:rPr>
                <w:rFonts w:eastAsia="Times New Roman" w:cs="Arial"/>
                <w:color w:val="000000"/>
                <w:sz w:val="16"/>
                <w:szCs w:val="16"/>
                <w:lang w:eastAsia="ca-ES"/>
              </w:rPr>
              <w:t> </w:t>
            </w:r>
          </w:p>
        </w:tc>
        <w:tc>
          <w:tcPr>
            <w:tcW w:w="543" w:type="dxa"/>
            <w:tcBorders>
              <w:top w:val="single" w:sz="4" w:space="0" w:color="auto"/>
              <w:bottom w:val="single" w:sz="4" w:space="0" w:color="auto"/>
            </w:tcBorders>
            <w:shd w:val="clear" w:color="auto" w:fill="auto"/>
            <w:vAlign w:val="center"/>
            <w:hideMark/>
          </w:tcPr>
          <w:p w:rsidR="006A4109" w:rsidRPr="00664FF0" w:rsidRDefault="006A4109" w:rsidP="00E930B2">
            <w:pPr>
              <w:rPr>
                <w:rFonts w:eastAsia="Times New Roman" w:cs="Arial"/>
                <w:color w:val="000000"/>
                <w:sz w:val="16"/>
                <w:szCs w:val="16"/>
                <w:lang w:eastAsia="ca-ES"/>
              </w:rPr>
            </w:pPr>
            <w:r w:rsidRPr="00664FF0">
              <w:rPr>
                <w:rFonts w:eastAsia="Times New Roman" w:cs="Arial"/>
                <w:color w:val="000000"/>
                <w:sz w:val="16"/>
                <w:szCs w:val="16"/>
                <w:lang w:eastAsia="ca-ES"/>
              </w:rPr>
              <w:t> </w:t>
            </w:r>
          </w:p>
        </w:tc>
      </w:tr>
      <w:tr w:rsidR="006A4109" w:rsidRPr="00664FF0" w:rsidTr="00E930B2">
        <w:trPr>
          <w:trHeight w:val="20"/>
        </w:trPr>
        <w:tc>
          <w:tcPr>
            <w:tcW w:w="1433" w:type="dxa"/>
            <w:tcBorders>
              <w:top w:val="single" w:sz="4" w:space="0" w:color="auto"/>
              <w:bottom w:val="single" w:sz="12" w:space="0" w:color="auto"/>
            </w:tcBorders>
            <w:shd w:val="clear" w:color="auto" w:fill="auto"/>
            <w:vAlign w:val="center"/>
            <w:hideMark/>
          </w:tcPr>
          <w:p w:rsidR="006A4109" w:rsidRPr="00664FF0" w:rsidRDefault="006A4109" w:rsidP="00E930B2">
            <w:pPr>
              <w:rPr>
                <w:rFonts w:eastAsia="Times New Roman" w:cs="Arial"/>
                <w:color w:val="000000"/>
                <w:sz w:val="16"/>
                <w:szCs w:val="16"/>
                <w:lang w:eastAsia="ca-ES"/>
              </w:rPr>
            </w:pPr>
            <w:r w:rsidRPr="00664FF0">
              <w:rPr>
                <w:rFonts w:eastAsia="Times New Roman" w:cs="Arial"/>
                <w:color w:val="000000"/>
                <w:sz w:val="16"/>
                <w:szCs w:val="16"/>
                <w:lang w:eastAsia="ca-ES"/>
              </w:rPr>
              <w:t xml:space="preserve">Serveis </w:t>
            </w:r>
            <w:r>
              <w:rPr>
                <w:rFonts w:eastAsia="Times New Roman" w:cs="Arial"/>
                <w:color w:val="000000"/>
                <w:sz w:val="16"/>
                <w:szCs w:val="16"/>
                <w:lang w:eastAsia="ca-ES"/>
              </w:rPr>
              <w:t>a</w:t>
            </w:r>
            <w:r w:rsidRPr="00664FF0">
              <w:rPr>
                <w:rFonts w:eastAsia="Times New Roman" w:cs="Arial"/>
                <w:color w:val="000000"/>
                <w:sz w:val="16"/>
                <w:szCs w:val="16"/>
                <w:lang w:eastAsia="ca-ES"/>
              </w:rPr>
              <w:t>uxiliars</w:t>
            </w:r>
          </w:p>
        </w:tc>
        <w:tc>
          <w:tcPr>
            <w:tcW w:w="542" w:type="dxa"/>
            <w:tcBorders>
              <w:top w:val="single" w:sz="4" w:space="0" w:color="auto"/>
              <w:bottom w:val="single" w:sz="12" w:space="0" w:color="auto"/>
            </w:tcBorders>
            <w:shd w:val="clear" w:color="auto" w:fill="auto"/>
            <w:vAlign w:val="center"/>
            <w:hideMark/>
          </w:tcPr>
          <w:p w:rsidR="006A4109" w:rsidRPr="00664FF0" w:rsidRDefault="006A4109" w:rsidP="00E930B2">
            <w:pPr>
              <w:rPr>
                <w:rFonts w:eastAsia="Times New Roman" w:cs="Arial"/>
                <w:color w:val="000000"/>
                <w:sz w:val="16"/>
                <w:szCs w:val="16"/>
                <w:lang w:eastAsia="ca-ES"/>
              </w:rPr>
            </w:pPr>
            <w:r w:rsidRPr="00664FF0">
              <w:rPr>
                <w:rFonts w:eastAsia="Times New Roman" w:cs="Arial"/>
                <w:color w:val="000000"/>
                <w:sz w:val="16"/>
                <w:szCs w:val="16"/>
                <w:lang w:eastAsia="ca-ES"/>
              </w:rPr>
              <w:t>√</w:t>
            </w:r>
          </w:p>
        </w:tc>
        <w:tc>
          <w:tcPr>
            <w:tcW w:w="543" w:type="dxa"/>
            <w:tcBorders>
              <w:top w:val="single" w:sz="4" w:space="0" w:color="auto"/>
              <w:bottom w:val="single" w:sz="12" w:space="0" w:color="auto"/>
            </w:tcBorders>
            <w:shd w:val="clear" w:color="auto" w:fill="auto"/>
            <w:vAlign w:val="center"/>
            <w:hideMark/>
          </w:tcPr>
          <w:p w:rsidR="006A4109" w:rsidRPr="00664FF0" w:rsidRDefault="006A4109" w:rsidP="00E930B2">
            <w:pPr>
              <w:rPr>
                <w:rFonts w:eastAsia="Times New Roman" w:cs="Arial"/>
                <w:color w:val="000000"/>
                <w:sz w:val="16"/>
                <w:szCs w:val="16"/>
                <w:lang w:eastAsia="ca-ES"/>
              </w:rPr>
            </w:pPr>
            <w:r w:rsidRPr="00664FF0">
              <w:rPr>
                <w:rFonts w:eastAsia="Times New Roman" w:cs="Arial"/>
                <w:color w:val="000000"/>
                <w:sz w:val="16"/>
                <w:szCs w:val="16"/>
                <w:lang w:eastAsia="ca-ES"/>
              </w:rPr>
              <w:t>√</w:t>
            </w:r>
          </w:p>
        </w:tc>
        <w:tc>
          <w:tcPr>
            <w:tcW w:w="543" w:type="dxa"/>
            <w:tcBorders>
              <w:top w:val="single" w:sz="4" w:space="0" w:color="auto"/>
              <w:bottom w:val="single" w:sz="12" w:space="0" w:color="auto"/>
            </w:tcBorders>
            <w:shd w:val="clear" w:color="auto" w:fill="auto"/>
            <w:vAlign w:val="center"/>
            <w:hideMark/>
          </w:tcPr>
          <w:p w:rsidR="006A4109" w:rsidRPr="00664FF0" w:rsidRDefault="006A4109" w:rsidP="00E930B2">
            <w:pPr>
              <w:rPr>
                <w:rFonts w:eastAsia="Times New Roman" w:cs="Arial"/>
                <w:color w:val="000000"/>
                <w:sz w:val="16"/>
                <w:szCs w:val="16"/>
                <w:lang w:eastAsia="ca-ES"/>
              </w:rPr>
            </w:pPr>
            <w:r w:rsidRPr="00664FF0">
              <w:rPr>
                <w:rFonts w:eastAsia="Times New Roman" w:cs="Arial"/>
                <w:color w:val="000000"/>
                <w:sz w:val="16"/>
                <w:szCs w:val="16"/>
                <w:lang w:eastAsia="ca-ES"/>
              </w:rPr>
              <w:t>√</w:t>
            </w:r>
          </w:p>
        </w:tc>
        <w:tc>
          <w:tcPr>
            <w:tcW w:w="543" w:type="dxa"/>
            <w:tcBorders>
              <w:top w:val="single" w:sz="4" w:space="0" w:color="auto"/>
              <w:bottom w:val="single" w:sz="12" w:space="0" w:color="auto"/>
            </w:tcBorders>
            <w:shd w:val="clear" w:color="auto" w:fill="auto"/>
            <w:vAlign w:val="center"/>
            <w:hideMark/>
          </w:tcPr>
          <w:p w:rsidR="006A4109" w:rsidRPr="00664FF0" w:rsidRDefault="006A4109" w:rsidP="00E930B2">
            <w:pPr>
              <w:rPr>
                <w:rFonts w:eastAsia="Times New Roman" w:cs="Arial"/>
                <w:color w:val="000000"/>
                <w:sz w:val="16"/>
                <w:szCs w:val="16"/>
                <w:lang w:eastAsia="ca-ES"/>
              </w:rPr>
            </w:pPr>
            <w:r w:rsidRPr="00664FF0">
              <w:rPr>
                <w:rFonts w:eastAsia="Times New Roman" w:cs="Arial"/>
                <w:color w:val="000000"/>
                <w:sz w:val="16"/>
                <w:szCs w:val="16"/>
                <w:lang w:eastAsia="ca-ES"/>
              </w:rPr>
              <w:t>√</w:t>
            </w:r>
          </w:p>
        </w:tc>
        <w:tc>
          <w:tcPr>
            <w:tcW w:w="543" w:type="dxa"/>
            <w:tcBorders>
              <w:top w:val="single" w:sz="4" w:space="0" w:color="auto"/>
              <w:bottom w:val="single" w:sz="12" w:space="0" w:color="auto"/>
            </w:tcBorders>
            <w:shd w:val="clear" w:color="auto" w:fill="auto"/>
            <w:vAlign w:val="center"/>
            <w:hideMark/>
          </w:tcPr>
          <w:p w:rsidR="006A4109" w:rsidRPr="00664FF0" w:rsidRDefault="006A4109" w:rsidP="00E930B2">
            <w:pPr>
              <w:rPr>
                <w:rFonts w:eastAsia="Times New Roman" w:cs="Arial"/>
                <w:color w:val="000000"/>
                <w:sz w:val="16"/>
                <w:szCs w:val="16"/>
                <w:lang w:eastAsia="ca-ES"/>
              </w:rPr>
            </w:pPr>
            <w:r w:rsidRPr="00664FF0">
              <w:rPr>
                <w:rFonts w:eastAsia="Times New Roman" w:cs="Arial"/>
                <w:color w:val="000000"/>
                <w:sz w:val="16"/>
                <w:szCs w:val="16"/>
                <w:lang w:eastAsia="ca-ES"/>
              </w:rPr>
              <w:t>√</w:t>
            </w:r>
          </w:p>
        </w:tc>
        <w:tc>
          <w:tcPr>
            <w:tcW w:w="543" w:type="dxa"/>
            <w:tcBorders>
              <w:top w:val="single" w:sz="4" w:space="0" w:color="auto"/>
              <w:bottom w:val="single" w:sz="12" w:space="0" w:color="auto"/>
            </w:tcBorders>
            <w:shd w:val="clear" w:color="auto" w:fill="auto"/>
            <w:vAlign w:val="center"/>
            <w:hideMark/>
          </w:tcPr>
          <w:p w:rsidR="006A4109" w:rsidRPr="00664FF0" w:rsidRDefault="006A4109" w:rsidP="00E930B2">
            <w:pPr>
              <w:rPr>
                <w:rFonts w:eastAsia="Times New Roman" w:cs="Arial"/>
                <w:color w:val="000000"/>
                <w:sz w:val="16"/>
                <w:szCs w:val="16"/>
                <w:lang w:eastAsia="ca-ES"/>
              </w:rPr>
            </w:pPr>
            <w:r w:rsidRPr="00664FF0">
              <w:rPr>
                <w:rFonts w:eastAsia="Times New Roman" w:cs="Arial"/>
                <w:color w:val="000000"/>
                <w:sz w:val="16"/>
                <w:szCs w:val="16"/>
                <w:lang w:eastAsia="ca-ES"/>
              </w:rPr>
              <w:t>√</w:t>
            </w:r>
          </w:p>
        </w:tc>
        <w:tc>
          <w:tcPr>
            <w:tcW w:w="543" w:type="dxa"/>
            <w:tcBorders>
              <w:top w:val="single" w:sz="4" w:space="0" w:color="auto"/>
              <w:bottom w:val="single" w:sz="12" w:space="0" w:color="auto"/>
            </w:tcBorders>
            <w:shd w:val="clear" w:color="auto" w:fill="auto"/>
            <w:vAlign w:val="center"/>
            <w:hideMark/>
          </w:tcPr>
          <w:p w:rsidR="006A4109" w:rsidRPr="00664FF0" w:rsidRDefault="006A4109" w:rsidP="00E930B2">
            <w:pPr>
              <w:rPr>
                <w:rFonts w:eastAsia="Times New Roman" w:cs="Arial"/>
                <w:color w:val="000000"/>
                <w:sz w:val="16"/>
                <w:szCs w:val="16"/>
                <w:lang w:eastAsia="ca-ES"/>
              </w:rPr>
            </w:pPr>
            <w:r w:rsidRPr="00664FF0">
              <w:rPr>
                <w:rFonts w:eastAsia="Times New Roman" w:cs="Arial"/>
                <w:color w:val="000000"/>
                <w:sz w:val="16"/>
                <w:szCs w:val="16"/>
                <w:lang w:eastAsia="ca-ES"/>
              </w:rPr>
              <w:t>√</w:t>
            </w:r>
          </w:p>
        </w:tc>
        <w:tc>
          <w:tcPr>
            <w:tcW w:w="542" w:type="dxa"/>
            <w:tcBorders>
              <w:top w:val="single" w:sz="4" w:space="0" w:color="auto"/>
              <w:bottom w:val="single" w:sz="12" w:space="0" w:color="auto"/>
            </w:tcBorders>
            <w:shd w:val="clear" w:color="auto" w:fill="auto"/>
            <w:vAlign w:val="center"/>
            <w:hideMark/>
          </w:tcPr>
          <w:p w:rsidR="006A4109" w:rsidRPr="00664FF0" w:rsidRDefault="006A4109" w:rsidP="00E930B2">
            <w:pPr>
              <w:rPr>
                <w:rFonts w:eastAsia="Times New Roman" w:cs="Arial"/>
                <w:color w:val="000000"/>
                <w:sz w:val="16"/>
                <w:szCs w:val="16"/>
                <w:lang w:eastAsia="ca-ES"/>
              </w:rPr>
            </w:pPr>
            <w:r w:rsidRPr="00664FF0">
              <w:rPr>
                <w:rFonts w:eastAsia="Times New Roman" w:cs="Arial"/>
                <w:color w:val="000000"/>
                <w:sz w:val="16"/>
                <w:szCs w:val="16"/>
                <w:lang w:eastAsia="ca-ES"/>
              </w:rPr>
              <w:t> </w:t>
            </w:r>
          </w:p>
        </w:tc>
        <w:tc>
          <w:tcPr>
            <w:tcW w:w="543" w:type="dxa"/>
            <w:tcBorders>
              <w:top w:val="single" w:sz="4" w:space="0" w:color="auto"/>
              <w:bottom w:val="single" w:sz="12" w:space="0" w:color="auto"/>
            </w:tcBorders>
            <w:shd w:val="clear" w:color="auto" w:fill="auto"/>
            <w:vAlign w:val="center"/>
            <w:hideMark/>
          </w:tcPr>
          <w:p w:rsidR="006A4109" w:rsidRPr="00664FF0" w:rsidRDefault="006A4109" w:rsidP="00E930B2">
            <w:pPr>
              <w:rPr>
                <w:rFonts w:eastAsia="Times New Roman" w:cs="Arial"/>
                <w:color w:val="000000"/>
                <w:sz w:val="16"/>
                <w:szCs w:val="16"/>
                <w:lang w:eastAsia="ca-ES"/>
              </w:rPr>
            </w:pPr>
            <w:r w:rsidRPr="00664FF0">
              <w:rPr>
                <w:rFonts w:eastAsia="Times New Roman" w:cs="Arial"/>
                <w:color w:val="000000"/>
                <w:sz w:val="16"/>
                <w:szCs w:val="16"/>
                <w:lang w:eastAsia="ca-ES"/>
              </w:rPr>
              <w:t>√</w:t>
            </w:r>
          </w:p>
        </w:tc>
        <w:tc>
          <w:tcPr>
            <w:tcW w:w="543" w:type="dxa"/>
            <w:tcBorders>
              <w:top w:val="single" w:sz="4" w:space="0" w:color="auto"/>
              <w:bottom w:val="single" w:sz="12" w:space="0" w:color="auto"/>
            </w:tcBorders>
            <w:shd w:val="clear" w:color="auto" w:fill="auto"/>
            <w:vAlign w:val="center"/>
            <w:hideMark/>
          </w:tcPr>
          <w:p w:rsidR="006A4109" w:rsidRPr="00664FF0" w:rsidRDefault="006A4109" w:rsidP="00E930B2">
            <w:pPr>
              <w:rPr>
                <w:rFonts w:eastAsia="Times New Roman" w:cs="Arial"/>
                <w:color w:val="000000"/>
                <w:sz w:val="16"/>
                <w:szCs w:val="16"/>
                <w:lang w:eastAsia="ca-ES"/>
              </w:rPr>
            </w:pPr>
            <w:r w:rsidRPr="00664FF0">
              <w:rPr>
                <w:rFonts w:eastAsia="Times New Roman" w:cs="Arial"/>
                <w:color w:val="000000"/>
                <w:sz w:val="16"/>
                <w:szCs w:val="16"/>
                <w:lang w:eastAsia="ca-ES"/>
              </w:rPr>
              <w:t>√</w:t>
            </w:r>
          </w:p>
        </w:tc>
        <w:tc>
          <w:tcPr>
            <w:tcW w:w="543" w:type="dxa"/>
            <w:tcBorders>
              <w:top w:val="single" w:sz="4" w:space="0" w:color="auto"/>
              <w:bottom w:val="single" w:sz="12" w:space="0" w:color="auto"/>
            </w:tcBorders>
            <w:shd w:val="clear" w:color="auto" w:fill="auto"/>
            <w:vAlign w:val="center"/>
            <w:hideMark/>
          </w:tcPr>
          <w:p w:rsidR="006A4109" w:rsidRPr="00664FF0" w:rsidRDefault="006A4109" w:rsidP="00E930B2">
            <w:pPr>
              <w:rPr>
                <w:rFonts w:eastAsia="Times New Roman" w:cs="Arial"/>
                <w:color w:val="000000"/>
                <w:sz w:val="16"/>
                <w:szCs w:val="16"/>
                <w:lang w:eastAsia="ca-ES"/>
              </w:rPr>
            </w:pPr>
            <w:r w:rsidRPr="00664FF0">
              <w:rPr>
                <w:rFonts w:eastAsia="Times New Roman" w:cs="Arial"/>
                <w:color w:val="000000"/>
                <w:sz w:val="16"/>
                <w:szCs w:val="16"/>
                <w:lang w:eastAsia="ca-ES"/>
              </w:rPr>
              <w:t>√</w:t>
            </w:r>
          </w:p>
        </w:tc>
        <w:tc>
          <w:tcPr>
            <w:tcW w:w="543" w:type="dxa"/>
            <w:tcBorders>
              <w:top w:val="single" w:sz="4" w:space="0" w:color="auto"/>
              <w:bottom w:val="single" w:sz="12" w:space="0" w:color="auto"/>
            </w:tcBorders>
            <w:shd w:val="clear" w:color="auto" w:fill="auto"/>
            <w:vAlign w:val="center"/>
            <w:hideMark/>
          </w:tcPr>
          <w:p w:rsidR="006A4109" w:rsidRPr="00664FF0" w:rsidRDefault="006A4109" w:rsidP="00E930B2">
            <w:pPr>
              <w:rPr>
                <w:rFonts w:eastAsia="Times New Roman" w:cs="Arial"/>
                <w:color w:val="000000"/>
                <w:sz w:val="16"/>
                <w:szCs w:val="16"/>
                <w:lang w:eastAsia="ca-ES"/>
              </w:rPr>
            </w:pPr>
            <w:r w:rsidRPr="00664FF0">
              <w:rPr>
                <w:rFonts w:eastAsia="Times New Roman" w:cs="Arial"/>
                <w:color w:val="000000"/>
                <w:sz w:val="16"/>
                <w:szCs w:val="16"/>
                <w:lang w:eastAsia="ca-ES"/>
              </w:rPr>
              <w:t> </w:t>
            </w:r>
          </w:p>
        </w:tc>
        <w:tc>
          <w:tcPr>
            <w:tcW w:w="543" w:type="dxa"/>
            <w:tcBorders>
              <w:top w:val="single" w:sz="4" w:space="0" w:color="auto"/>
              <w:bottom w:val="single" w:sz="12" w:space="0" w:color="auto"/>
            </w:tcBorders>
            <w:shd w:val="clear" w:color="auto" w:fill="auto"/>
            <w:vAlign w:val="center"/>
            <w:hideMark/>
          </w:tcPr>
          <w:p w:rsidR="006A4109" w:rsidRPr="00664FF0" w:rsidRDefault="006A4109" w:rsidP="00E930B2">
            <w:pPr>
              <w:rPr>
                <w:rFonts w:eastAsia="Times New Roman" w:cs="Arial"/>
                <w:color w:val="000000"/>
                <w:sz w:val="16"/>
                <w:szCs w:val="16"/>
                <w:lang w:eastAsia="ca-ES"/>
              </w:rPr>
            </w:pPr>
            <w:r w:rsidRPr="00664FF0">
              <w:rPr>
                <w:rFonts w:eastAsia="Times New Roman" w:cs="Arial"/>
                <w:color w:val="000000"/>
                <w:sz w:val="16"/>
                <w:szCs w:val="16"/>
                <w:lang w:eastAsia="ca-ES"/>
              </w:rPr>
              <w:t> </w:t>
            </w:r>
          </w:p>
        </w:tc>
        <w:tc>
          <w:tcPr>
            <w:tcW w:w="543" w:type="dxa"/>
            <w:tcBorders>
              <w:top w:val="single" w:sz="4" w:space="0" w:color="auto"/>
              <w:bottom w:val="single" w:sz="12" w:space="0" w:color="auto"/>
            </w:tcBorders>
            <w:shd w:val="clear" w:color="auto" w:fill="auto"/>
            <w:vAlign w:val="center"/>
            <w:hideMark/>
          </w:tcPr>
          <w:p w:rsidR="006A4109" w:rsidRPr="00664FF0" w:rsidRDefault="006A4109" w:rsidP="00E930B2">
            <w:pPr>
              <w:rPr>
                <w:rFonts w:eastAsia="Times New Roman" w:cs="Arial"/>
                <w:color w:val="000000"/>
                <w:sz w:val="16"/>
                <w:szCs w:val="16"/>
                <w:lang w:eastAsia="ca-ES"/>
              </w:rPr>
            </w:pPr>
            <w:r w:rsidRPr="00664FF0">
              <w:rPr>
                <w:rFonts w:eastAsia="Times New Roman" w:cs="Arial"/>
                <w:color w:val="000000"/>
                <w:sz w:val="16"/>
                <w:szCs w:val="16"/>
                <w:lang w:eastAsia="ca-ES"/>
              </w:rPr>
              <w:t> </w:t>
            </w:r>
          </w:p>
        </w:tc>
      </w:tr>
    </w:tbl>
    <w:p w:rsidR="006A4109" w:rsidRPr="007507A8" w:rsidRDefault="006A4109" w:rsidP="00E930B2">
      <w:pPr>
        <w:rPr>
          <w:rFonts w:cs="Arial"/>
        </w:rPr>
      </w:pPr>
      <w:r w:rsidRPr="007507A8">
        <w:rPr>
          <w:rFonts w:cs="Arial"/>
        </w:rPr>
        <w:t>L’any 2005, mitjançant la unitat de serveis exteriors, es desenvolupa un pla de gestió de l’ocupació exterior per</w:t>
      </w:r>
      <w:r>
        <w:rPr>
          <w:rFonts w:cs="Arial"/>
        </w:rPr>
        <w:t xml:space="preserve"> a</w:t>
      </w:r>
      <w:r w:rsidRPr="007507A8">
        <w:rPr>
          <w:rFonts w:cs="Arial"/>
        </w:rPr>
        <w:t xml:space="preserve"> interns en semillibertat, com una etapa prèvia i de trànsit cap a l’ocupació laboral ordinària del mercat de treball. En la majoria de casos d</w:t>
      </w:r>
      <w:r>
        <w:rPr>
          <w:rFonts w:cs="Arial"/>
        </w:rPr>
        <w:t>ó</w:t>
      </w:r>
      <w:r w:rsidRPr="007507A8">
        <w:rPr>
          <w:rFonts w:cs="Arial"/>
        </w:rPr>
        <w:t xml:space="preserve">na continuïtat a l’activitat </w:t>
      </w:r>
      <w:r>
        <w:rPr>
          <w:rFonts w:cs="Arial"/>
        </w:rPr>
        <w:t xml:space="preserve">efectuada en l’interior dels centres. </w:t>
      </w:r>
    </w:p>
    <w:p w:rsidR="006A4109" w:rsidRPr="007507A8" w:rsidRDefault="006A4109" w:rsidP="00E930B2">
      <w:pPr>
        <w:rPr>
          <w:rFonts w:cs="Arial"/>
        </w:rPr>
      </w:pPr>
      <w:r w:rsidRPr="007507A8">
        <w:rPr>
          <w:rFonts w:cs="Arial"/>
        </w:rPr>
        <w:t>En aquestes circumstàncies normalitzades els interns estan sotmesos a un sistema de contractació ordinària, regulats pe</w:t>
      </w:r>
      <w:r>
        <w:rPr>
          <w:rFonts w:cs="Arial"/>
        </w:rPr>
        <w:t>r la legislació laboral comuna.</w:t>
      </w:r>
    </w:p>
    <w:p w:rsidR="006A4109" w:rsidRDefault="006A4109" w:rsidP="00E930B2">
      <w:pPr>
        <w:rPr>
          <w:rFonts w:cs="Arial"/>
        </w:rPr>
      </w:pPr>
      <w:r w:rsidRPr="007507A8">
        <w:rPr>
          <w:rFonts w:cs="Arial"/>
        </w:rPr>
        <w:t xml:space="preserve">Els encàrrecs provenen especialment del sector públic (Generalitat, administracions locals, etc.) i del sector privat, mitjançant </w:t>
      </w:r>
      <w:r>
        <w:rPr>
          <w:rFonts w:cs="Arial"/>
        </w:rPr>
        <w:t>a</w:t>
      </w:r>
      <w:r w:rsidRPr="007507A8">
        <w:rPr>
          <w:rFonts w:cs="Arial"/>
        </w:rPr>
        <w:t xml:space="preserve">cords </w:t>
      </w:r>
      <w:r>
        <w:rPr>
          <w:rFonts w:cs="Arial"/>
        </w:rPr>
        <w:t>marc</w:t>
      </w:r>
      <w:r w:rsidRPr="007507A8">
        <w:rPr>
          <w:rFonts w:cs="Arial"/>
        </w:rPr>
        <w:t xml:space="preserve"> pel</w:t>
      </w:r>
      <w:r>
        <w:rPr>
          <w:rFonts w:cs="Arial"/>
        </w:rPr>
        <w:t>s</w:t>
      </w:r>
      <w:r w:rsidRPr="007507A8">
        <w:rPr>
          <w:rFonts w:cs="Arial"/>
        </w:rPr>
        <w:t xml:space="preserve"> qual</w:t>
      </w:r>
      <w:r>
        <w:rPr>
          <w:rFonts w:cs="Arial"/>
        </w:rPr>
        <w:t>s</w:t>
      </w:r>
      <w:r w:rsidRPr="007507A8">
        <w:rPr>
          <w:rFonts w:cs="Arial"/>
        </w:rPr>
        <w:t xml:space="preserve"> el CIRE té homologades a diferents empreses i entitats, les quals donen suport logístic, tècnic i humà necessari per </w:t>
      </w:r>
      <w:r>
        <w:rPr>
          <w:rFonts w:cs="Arial"/>
        </w:rPr>
        <w:t>al</w:t>
      </w:r>
      <w:r w:rsidRPr="007507A8">
        <w:rPr>
          <w:rFonts w:cs="Arial"/>
        </w:rPr>
        <w:t xml:space="preserve"> </w:t>
      </w:r>
      <w:r>
        <w:rPr>
          <w:rFonts w:cs="Arial"/>
        </w:rPr>
        <w:t>desenvolupament</w:t>
      </w:r>
      <w:r w:rsidRPr="007507A8">
        <w:rPr>
          <w:rFonts w:cs="Arial"/>
        </w:rPr>
        <w:t xml:space="preserve"> de l’activitat, mitjançant la contr</w:t>
      </w:r>
      <w:r>
        <w:rPr>
          <w:rFonts w:cs="Arial"/>
        </w:rPr>
        <w:t>actació d’interns a l’exterior.</w:t>
      </w:r>
    </w:p>
    <w:p w:rsidR="006A4109" w:rsidRPr="00D138E1" w:rsidRDefault="006A4109" w:rsidP="00E930B2">
      <w:pPr>
        <w:rPr>
          <w:rFonts w:cs="Arial"/>
        </w:rPr>
      </w:pPr>
    </w:p>
    <w:p w:rsidR="006A4109" w:rsidRPr="00F02D52" w:rsidRDefault="006A4109" w:rsidP="0070401F">
      <w:pPr>
        <w:pStyle w:val="Ttol4"/>
      </w:pPr>
      <w:bookmarkStart w:id="363" w:name="_Toc463867809"/>
      <w:r w:rsidRPr="002A7616">
        <w:t>Regulació</w:t>
      </w:r>
      <w:r>
        <w:t xml:space="preserve"> laboral als c</w:t>
      </w:r>
      <w:r w:rsidRPr="00F02D52">
        <w:t xml:space="preserve">entres </w:t>
      </w:r>
      <w:r>
        <w:t>p</w:t>
      </w:r>
      <w:r w:rsidRPr="00F02D52">
        <w:t>enitenciaris</w:t>
      </w:r>
      <w:bookmarkEnd w:id="363"/>
    </w:p>
    <w:p w:rsidR="006A4109" w:rsidRPr="007507A8" w:rsidRDefault="006A4109" w:rsidP="00E930B2">
      <w:pPr>
        <w:rPr>
          <w:rFonts w:cs="Arial"/>
        </w:rPr>
      </w:pPr>
      <w:r w:rsidRPr="007507A8">
        <w:rPr>
          <w:rFonts w:cs="Arial"/>
        </w:rPr>
        <w:t>Tal com s’ha descrit a l’inici d’aquest capítol l’activitat laboral és especialment preuada per part important de la població interna. Fonamentalment per</w:t>
      </w:r>
      <w:r>
        <w:rPr>
          <w:rFonts w:cs="Arial"/>
        </w:rPr>
        <w:t xml:space="preserve"> a</w:t>
      </w:r>
      <w:r w:rsidRPr="007507A8">
        <w:rPr>
          <w:rFonts w:cs="Arial"/>
        </w:rPr>
        <w:t xml:space="preserve"> l’accés a la suficiència econòmica i, en els millors dels casos, per transfe</w:t>
      </w:r>
      <w:r>
        <w:rPr>
          <w:rFonts w:cs="Arial"/>
        </w:rPr>
        <w:t>rir els ingressos a la família.</w:t>
      </w:r>
    </w:p>
    <w:p w:rsidR="006A4109" w:rsidRPr="007507A8" w:rsidRDefault="006A4109" w:rsidP="00E930B2">
      <w:pPr>
        <w:rPr>
          <w:rFonts w:cs="Arial"/>
        </w:rPr>
      </w:pPr>
      <w:r w:rsidRPr="007507A8">
        <w:rPr>
          <w:rFonts w:cs="Arial"/>
        </w:rPr>
        <w:t xml:space="preserve">Per tant l’accés a un lloc de treball base, en franca competència amb altres interns, i el sistema de designació i promoció a llocs de treball de major prestigi i remuneració han estat </w:t>
      </w:r>
      <w:r w:rsidRPr="007507A8">
        <w:rPr>
          <w:rFonts w:cs="Arial"/>
        </w:rPr>
        <w:lastRenderedPageBreak/>
        <w:t xml:space="preserve">un factor estimulant molt potent, font de conflictes i de greuges en la gestió de l’oferta laboral. </w:t>
      </w:r>
    </w:p>
    <w:p w:rsidR="006A4109" w:rsidRPr="007507A8" w:rsidRDefault="006A4109" w:rsidP="00E930B2">
      <w:pPr>
        <w:rPr>
          <w:rFonts w:cs="Arial"/>
        </w:rPr>
      </w:pPr>
      <w:r w:rsidRPr="007507A8">
        <w:rPr>
          <w:rFonts w:cs="Arial"/>
        </w:rPr>
        <w:t xml:space="preserve">La competència en aquesta matèria la </w:t>
      </w:r>
      <w:r>
        <w:rPr>
          <w:rFonts w:cs="Arial"/>
        </w:rPr>
        <w:t>té</w:t>
      </w:r>
      <w:r w:rsidRPr="007507A8">
        <w:rPr>
          <w:rFonts w:cs="Arial"/>
        </w:rPr>
        <w:t xml:space="preserve"> la Junta de Tractament i el marc legal que l’ordena e</w:t>
      </w:r>
      <w:r>
        <w:rPr>
          <w:rFonts w:cs="Arial"/>
        </w:rPr>
        <w:t>stà descrit en el RD 782/01 p</w:t>
      </w:r>
      <w:r w:rsidRPr="007507A8">
        <w:rPr>
          <w:rFonts w:cs="Arial"/>
        </w:rPr>
        <w:t>el qu</w:t>
      </w:r>
      <w:r>
        <w:rPr>
          <w:rFonts w:cs="Arial"/>
        </w:rPr>
        <w:t>al</w:t>
      </w:r>
      <w:r w:rsidRPr="007507A8">
        <w:rPr>
          <w:rFonts w:cs="Arial"/>
        </w:rPr>
        <w:t xml:space="preserve"> es regula la relació laboral de caràcter especial dels penats que </w:t>
      </w:r>
      <w:r>
        <w:rPr>
          <w:rFonts w:cs="Arial"/>
        </w:rPr>
        <w:t>desenvolupen</w:t>
      </w:r>
      <w:r w:rsidRPr="007507A8">
        <w:rPr>
          <w:rFonts w:cs="Arial"/>
        </w:rPr>
        <w:t xml:space="preserve"> activitats laborals en tallers penitenciaris i la protecció de</w:t>
      </w:r>
      <w:r>
        <w:rPr>
          <w:rFonts w:cs="Arial"/>
        </w:rPr>
        <w:t xml:space="preserve"> la</w:t>
      </w:r>
      <w:r w:rsidRPr="007507A8">
        <w:rPr>
          <w:rFonts w:cs="Arial"/>
        </w:rPr>
        <w:t xml:space="preserve"> Seguretat Social dels sotmesos a penes de treball en benefici de la comunitat.</w:t>
      </w:r>
    </w:p>
    <w:p w:rsidR="006A4109" w:rsidRPr="00F02D52" w:rsidRDefault="006A4109" w:rsidP="00E930B2">
      <w:pPr>
        <w:rPr>
          <w:rFonts w:cs="Arial"/>
          <w:i/>
        </w:rPr>
      </w:pPr>
      <w:r w:rsidRPr="00F02D52">
        <w:rPr>
          <w:rFonts w:eastAsiaTheme="minorEastAsia" w:cs="Arial"/>
          <w:i/>
          <w:noProof/>
          <w:sz w:val="20"/>
          <w:szCs w:val="20"/>
          <w:lang w:eastAsia="ca-ES"/>
        </w:rPr>
        <w:drawing>
          <wp:inline distT="0" distB="0" distL="0" distR="0" wp14:anchorId="7FB65007" wp14:editId="102927C3">
            <wp:extent cx="3240000" cy="2160000"/>
            <wp:effectExtent l="0" t="0" r="0" b="0"/>
            <wp:docPr id="20" name="Imat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240000" cy="2160000"/>
                    </a:xfrm>
                    <a:prstGeom prst="rect">
                      <a:avLst/>
                    </a:prstGeom>
                    <a:noFill/>
                    <a:ln>
                      <a:noFill/>
                    </a:ln>
                  </pic:spPr>
                </pic:pic>
              </a:graphicData>
            </a:graphic>
          </wp:inline>
        </w:drawing>
      </w:r>
    </w:p>
    <w:p w:rsidR="006A4109" w:rsidRPr="007507A8" w:rsidRDefault="006A4109" w:rsidP="00E930B2">
      <w:pPr>
        <w:rPr>
          <w:rFonts w:cs="Arial"/>
        </w:rPr>
      </w:pPr>
      <w:r w:rsidRPr="007507A8">
        <w:rPr>
          <w:rFonts w:cs="Arial"/>
        </w:rPr>
        <w:t>Aquest marc regul</w:t>
      </w:r>
      <w:r>
        <w:rPr>
          <w:rFonts w:cs="Arial"/>
        </w:rPr>
        <w:t>a, entre d’altres, aspectes tan</w:t>
      </w:r>
      <w:r w:rsidRPr="007507A8">
        <w:rPr>
          <w:rFonts w:cs="Arial"/>
        </w:rPr>
        <w:t xml:space="preserve"> important</w:t>
      </w:r>
      <w:r>
        <w:rPr>
          <w:rFonts w:cs="Arial"/>
        </w:rPr>
        <w:t>s</w:t>
      </w:r>
      <w:r w:rsidRPr="007507A8">
        <w:rPr>
          <w:rFonts w:cs="Arial"/>
        </w:rPr>
        <w:t xml:space="preserve"> com la definició del catàleg i la publicitat de l’oferta dels llocs de treball, dels criteris de selecció, mèrits i capacitats, dels criteris de suspensió o exclusió, introduint valors d’equitat</w:t>
      </w:r>
      <w:r>
        <w:rPr>
          <w:rFonts w:cs="Arial"/>
        </w:rPr>
        <w:t>, objectivitat i transparència.</w:t>
      </w:r>
    </w:p>
    <w:p w:rsidR="006A4109" w:rsidRPr="007507A8" w:rsidRDefault="006A4109" w:rsidP="00E930B2">
      <w:pPr>
        <w:rPr>
          <w:rFonts w:cs="Arial"/>
        </w:rPr>
      </w:pPr>
      <w:r>
        <w:rPr>
          <w:rFonts w:cs="Arial"/>
        </w:rPr>
        <w:t xml:space="preserve">Malgrat les </w:t>
      </w:r>
      <w:r w:rsidRPr="007507A8">
        <w:rPr>
          <w:rFonts w:cs="Arial"/>
        </w:rPr>
        <w:t>iniciatives reguladores d’aquest àmbit aprovades per diferents centres penitenciaris, algunes d</w:t>
      </w:r>
      <w:r>
        <w:rPr>
          <w:rFonts w:cs="Arial"/>
        </w:rPr>
        <w:t>e les quals</w:t>
      </w:r>
      <w:r w:rsidRPr="007507A8">
        <w:rPr>
          <w:rFonts w:cs="Arial"/>
        </w:rPr>
        <w:t xml:space="preserve"> especialment meritòries, no </w:t>
      </w:r>
      <w:r>
        <w:rPr>
          <w:rFonts w:cs="Arial"/>
        </w:rPr>
        <w:t xml:space="preserve">es </w:t>
      </w:r>
      <w:r w:rsidRPr="007507A8">
        <w:rPr>
          <w:rFonts w:cs="Arial"/>
        </w:rPr>
        <w:t>dispos</w:t>
      </w:r>
      <w:r>
        <w:rPr>
          <w:rFonts w:cs="Arial"/>
        </w:rPr>
        <w:t>a</w:t>
      </w:r>
      <w:r w:rsidRPr="007507A8">
        <w:rPr>
          <w:rFonts w:cs="Arial"/>
        </w:rPr>
        <w:t xml:space="preserve"> de </w:t>
      </w:r>
      <w:r>
        <w:rPr>
          <w:rFonts w:cs="Arial"/>
        </w:rPr>
        <w:t xml:space="preserve">cap </w:t>
      </w:r>
      <w:r w:rsidRPr="007507A8">
        <w:rPr>
          <w:rFonts w:cs="Arial"/>
        </w:rPr>
        <w:t>norma general, en forma d’</w:t>
      </w:r>
      <w:r>
        <w:rPr>
          <w:rFonts w:cs="Arial"/>
        </w:rPr>
        <w:t>i</w:t>
      </w:r>
      <w:r w:rsidRPr="007507A8">
        <w:rPr>
          <w:rFonts w:cs="Arial"/>
        </w:rPr>
        <w:t xml:space="preserve">nstrucció o </w:t>
      </w:r>
      <w:r>
        <w:rPr>
          <w:rFonts w:cs="Arial"/>
        </w:rPr>
        <w:t>c</w:t>
      </w:r>
      <w:r w:rsidRPr="007507A8">
        <w:rPr>
          <w:rFonts w:cs="Arial"/>
        </w:rPr>
        <w:t xml:space="preserve">ircular dels </w:t>
      </w:r>
      <w:r>
        <w:rPr>
          <w:rFonts w:cs="Arial"/>
        </w:rPr>
        <w:t>Serveis C</w:t>
      </w:r>
      <w:r w:rsidRPr="007507A8">
        <w:rPr>
          <w:rFonts w:cs="Arial"/>
        </w:rPr>
        <w:t>entrals, que reguli i desenvolupi el marc legal vigent.</w:t>
      </w:r>
    </w:p>
    <w:p w:rsidR="006A4109" w:rsidRPr="00F02D52" w:rsidRDefault="006A4109" w:rsidP="0070401F">
      <w:pPr>
        <w:pStyle w:val="Ttol4"/>
      </w:pPr>
      <w:bookmarkStart w:id="364" w:name="_Toc463867810"/>
      <w:r w:rsidRPr="00F02D52">
        <w:t xml:space="preserve">Síntesi dels </w:t>
      </w:r>
      <w:r w:rsidRPr="002A7616">
        <w:t>aspectes</w:t>
      </w:r>
      <w:r w:rsidRPr="00F02D52">
        <w:t xml:space="preserve"> crítics actuals més rellevants</w:t>
      </w:r>
      <w:bookmarkEnd w:id="364"/>
    </w:p>
    <w:p w:rsidR="006A4109" w:rsidRPr="007507A8" w:rsidRDefault="006A4109" w:rsidP="00E930B2">
      <w:pPr>
        <w:rPr>
          <w:rFonts w:cs="Arial"/>
        </w:rPr>
      </w:pPr>
      <w:r>
        <w:rPr>
          <w:rFonts w:cs="Arial"/>
        </w:rPr>
        <w:t xml:space="preserve">De l’anàlisi de la situació actual en </w:t>
      </w:r>
      <w:r w:rsidRPr="007507A8">
        <w:rPr>
          <w:rFonts w:cs="Arial"/>
        </w:rPr>
        <w:t xml:space="preserve">la formació, inserció i ocupació dels penats en clau interna, </w:t>
      </w:r>
      <w:r>
        <w:rPr>
          <w:rFonts w:cs="Arial"/>
        </w:rPr>
        <w:t>es deriva que els dos actors implicats</w:t>
      </w:r>
      <w:r w:rsidRPr="007507A8">
        <w:rPr>
          <w:rFonts w:cs="Arial"/>
        </w:rPr>
        <w:t xml:space="preserve">, el </w:t>
      </w:r>
      <w:r>
        <w:rPr>
          <w:rFonts w:cs="Arial"/>
        </w:rPr>
        <w:t>mateix</w:t>
      </w:r>
      <w:r w:rsidRPr="007507A8">
        <w:rPr>
          <w:rFonts w:cs="Arial"/>
        </w:rPr>
        <w:t xml:space="preserve"> CIRE i els serveis penitenciaris, han d’harmonitzar i comparti</w:t>
      </w:r>
      <w:r>
        <w:rPr>
          <w:rFonts w:cs="Arial"/>
        </w:rPr>
        <w:t>r el procés de debat i reflexió.</w:t>
      </w:r>
    </w:p>
    <w:p w:rsidR="006A4109" w:rsidRPr="007507A8" w:rsidRDefault="006A4109" w:rsidP="00E930B2">
      <w:pPr>
        <w:rPr>
          <w:rFonts w:cs="Arial"/>
        </w:rPr>
      </w:pPr>
      <w:r w:rsidRPr="007507A8">
        <w:rPr>
          <w:rFonts w:cs="Arial"/>
        </w:rPr>
        <w:t xml:space="preserve">Amb caràcter general hem d’apropar l’organització, els serveis i els treballadors </w:t>
      </w:r>
      <w:r>
        <w:rPr>
          <w:rFonts w:cs="Arial"/>
        </w:rPr>
        <w:t xml:space="preserve">del </w:t>
      </w:r>
      <w:r w:rsidRPr="007507A8">
        <w:rPr>
          <w:rFonts w:cs="Arial"/>
        </w:rPr>
        <w:t xml:space="preserve">CIRE com a part pròpia, intrínseca i reconeguda dels </w:t>
      </w:r>
      <w:r>
        <w:rPr>
          <w:rFonts w:cs="Arial"/>
        </w:rPr>
        <w:t>mateixos</w:t>
      </w:r>
      <w:r w:rsidRPr="007507A8">
        <w:rPr>
          <w:rFonts w:cs="Arial"/>
        </w:rPr>
        <w:t xml:space="preserve"> centres. Millorar l’encaix, el reconeixement de l’esforç i la complexitat de la seva activitat, en de</w:t>
      </w:r>
      <w:r>
        <w:rPr>
          <w:rFonts w:cs="Arial"/>
        </w:rPr>
        <w:t>finitiva, la imatge corporativa.</w:t>
      </w:r>
    </w:p>
    <w:p w:rsidR="006A4109" w:rsidRPr="007507A8" w:rsidRDefault="006A4109" w:rsidP="00E930B2">
      <w:pPr>
        <w:rPr>
          <w:rFonts w:cs="Arial"/>
        </w:rPr>
      </w:pPr>
      <w:r w:rsidRPr="007507A8">
        <w:rPr>
          <w:rFonts w:cs="Arial"/>
        </w:rPr>
        <w:t>Cal reorientar el model docent en l’àmbit de la formació professional per evitar que variants econòmi</w:t>
      </w:r>
      <w:r>
        <w:rPr>
          <w:rFonts w:cs="Arial"/>
        </w:rPr>
        <w:t>ques</w:t>
      </w:r>
      <w:r w:rsidRPr="007507A8">
        <w:rPr>
          <w:rFonts w:cs="Arial"/>
        </w:rPr>
        <w:t xml:space="preserve"> de tercers actors, aliens al sistema, condicionin considerablement l’oferta formativa. Si més no</w:t>
      </w:r>
      <w:r>
        <w:rPr>
          <w:rFonts w:cs="Arial"/>
        </w:rPr>
        <w:t>,</w:t>
      </w:r>
      <w:r w:rsidRPr="007507A8">
        <w:rPr>
          <w:rFonts w:cs="Arial"/>
        </w:rPr>
        <w:t xml:space="preserve"> homogeneïtzar el model en tots els centres penitenciaris, redistribuint els recursos propis.</w:t>
      </w:r>
    </w:p>
    <w:p w:rsidR="006A4109" w:rsidRPr="007507A8" w:rsidRDefault="006A4109" w:rsidP="00E930B2">
      <w:pPr>
        <w:rPr>
          <w:rFonts w:cs="Arial"/>
        </w:rPr>
      </w:pPr>
      <w:r w:rsidRPr="007507A8">
        <w:rPr>
          <w:rFonts w:cs="Arial"/>
        </w:rPr>
        <w:t>És urgent i imprescindible desenvolupar el RD 782/01 pel qu</w:t>
      </w:r>
      <w:r>
        <w:rPr>
          <w:rFonts w:cs="Arial"/>
        </w:rPr>
        <w:t>al</w:t>
      </w:r>
      <w:r w:rsidRPr="007507A8">
        <w:rPr>
          <w:rFonts w:cs="Arial"/>
        </w:rPr>
        <w:t xml:space="preserve"> es regula la relació laboral d</w:t>
      </w:r>
      <w:r>
        <w:rPr>
          <w:rFonts w:cs="Arial"/>
        </w:rPr>
        <w:t xml:space="preserve">e caràcter especial dels penats, </w:t>
      </w:r>
      <w:r w:rsidRPr="007507A8">
        <w:rPr>
          <w:rFonts w:cs="Arial"/>
        </w:rPr>
        <w:t xml:space="preserve">mitjançant </w:t>
      </w:r>
      <w:r>
        <w:rPr>
          <w:rFonts w:cs="Arial"/>
        </w:rPr>
        <w:t>una</w:t>
      </w:r>
      <w:r w:rsidRPr="007507A8">
        <w:rPr>
          <w:rFonts w:cs="Arial"/>
        </w:rPr>
        <w:t xml:space="preserve"> normativa pròpia.</w:t>
      </w:r>
    </w:p>
    <w:p w:rsidR="006A4109" w:rsidRPr="007507A8" w:rsidRDefault="006A4109" w:rsidP="00E930B2">
      <w:pPr>
        <w:rPr>
          <w:rFonts w:cs="Arial"/>
        </w:rPr>
      </w:pPr>
      <w:r w:rsidRPr="007507A8">
        <w:rPr>
          <w:rFonts w:cs="Arial"/>
        </w:rPr>
        <w:t>El marc legal d’àmbit estatal presenta contradiccions en aquest àmbit que requeriria l’impuls de la seva revisió i possible reforma. En concret respecte a les aplicacions d’ATP en relació a</w:t>
      </w:r>
      <w:r>
        <w:rPr>
          <w:rFonts w:cs="Arial"/>
        </w:rPr>
        <w:t>mb</w:t>
      </w:r>
      <w:r w:rsidRPr="007507A8">
        <w:rPr>
          <w:rFonts w:cs="Arial"/>
        </w:rPr>
        <w:t xml:space="preserve"> l’ordenament legal en matèria d’estrangeria que difi</w:t>
      </w:r>
      <w:r>
        <w:rPr>
          <w:rFonts w:cs="Arial"/>
        </w:rPr>
        <w:t>culta la coherència interna del</w:t>
      </w:r>
      <w:r w:rsidRPr="007507A8">
        <w:rPr>
          <w:rFonts w:cs="Arial"/>
        </w:rPr>
        <w:t xml:space="preserve"> nostre marc de treball amb estrangers (itineraris) i, especialment, respecte a la incompatibilitat de la prestació de l’atur i la prestació de subsidi per excarceració</w:t>
      </w:r>
      <w:r>
        <w:rPr>
          <w:rFonts w:cs="Arial"/>
        </w:rPr>
        <w:t>,</w:t>
      </w:r>
      <w:r w:rsidRPr="007507A8">
        <w:rPr>
          <w:rFonts w:cs="Arial"/>
        </w:rPr>
        <w:t xml:space="preserve"> la qual pot arribar a incentivar l’absentisme i passivitat laboral.</w:t>
      </w:r>
    </w:p>
    <w:p w:rsidR="006A4109" w:rsidRPr="00F02D52" w:rsidRDefault="006A4109" w:rsidP="00E930B2">
      <w:pPr>
        <w:rPr>
          <w:rFonts w:cs="Arial"/>
          <w:i/>
        </w:rPr>
      </w:pPr>
      <w:r w:rsidRPr="00F02D52">
        <w:rPr>
          <w:rFonts w:eastAsia="Times New Roman" w:cs="Arial"/>
          <w:i/>
          <w:noProof/>
          <w:sz w:val="20"/>
          <w:szCs w:val="20"/>
          <w:lang w:eastAsia="ca-ES"/>
        </w:rPr>
        <w:lastRenderedPageBreak/>
        <w:drawing>
          <wp:inline distT="0" distB="0" distL="0" distR="0" wp14:anchorId="15E72A0D" wp14:editId="6044EFC4">
            <wp:extent cx="3333750" cy="2158365"/>
            <wp:effectExtent l="0" t="0" r="0" b="0"/>
            <wp:docPr id="21"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333750" cy="2158365"/>
                    </a:xfrm>
                    <a:prstGeom prst="rect">
                      <a:avLst/>
                    </a:prstGeom>
                    <a:noFill/>
                  </pic:spPr>
                </pic:pic>
              </a:graphicData>
            </a:graphic>
          </wp:inline>
        </w:drawing>
      </w:r>
    </w:p>
    <w:p w:rsidR="006A4109" w:rsidRDefault="006A4109" w:rsidP="00E930B2">
      <w:pPr>
        <w:rPr>
          <w:rFonts w:cs="Arial"/>
          <w:i/>
        </w:rPr>
      </w:pPr>
    </w:p>
    <w:p w:rsidR="006A4109" w:rsidRPr="00547CBA" w:rsidRDefault="006A4109" w:rsidP="00E930B2">
      <w:pPr>
        <w:rPr>
          <w:rFonts w:cs="Arial"/>
          <w:i/>
        </w:rPr>
      </w:pPr>
      <w:r>
        <w:rPr>
          <w:rFonts w:cs="Arial"/>
          <w:i/>
        </w:rPr>
        <w:t>Des del CIRE es planteja:</w:t>
      </w:r>
    </w:p>
    <w:p w:rsidR="006A4109" w:rsidRPr="007507A8" w:rsidRDefault="006A4109" w:rsidP="00AE0A20">
      <w:pPr>
        <w:pStyle w:val="Pargrafdellista"/>
        <w:numPr>
          <w:ilvl w:val="0"/>
          <w:numId w:val="19"/>
        </w:numPr>
        <w:rPr>
          <w:rFonts w:cs="Arial"/>
        </w:rPr>
      </w:pPr>
      <w:r w:rsidRPr="007507A8">
        <w:rPr>
          <w:rFonts w:cs="Arial"/>
        </w:rPr>
        <w:t>Millorar el model retributiu. Mòduls estàndards i homogenis de retribució</w:t>
      </w:r>
      <w:r>
        <w:rPr>
          <w:rFonts w:cs="Arial"/>
        </w:rPr>
        <w:t>.</w:t>
      </w:r>
    </w:p>
    <w:p w:rsidR="006A4109" w:rsidRPr="007507A8" w:rsidRDefault="006A4109" w:rsidP="00AE0A20">
      <w:pPr>
        <w:pStyle w:val="Pargrafdellista"/>
        <w:numPr>
          <w:ilvl w:val="0"/>
          <w:numId w:val="19"/>
        </w:numPr>
        <w:rPr>
          <w:rFonts w:cs="Arial"/>
        </w:rPr>
      </w:pPr>
      <w:r w:rsidRPr="007507A8">
        <w:rPr>
          <w:rFonts w:cs="Arial"/>
        </w:rPr>
        <w:t>Projectar externament els valors socials i comunitaris que representa el CIRE.</w:t>
      </w:r>
    </w:p>
    <w:p w:rsidR="006A4109" w:rsidRPr="007507A8" w:rsidRDefault="006A4109" w:rsidP="00AE0A20">
      <w:pPr>
        <w:pStyle w:val="Pargrafdellista"/>
        <w:numPr>
          <w:ilvl w:val="0"/>
          <w:numId w:val="19"/>
        </w:numPr>
        <w:rPr>
          <w:rFonts w:cs="Arial"/>
        </w:rPr>
      </w:pPr>
      <w:r w:rsidRPr="007507A8">
        <w:rPr>
          <w:rFonts w:cs="Arial"/>
        </w:rPr>
        <w:t>Foment</w:t>
      </w:r>
      <w:r>
        <w:rPr>
          <w:rFonts w:cs="Arial"/>
        </w:rPr>
        <w:t>ar</w:t>
      </w:r>
      <w:r w:rsidRPr="007507A8">
        <w:rPr>
          <w:rFonts w:cs="Arial"/>
        </w:rPr>
        <w:t xml:space="preserve"> l’autoocupació.</w:t>
      </w:r>
    </w:p>
    <w:p w:rsidR="006A4109" w:rsidRPr="007507A8" w:rsidRDefault="006A4109" w:rsidP="00AE0A20">
      <w:pPr>
        <w:pStyle w:val="Pargrafdellista"/>
        <w:numPr>
          <w:ilvl w:val="0"/>
          <w:numId w:val="19"/>
        </w:numPr>
        <w:rPr>
          <w:rFonts w:cs="Arial"/>
        </w:rPr>
      </w:pPr>
      <w:r>
        <w:rPr>
          <w:rFonts w:cs="Arial"/>
        </w:rPr>
        <w:t>Fomentar e</w:t>
      </w:r>
      <w:r w:rsidRPr="007507A8">
        <w:rPr>
          <w:rFonts w:cs="Arial"/>
        </w:rPr>
        <w:t>l treball exterior i els programes de formació externs.</w:t>
      </w:r>
    </w:p>
    <w:p w:rsidR="006A4109" w:rsidRPr="007507A8" w:rsidRDefault="006A4109" w:rsidP="00AE0A20">
      <w:pPr>
        <w:pStyle w:val="Pargrafdellista"/>
        <w:numPr>
          <w:ilvl w:val="0"/>
          <w:numId w:val="19"/>
        </w:numPr>
        <w:rPr>
          <w:rFonts w:cs="Arial"/>
        </w:rPr>
      </w:pPr>
      <w:r w:rsidRPr="007507A8">
        <w:rPr>
          <w:rFonts w:cs="Arial"/>
        </w:rPr>
        <w:t>Consolidar el model de certificació i acreditació.</w:t>
      </w:r>
    </w:p>
    <w:p w:rsidR="006A4109" w:rsidRPr="00BB337C" w:rsidRDefault="006A4109" w:rsidP="00AE0A20">
      <w:pPr>
        <w:pStyle w:val="Pargrafdellista"/>
        <w:numPr>
          <w:ilvl w:val="0"/>
          <w:numId w:val="19"/>
        </w:numPr>
        <w:rPr>
          <w:rFonts w:cs="Arial"/>
        </w:rPr>
      </w:pPr>
      <w:r w:rsidRPr="0032472C">
        <w:rPr>
          <w:rFonts w:cs="Arial"/>
        </w:rPr>
        <w:t>Revis</w:t>
      </w:r>
      <w:r>
        <w:rPr>
          <w:rFonts w:cs="Arial"/>
        </w:rPr>
        <w:t xml:space="preserve">ar </w:t>
      </w:r>
      <w:r w:rsidRPr="0032472C">
        <w:rPr>
          <w:rFonts w:cs="Arial"/>
        </w:rPr>
        <w:t>els models de gestió i avaluació econòmiques, d’acord amb els contingents variables de població penitenciària, en relació amb la seva eficiència econòmica, especialment vinculats als serveis interiors i el treball penitenciari amb les empreses privades.</w:t>
      </w:r>
    </w:p>
    <w:p w:rsidR="00E930B2" w:rsidRPr="00AD76E0" w:rsidRDefault="00E930B2" w:rsidP="0070401F">
      <w:pPr>
        <w:pStyle w:val="Ttol1"/>
      </w:pPr>
      <w:bookmarkStart w:id="365" w:name="_Toc464074783"/>
      <w:bookmarkStart w:id="366" w:name="_Toc464685678"/>
      <w:bookmarkStart w:id="367" w:name="_Toc465293416"/>
      <w:bookmarkStart w:id="368" w:name="_Toc461547368"/>
      <w:r w:rsidRPr="00AD76E0">
        <w:lastRenderedPageBreak/>
        <w:t>L’Organització i la gestió de l’execució penal</w:t>
      </w:r>
      <w:bookmarkEnd w:id="365"/>
      <w:bookmarkEnd w:id="366"/>
      <w:bookmarkEnd w:id="367"/>
    </w:p>
    <w:p w:rsidR="00E930B2" w:rsidRPr="00CC5CAF" w:rsidRDefault="00E930B2" w:rsidP="00E930B2">
      <w:r w:rsidRPr="00AD76E0">
        <w:t>Tant la Llei orgànica 1/1979, de 26 de setembre, general penitenciària, peça capital de l’Estat de dret, com els reglaments posteriors fonamenten la seva regulació en el reconeixement de l’intern com a subjecte de drets i en el fet de fer compatible, als centres penitenciaris</w:t>
      </w:r>
      <w:r w:rsidRPr="00CC5CAF">
        <w:t>,</w:t>
      </w:r>
      <w:r>
        <w:t xml:space="preserve"> </w:t>
      </w:r>
      <w:r w:rsidRPr="00CC5CAF">
        <w:t>les finalitats de custòdia amb les més rellevants de reeducació</w:t>
      </w:r>
      <w:r>
        <w:t xml:space="preserve"> </w:t>
      </w:r>
      <w:r w:rsidRPr="00CC5CAF">
        <w:t>i</w:t>
      </w:r>
      <w:r>
        <w:t xml:space="preserve"> reinserció social dels penats</w:t>
      </w:r>
      <w:r w:rsidRPr="00CC5CAF">
        <w:t>.</w:t>
      </w:r>
    </w:p>
    <w:p w:rsidR="00E930B2" w:rsidRDefault="00E930B2" w:rsidP="00E930B2">
      <w:r>
        <w:t xml:space="preserve">L’any 2006 la Generalitat va exercir </w:t>
      </w:r>
      <w:r w:rsidRPr="00CC5CAF">
        <w:t>la seva potestat de regular l’organització dels serveis</w:t>
      </w:r>
      <w:r>
        <w:t xml:space="preserve"> d’execució penal amb l’aprovació del Decret 329/2006, de 5 de setembre, pel qual s’aprova al Reglament d’organització i funcionament dels serveis d’execució penal a Catalunya. </w:t>
      </w:r>
    </w:p>
    <w:p w:rsidR="00E930B2" w:rsidRDefault="00E930B2" w:rsidP="00E930B2">
      <w:r>
        <w:t>Els objectius del Reglament es podrien resumir en:</w:t>
      </w:r>
    </w:p>
    <w:p w:rsidR="00E930B2" w:rsidRDefault="00E930B2" w:rsidP="00055E6C">
      <w:pPr>
        <w:pStyle w:val="Pargrafdellista"/>
        <w:numPr>
          <w:ilvl w:val="0"/>
          <w:numId w:val="22"/>
        </w:numPr>
      </w:pPr>
      <w:r>
        <w:t xml:space="preserve">Dotar l’Administració penitenciària d’una organització flexible, eficaç i amb una estructuració d’òrgans i unitats que li doni la cobertura per dirigir, organitzar i desenvolupar els plans de treball, amb la intervenció de proveïdors externs i col·laboradors. </w:t>
      </w:r>
    </w:p>
    <w:p w:rsidR="00E930B2" w:rsidRDefault="00E930B2" w:rsidP="00055E6C">
      <w:pPr>
        <w:pStyle w:val="Pargrafdellista"/>
        <w:numPr>
          <w:ilvl w:val="0"/>
          <w:numId w:val="22"/>
        </w:numPr>
      </w:pPr>
      <w:r>
        <w:t>Definir  les funcions dels àmbits i llocs de treball.</w:t>
      </w:r>
    </w:p>
    <w:p w:rsidR="00E930B2" w:rsidRDefault="00E930B2" w:rsidP="00055E6C">
      <w:pPr>
        <w:pStyle w:val="Pargrafdellista"/>
        <w:numPr>
          <w:ilvl w:val="0"/>
          <w:numId w:val="22"/>
        </w:numPr>
      </w:pPr>
      <w:r>
        <w:t>Promoure vies de col·laboració i participació que es fonamenten en el principi de coresponsabilitat.</w:t>
      </w:r>
    </w:p>
    <w:p w:rsidR="00E930B2" w:rsidRDefault="00E930B2" w:rsidP="00055E6C">
      <w:pPr>
        <w:pStyle w:val="Pargrafdellista"/>
        <w:numPr>
          <w:ilvl w:val="0"/>
          <w:numId w:val="22"/>
        </w:numPr>
      </w:pPr>
      <w:r>
        <w:t>Afavorir la participació ciutadana en els serveis d’execució penal.</w:t>
      </w:r>
    </w:p>
    <w:p w:rsidR="00E930B2" w:rsidRDefault="00E930B2" w:rsidP="00E930B2">
      <w:r>
        <w:t>La potestat autoorganitzativa de Catalunya amb l’elaboració del Reglament presenta les bases per a la modernització del sistema d’execució penal i deixa oberta la possibilitat d’abordar-ne la gestió en funció de la direcció i orientació que el centre directiu consideri més  adequats. Un altre aspecte important d’aquesta regulació és el marc de les prestacions de l’Administració en l’àmbit sanitari i d’educació. Quant als aspectes relatius al treball penitenciari, la formació ocupacional i la inserció laboral, s’atribueix al CIRE (empresa pública amb personalitat jurídica pròpia) la planificació, organització, gestió i direcció del treball penitenciari.</w:t>
      </w:r>
    </w:p>
    <w:p w:rsidR="00E930B2" w:rsidRDefault="00E930B2" w:rsidP="0070401F">
      <w:pPr>
        <w:pStyle w:val="Ttol2"/>
      </w:pPr>
      <w:r>
        <w:t xml:space="preserve"> </w:t>
      </w:r>
      <w:bookmarkStart w:id="369" w:name="_Toc464074784"/>
      <w:bookmarkStart w:id="370" w:name="_Toc464685679"/>
      <w:bookmarkStart w:id="371" w:name="_Toc465293417"/>
      <w:r>
        <w:t>Els centres penitenciaris: tipus d’establiment</w:t>
      </w:r>
      <w:bookmarkEnd w:id="369"/>
      <w:bookmarkEnd w:id="370"/>
      <w:bookmarkEnd w:id="371"/>
      <w:r>
        <w:t xml:space="preserve"> </w:t>
      </w:r>
      <w:bookmarkEnd w:id="368"/>
    </w:p>
    <w:p w:rsidR="00E930B2" w:rsidRDefault="00E930B2" w:rsidP="00E930B2">
      <w:r>
        <w:t xml:space="preserve">De conformitat amb el que disposen els articles 7 a 12 de la Llei orgànica </w:t>
      </w:r>
      <w:r w:rsidRPr="00FA1631">
        <w:t>1/1979, de 26 de setembre, general penitenci</w:t>
      </w:r>
      <w:r>
        <w:t>à</w:t>
      </w:r>
      <w:r w:rsidRPr="00FA1631">
        <w:t>ria</w:t>
      </w:r>
      <w:r>
        <w:t xml:space="preserve">, </w:t>
      </w:r>
      <w:bookmarkStart w:id="372" w:name="_Toc461547370"/>
      <w:r>
        <w:t xml:space="preserve">el Reglament d’organització i funcionament </w:t>
      </w:r>
      <w:bookmarkEnd w:id="372"/>
      <w:r>
        <w:t xml:space="preserve">dels serveis d’execució penal a Catalunya, aprovat mitjançant el Decret 329/2006, de 5 de setembre (d’ara endavant, ROFSEPC], defineix les tipologies dels establiments penitenciaris, que amb caràcter general funcionen com a centres polivalents, ja que hi poden ingressar les persones preventives i penades, de la manera que s’explica a continuació. </w:t>
      </w:r>
    </w:p>
    <w:p w:rsidR="00E930B2" w:rsidRDefault="00E930B2" w:rsidP="00E930B2"/>
    <w:p w:rsidR="00E930B2" w:rsidRPr="00E37C0A" w:rsidRDefault="00E930B2" w:rsidP="0070401F">
      <w:pPr>
        <w:pStyle w:val="Ttol3"/>
      </w:pPr>
      <w:bookmarkStart w:id="373" w:name="_Toc464074785"/>
      <w:bookmarkStart w:id="374" w:name="_Toc464685680"/>
      <w:bookmarkStart w:id="375" w:name="_Toc465293418"/>
      <w:r w:rsidRPr="00E37C0A">
        <w:t xml:space="preserve">Establiments </w:t>
      </w:r>
      <w:r>
        <w:t>o</w:t>
      </w:r>
      <w:r w:rsidRPr="00E37C0A">
        <w:t>rdinaris</w:t>
      </w:r>
      <w:bookmarkEnd w:id="373"/>
      <w:bookmarkEnd w:id="374"/>
      <w:bookmarkEnd w:id="375"/>
    </w:p>
    <w:p w:rsidR="00E930B2" w:rsidRDefault="00E930B2" w:rsidP="00E930B2">
      <w:r>
        <w:t>Aquests centres estan destinats al compliment de les mesures cautelars de detenció i presó preventiva i a l’execució de les penes privatives de llibertat imposades per les autoritats judicials.</w:t>
      </w:r>
    </w:p>
    <w:p w:rsidR="00E930B2" w:rsidRDefault="00E930B2" w:rsidP="00E930B2">
      <w:r>
        <w:t>Aquest compliment s’ha d’executar sota els criteris de separació de la població reclusa previstos en la legislació penitenciària (homes/dones, joves/adults, preventius/penats) i segons el regim establert (ordinari, obert o tancat). També és important observar les singularitats i adaptacions exigides per fer possible en millors condicions les finalitats de l’execució penal. El model d’intervenció orientarà les característiques de l’establiment i el programa funcional i estructurarà el dimensionament i classificació dels llocs de treball, el pla d’actuació per al tractament de la població reclusa, la prestació dels serveis i l’estructura dels equipaments per garantir una correcta execució penal.</w:t>
      </w:r>
    </w:p>
    <w:p w:rsidR="00E930B2" w:rsidRDefault="00E930B2" w:rsidP="00E930B2">
      <w:r>
        <w:lastRenderedPageBreak/>
        <w:t xml:space="preserve">Com a formes especials d’execució hi haurà: </w:t>
      </w:r>
    </w:p>
    <w:p w:rsidR="00E930B2" w:rsidRDefault="00E930B2" w:rsidP="00E930B2">
      <w:pPr>
        <w:ind w:left="708"/>
      </w:pPr>
      <w:r>
        <w:t>a) Unitats de mares</w:t>
      </w:r>
    </w:p>
    <w:p w:rsidR="00E930B2" w:rsidRDefault="00E930B2" w:rsidP="00E930B2">
      <w:pPr>
        <w:ind w:left="708"/>
      </w:pPr>
      <w:r>
        <w:t>b) Unitats o departaments mixtos</w:t>
      </w:r>
    </w:p>
    <w:p w:rsidR="00E930B2" w:rsidRDefault="00E930B2" w:rsidP="00E930B2">
      <w:pPr>
        <w:ind w:left="708"/>
      </w:pPr>
      <w:r>
        <w:t xml:space="preserve">c) Unitats extrapenitenciàries </w:t>
      </w:r>
    </w:p>
    <w:p w:rsidR="00E930B2" w:rsidRDefault="00E930B2" w:rsidP="00E930B2">
      <w:pPr>
        <w:ind w:left="708"/>
      </w:pPr>
      <w:r>
        <w:t>d) Unitats dependents</w:t>
      </w:r>
    </w:p>
    <w:p w:rsidR="00E930B2" w:rsidRDefault="00E930B2" w:rsidP="00E930B2">
      <w:r>
        <w:t xml:space="preserve">Els </w:t>
      </w:r>
      <w:r w:rsidRPr="00D87FF1">
        <w:rPr>
          <w:b/>
        </w:rPr>
        <w:t xml:space="preserve">centres oberts o centres d’inserció social </w:t>
      </w:r>
      <w:r>
        <w:t xml:space="preserve">són establiments ordinaris destinats preferentment al compliment de les penes privatives de llibertat en les modalitats de vida del règim obert, on podran ser destinades  persones classificades en segon grau de tractament penitenciari que, per les seves circumstàncies personals i penitenciàries, estiguin capacitades per complir sense riscos la seva condemna en un règim de vida de semillibertat, i les persones que acreditin un perllongat i consolidat procés personal d’inserció social que es vegi notòriament perjudicat amb l’ingrés a presó per complir la pena imposada. </w:t>
      </w:r>
    </w:p>
    <w:p w:rsidR="00E930B2" w:rsidRDefault="00E930B2" w:rsidP="00E930B2">
      <w:r>
        <w:t xml:space="preserve">Dependents administrativament dels establiments ordinaris, hi haurà </w:t>
      </w:r>
      <w:r w:rsidRPr="002472CA">
        <w:rPr>
          <w:b/>
        </w:rPr>
        <w:t>unitats dependents</w:t>
      </w:r>
      <w:r w:rsidRPr="002472CA">
        <w:rPr>
          <w:i/>
        </w:rPr>
        <w:t>,</w:t>
      </w:r>
      <w:r>
        <w:t xml:space="preserve"> que són instal·lacions residencials situades arquitectònicament fora dels recintes penitenciaris, preferentment en habitatges ordinaris de l’entorn comunitari, regides pels principis d’especificitat i autonomia, mitjançant acord o conveni de col·laboració amb les entitats públiques o privades, especialment amb les de més arrelament en l’àmbit municipal, dedicades a tasques d’assistència i reinserció d’interns, per facilitar la consecució d’objectius específics de tractament penitenciari d’interns classificats en tercer grau. </w:t>
      </w:r>
    </w:p>
    <w:p w:rsidR="00E930B2" w:rsidRDefault="00E930B2" w:rsidP="0070401F">
      <w:pPr>
        <w:pStyle w:val="Ttol3"/>
      </w:pPr>
      <w:r>
        <w:t xml:space="preserve"> </w:t>
      </w:r>
      <w:bookmarkStart w:id="376" w:name="_Toc464074786"/>
      <w:bookmarkStart w:id="377" w:name="_Toc464685681"/>
      <w:bookmarkStart w:id="378" w:name="_Toc465293419"/>
      <w:r>
        <w:t>Establiments especials</w:t>
      </w:r>
      <w:bookmarkEnd w:id="376"/>
      <w:bookmarkEnd w:id="377"/>
      <w:bookmarkEnd w:id="378"/>
      <w:r>
        <w:t xml:space="preserve"> </w:t>
      </w:r>
    </w:p>
    <w:p w:rsidR="00E930B2" w:rsidRDefault="00E930B2" w:rsidP="00E930B2">
      <w:r>
        <w:t>Els establiments especials són aquells en què preval el caràcter assistencial, i per tant es destinen a aquests centres els subjectes que requereixin un tractament assistencial tendent a la curació de les malalties o deficiències en la salut o a la millora dels condicionaments psicosocials que hagin incidit en l’activitat delictiva.</w:t>
      </w:r>
    </w:p>
    <w:p w:rsidR="00E930B2" w:rsidRDefault="00E930B2" w:rsidP="00E930B2"/>
    <w:p w:rsidR="00E930B2" w:rsidRDefault="00E930B2" w:rsidP="00E930B2">
      <w:r>
        <w:t xml:space="preserve">Els establiments especials poden ser: </w:t>
      </w:r>
    </w:p>
    <w:p w:rsidR="00E930B2" w:rsidRDefault="00E930B2" w:rsidP="00055E6C">
      <w:pPr>
        <w:pStyle w:val="Pargrafdellista"/>
        <w:numPr>
          <w:ilvl w:val="0"/>
          <w:numId w:val="22"/>
        </w:numPr>
      </w:pPr>
      <w:r w:rsidRPr="002472CA">
        <w:rPr>
          <w:b/>
        </w:rPr>
        <w:t>Centres hospitalaris</w:t>
      </w:r>
      <w:r>
        <w:t xml:space="preserve">, de característiques diverses en funció de les necessitats mèdiques i assistencials que es detectin, adreçats a acollir els interns que s’han de sotmetre a intervencions quirúrgiques o que pateixen alguna afectació de la salut que faci necessari el seu tractament en instal·lacions especialitzades. </w:t>
      </w:r>
    </w:p>
    <w:p w:rsidR="00E930B2" w:rsidRDefault="00E930B2" w:rsidP="00055E6C">
      <w:pPr>
        <w:pStyle w:val="Pargrafdellista"/>
        <w:numPr>
          <w:ilvl w:val="0"/>
          <w:numId w:val="22"/>
        </w:numPr>
      </w:pPr>
      <w:r w:rsidRPr="002472CA">
        <w:rPr>
          <w:b/>
        </w:rPr>
        <w:t>Centres psiquiàtrics</w:t>
      </w:r>
      <w:r>
        <w:t xml:space="preserve">, destinats al compliment de les mesures de seguretat privatives de llibertat imposades pels jutges i tribunals a subjectes als quals, tot i haver comès un fet constitutiu de delicte o falta, se’ls hagi declarat l’exempció completa o incompleta de responsabilitat penal; o bé a subjectes als quals, havent estat condemnats penalment, l’òrgan jurisdiccional penal els acordi la imposició d’una mesura de seguretat per raó de una malaltia mental sobrevinguda; en aquests centres també s’hi poden destinar interns per tal de diagnosticar-los i tractar-los de possibles anomalies o alteracions psiquiàtriques que els hagin pogut detectar els serveis mèdics dels centres ordinaris. </w:t>
      </w:r>
    </w:p>
    <w:p w:rsidR="00E930B2" w:rsidRDefault="00E930B2" w:rsidP="00055E6C">
      <w:pPr>
        <w:pStyle w:val="Pargrafdellista"/>
        <w:numPr>
          <w:ilvl w:val="0"/>
          <w:numId w:val="22"/>
        </w:numPr>
      </w:pPr>
      <w:r w:rsidRPr="002472CA">
        <w:rPr>
          <w:b/>
        </w:rPr>
        <w:t>Centres d’atenció sociosanitària</w:t>
      </w:r>
      <w:r>
        <w:t>, destinats a oferir tractaments i rehabilitació especialitzats, en mitjà residencial o no, a les persones a les quals s’hagi imposat una pena o mesura de seguretat per raó de la seva dependència de substàncies que creen addicció, o perquè pateixen alteracions de la percepció, per al seguiment dels programes adients per al seu guariment o millora tendents a afavorir la seva rehabilitació social. Poden estar ubicats en els equipaments penitenciaris o no estar-hi, segons el que determinin en cada moment els departaments competents per raó de la matèria.</w:t>
      </w:r>
    </w:p>
    <w:p w:rsidR="00E930B2" w:rsidRDefault="00E930B2" w:rsidP="0070401F">
      <w:pPr>
        <w:pStyle w:val="Ttol2"/>
      </w:pPr>
      <w:bookmarkStart w:id="379" w:name="_Toc464074787"/>
      <w:bookmarkStart w:id="380" w:name="_Toc464685682"/>
      <w:bookmarkStart w:id="381" w:name="_Toc465293420"/>
      <w:r>
        <w:lastRenderedPageBreak/>
        <w:t>Model organitzatiu</w:t>
      </w:r>
      <w:r w:rsidRPr="000C4A8D">
        <w:t xml:space="preserve"> dels centres penitenciaris</w:t>
      </w:r>
      <w:bookmarkEnd w:id="379"/>
      <w:bookmarkEnd w:id="380"/>
      <w:bookmarkEnd w:id="381"/>
      <w:r w:rsidRPr="000C4A8D">
        <w:t xml:space="preserve"> </w:t>
      </w:r>
    </w:p>
    <w:p w:rsidR="00E930B2" w:rsidRDefault="00E930B2" w:rsidP="00E930B2">
      <w:r>
        <w:t>Els centres penitenciaris no es diferencien d’altres organitzacions en els conceptes bàsics que delimiten el seu funcionament i, per tant, disposen d’àrees o àmbits de treball, on es desenvolupen funcions i tasques concretes que cobreixen cadascuna de les necessitats a què ha de donar resposta l’organització, estructures de càrrecs directius i de comandaments que dirigeixen i supervisen el seu funcionament, personal de categories i especialització diferent que intervenen de manera directa en els seus camps d’actuació i òrgans col·legiats que orienten, consensuen i prenen decisions per aconseguir la finalitat que estableix la legislació penitenciària.</w:t>
      </w:r>
    </w:p>
    <w:p w:rsidR="00E930B2" w:rsidRPr="000C4A8D" w:rsidRDefault="00E930B2" w:rsidP="0070401F">
      <w:pPr>
        <w:pStyle w:val="Ttol3"/>
      </w:pPr>
      <w:bookmarkStart w:id="382" w:name="_Toc464074788"/>
      <w:bookmarkStart w:id="383" w:name="_Toc464685683"/>
      <w:bookmarkStart w:id="384" w:name="_Toc465293421"/>
      <w:r w:rsidRPr="000C4A8D">
        <w:t>Estructura</w:t>
      </w:r>
      <w:r>
        <w:t xml:space="preserve"> dels centres penitenciaris</w:t>
      </w:r>
      <w:bookmarkEnd w:id="382"/>
      <w:bookmarkEnd w:id="383"/>
      <w:bookmarkEnd w:id="384"/>
    </w:p>
    <w:p w:rsidR="00E930B2" w:rsidRPr="000C4A8D" w:rsidRDefault="00E930B2" w:rsidP="00E930B2">
      <w:r w:rsidRPr="000C4A8D">
        <w:t xml:space="preserve">A cada centre penitenciari hi ha òrgans unipersonals i col·legiats, encarregats d’orientar totes les actuacions de la institució a l’assoliment de les finalitats que la Constitució i les lleis hagin atribuït a l’administració competent en matèria d’execució penal. </w:t>
      </w:r>
    </w:p>
    <w:p w:rsidR="00E930B2" w:rsidRPr="000C4A8D" w:rsidRDefault="00E930B2" w:rsidP="00E930B2">
      <w:r>
        <w:t xml:space="preserve">La </w:t>
      </w:r>
      <w:r w:rsidRPr="000C4A8D">
        <w:t>coordinació entre els diferents òrgans uniperso</w:t>
      </w:r>
      <w:r>
        <w:t>nals i col·legiats correspon</w:t>
      </w:r>
      <w:r w:rsidRPr="000C4A8D">
        <w:t xml:space="preserve"> al director del centre penitenciari. </w:t>
      </w:r>
    </w:p>
    <w:p w:rsidR="00E930B2" w:rsidRDefault="00E930B2" w:rsidP="00E930B2">
      <w:r>
        <w:t>Quan l</w:t>
      </w:r>
      <w:r w:rsidRPr="000C4A8D">
        <w:t>a cobertura de llocs de treball que hi hagi no permeti d’assolir la composició dels diferents òrgans unipersonals o col·legiats que es determinen</w:t>
      </w:r>
      <w:r>
        <w:t>,</w:t>
      </w:r>
      <w:r w:rsidRPr="000C4A8D">
        <w:t xml:space="preserve"> se n’adaptarà la composició als l</w:t>
      </w:r>
      <w:r>
        <w:t>locs de treball que hi hagi, amb</w:t>
      </w:r>
      <w:r w:rsidRPr="000C4A8D">
        <w:t xml:space="preserve"> </w:t>
      </w:r>
      <w:r>
        <w:t xml:space="preserve">la </w:t>
      </w:r>
      <w:r w:rsidRPr="000C4A8D">
        <w:t>concentració de funcions i competències en un òrgan unipersonal o col·legiat, d’acord amb el qu</w:t>
      </w:r>
      <w:r>
        <w:t>e</w:t>
      </w:r>
      <w:r w:rsidRPr="000C4A8D">
        <w:t xml:space="preserve"> es determini en la normativa de desenvolupament d</w:t>
      </w:r>
      <w:r>
        <w:t>el</w:t>
      </w:r>
      <w:r w:rsidRPr="000C4A8D">
        <w:t xml:space="preserve"> R</w:t>
      </w:r>
      <w:r>
        <w:t>OFSEPC</w:t>
      </w:r>
      <w:r w:rsidRPr="000C4A8D">
        <w:t xml:space="preserve">. </w:t>
      </w:r>
    </w:p>
    <w:p w:rsidR="00E930B2" w:rsidRPr="000C4A8D" w:rsidRDefault="00E930B2" w:rsidP="00E930B2">
      <w:r>
        <w:t xml:space="preserve">Respecte dels </w:t>
      </w:r>
      <w:r w:rsidRPr="000C4A8D">
        <w:t>centres i unitats especials</w:t>
      </w:r>
      <w:r>
        <w:t>,</w:t>
      </w:r>
      <w:r w:rsidRPr="000C4A8D">
        <w:t xml:space="preserve"> hi haur</w:t>
      </w:r>
      <w:r>
        <w:t>à</w:t>
      </w:r>
      <w:r w:rsidRPr="000C4A8D">
        <w:t xml:space="preserve"> els òrgans de gestió i coordinació que determinin en cada mom</w:t>
      </w:r>
      <w:r>
        <w:t xml:space="preserve">ent els departaments competents, </w:t>
      </w:r>
      <w:r w:rsidRPr="000C4A8D">
        <w:t xml:space="preserve">i </w:t>
      </w:r>
      <w:r>
        <w:t xml:space="preserve">també </w:t>
      </w:r>
      <w:r w:rsidRPr="000C4A8D">
        <w:t>els equips multidisciplinaris necessaris per atendre les situacions personals i jurídiques de</w:t>
      </w:r>
      <w:r>
        <w:t xml:space="preserve"> les persones internes que hi estiguin residint. </w:t>
      </w:r>
    </w:p>
    <w:p w:rsidR="00E930B2" w:rsidRDefault="00E930B2" w:rsidP="00E930B2"/>
    <w:p w:rsidR="00E930B2" w:rsidRDefault="00E930B2" w:rsidP="0070401F">
      <w:pPr>
        <w:pStyle w:val="Ttol4"/>
      </w:pPr>
      <w:bookmarkStart w:id="385" w:name="_Toc464074789"/>
      <w:r w:rsidRPr="000C4A8D">
        <w:t>Òrgans unipersonals superiors dels centres penitenciaris</w:t>
      </w:r>
      <w:bookmarkEnd w:id="385"/>
    </w:p>
    <w:p w:rsidR="00E930B2" w:rsidRDefault="00E930B2" w:rsidP="00E930B2"/>
    <w:p w:rsidR="00E930B2" w:rsidRPr="00915A01" w:rsidRDefault="00E930B2" w:rsidP="00E930B2">
      <w:r>
        <w:t xml:space="preserve">La particularitat més remarcable introduïda en el ROFSEPC és la figura del gerent </w:t>
      </w:r>
      <w:r>
        <w:rPr>
          <w:rFonts w:cs="Arial"/>
        </w:rPr>
        <w:t>–</w:t>
      </w:r>
      <w:r>
        <w:t>que no està prevista al reglament de l’Estat</w:t>
      </w:r>
      <w:r>
        <w:rPr>
          <w:rFonts w:cs="Arial"/>
        </w:rPr>
        <w:t>–</w:t>
      </w:r>
      <w:r>
        <w:t xml:space="preserve">, la figura del subdirector d’interior </w:t>
      </w:r>
      <w:r>
        <w:rPr>
          <w:rFonts w:cs="Arial"/>
        </w:rPr>
        <w:t>–</w:t>
      </w:r>
      <w:r>
        <w:t>que assumeix funcions que al Reglament del 1996 s’atribuïen als subdirectors de règim i de seguretat</w:t>
      </w:r>
      <w:r>
        <w:rPr>
          <w:rFonts w:cs="Arial"/>
        </w:rPr>
        <w:t>–</w:t>
      </w:r>
      <w:r>
        <w:t xml:space="preserve">, i la figura del secretari tècnic jurídic. </w:t>
      </w:r>
    </w:p>
    <w:p w:rsidR="00E930B2" w:rsidRPr="00915A01" w:rsidRDefault="00E930B2" w:rsidP="00055E6C">
      <w:pPr>
        <w:pStyle w:val="Pargrafdellista"/>
        <w:numPr>
          <w:ilvl w:val="0"/>
          <w:numId w:val="28"/>
        </w:numPr>
      </w:pPr>
      <w:r w:rsidRPr="00915A01">
        <w:t>El director</w:t>
      </w:r>
    </w:p>
    <w:p w:rsidR="00E930B2" w:rsidRDefault="00E930B2" w:rsidP="00E930B2">
      <w:r w:rsidRPr="00FA4EA8">
        <w:t xml:space="preserve">El directora del centre penitenciari </w:t>
      </w:r>
      <w:r>
        <w:t>és</w:t>
      </w:r>
      <w:r w:rsidRPr="00FA4EA8">
        <w:t xml:space="preserve"> la màxima autoritat de l’establiment i t</w:t>
      </w:r>
      <w:r>
        <w:t>é</w:t>
      </w:r>
      <w:r w:rsidRPr="00FA4EA8">
        <w:t xml:space="preserve"> la representació del </w:t>
      </w:r>
      <w:r>
        <w:t>c</w:t>
      </w:r>
      <w:r w:rsidRPr="00FA4EA8">
        <w:t xml:space="preserve">entre </w:t>
      </w:r>
      <w:r>
        <w:t>d</w:t>
      </w:r>
      <w:r w:rsidRPr="00FA4EA8">
        <w:t>irectiu del departament competent en matèria d’e</w:t>
      </w:r>
      <w:r>
        <w:t>xecució penal i dels òrgans col·</w:t>
      </w:r>
      <w:r w:rsidRPr="00FA4EA8">
        <w:t>legiats del centre penitenciari</w:t>
      </w:r>
      <w:r>
        <w:t>. És</w:t>
      </w:r>
      <w:r w:rsidRPr="00FA4EA8">
        <w:t xml:space="preserve"> la persona obligada, en primer terme, a complir i fer complir les lleis, els reglaments i altres disposicions, especialment les que fan referència al servei.</w:t>
      </w:r>
    </w:p>
    <w:p w:rsidR="00E930B2" w:rsidRDefault="00E930B2" w:rsidP="00055E6C">
      <w:pPr>
        <w:pStyle w:val="Pargrafdellista"/>
        <w:numPr>
          <w:ilvl w:val="0"/>
          <w:numId w:val="23"/>
        </w:numPr>
      </w:pPr>
      <w:r w:rsidRPr="00FA4EA8">
        <w:t xml:space="preserve"> </w:t>
      </w:r>
      <w:r w:rsidRPr="008C2E91">
        <w:t>El gerent</w:t>
      </w:r>
      <w:r>
        <w:t xml:space="preserve"> </w:t>
      </w:r>
    </w:p>
    <w:p w:rsidR="00E930B2" w:rsidRDefault="00E930B2" w:rsidP="00E930B2">
      <w:r w:rsidRPr="00FA4EA8">
        <w:t>El gerent, amb rang de subdirector, dep</w:t>
      </w:r>
      <w:r>
        <w:t>èn</w:t>
      </w:r>
      <w:r w:rsidRPr="00FA4EA8">
        <w:t xml:space="preserve"> del director i </w:t>
      </w:r>
      <w:r>
        <w:t>és</w:t>
      </w:r>
      <w:r w:rsidRPr="00FA4EA8">
        <w:t xml:space="preserve"> la persona responsable de la gestió dels recursos humans, econòmics, materials i patrimonials assignats al centre penitenciari, així com del funcionament de l’àmbit administratiu i de serveis</w:t>
      </w:r>
      <w:r>
        <w:t>,</w:t>
      </w:r>
      <w:r w:rsidRPr="00FA4EA8">
        <w:t xml:space="preserve"> i especialment de la direcció de l’oficina de gestió unificada dels expedients dels interns.</w:t>
      </w:r>
    </w:p>
    <w:p w:rsidR="00E930B2" w:rsidRDefault="00E930B2" w:rsidP="00055E6C">
      <w:pPr>
        <w:pStyle w:val="Pargrafdellista"/>
        <w:numPr>
          <w:ilvl w:val="0"/>
          <w:numId w:val="23"/>
        </w:numPr>
      </w:pPr>
      <w:r w:rsidRPr="008C2E91">
        <w:t>El subdirector</w:t>
      </w:r>
      <w:r>
        <w:t xml:space="preserve"> </w:t>
      </w:r>
      <w:r w:rsidRPr="008C2E91">
        <w:t xml:space="preserve">de </w:t>
      </w:r>
      <w:r>
        <w:t>T</w:t>
      </w:r>
      <w:r w:rsidRPr="008C2E91">
        <w:t>ractament</w:t>
      </w:r>
    </w:p>
    <w:p w:rsidR="00E930B2" w:rsidRDefault="00E930B2" w:rsidP="00E930B2">
      <w:r w:rsidRPr="00FA4EA8">
        <w:lastRenderedPageBreak/>
        <w:t xml:space="preserve">El subdirector de </w:t>
      </w:r>
      <w:r>
        <w:t>T</w:t>
      </w:r>
      <w:r w:rsidRPr="00FA4EA8">
        <w:t>ractament dep</w:t>
      </w:r>
      <w:r>
        <w:t>èn</w:t>
      </w:r>
      <w:r w:rsidRPr="00FA4EA8">
        <w:t xml:space="preserve"> orgànicament del</w:t>
      </w:r>
      <w:r>
        <w:t xml:space="preserve"> </w:t>
      </w:r>
      <w:r w:rsidRPr="00FA4EA8">
        <w:t>directora del centre</w:t>
      </w:r>
      <w:r>
        <w:t>.</w:t>
      </w:r>
      <w:r w:rsidRPr="00FA4EA8">
        <w:t xml:space="preserve"> </w:t>
      </w:r>
      <w:r>
        <w:t>D</w:t>
      </w:r>
      <w:r w:rsidRPr="00FA4EA8">
        <w:t>irig</w:t>
      </w:r>
      <w:r>
        <w:t>eix</w:t>
      </w:r>
      <w:r w:rsidRPr="00FA4EA8">
        <w:t>, coordina i supervisa les actuacions que es du</w:t>
      </w:r>
      <w:r>
        <w:t>e</w:t>
      </w:r>
      <w:r w:rsidRPr="00FA4EA8">
        <w:t>n a terme</w:t>
      </w:r>
      <w:r>
        <w:t>,</w:t>
      </w:r>
      <w:r w:rsidRPr="00FA4EA8">
        <w:t xml:space="preserve"> tant a </w:t>
      </w:r>
      <w:r>
        <w:t>dins</w:t>
      </w:r>
      <w:r w:rsidRPr="00FA4EA8">
        <w:t xml:space="preserve"> com fora del centre penitenciari, encaminades a la consecució de la finalitat resocialitzadora de la pena privativa de llibertat i respon del bon funcionament dels serveis encomanats.</w:t>
      </w:r>
    </w:p>
    <w:p w:rsidR="00E930B2" w:rsidRDefault="00E930B2" w:rsidP="00055E6C">
      <w:pPr>
        <w:pStyle w:val="Pargrafdellista"/>
        <w:numPr>
          <w:ilvl w:val="0"/>
          <w:numId w:val="23"/>
        </w:numPr>
      </w:pPr>
      <w:r w:rsidRPr="008C2E91">
        <w:t>El subdirector d’</w:t>
      </w:r>
      <w:r>
        <w:t>I</w:t>
      </w:r>
      <w:r w:rsidRPr="008C2E91">
        <w:t>nterior</w:t>
      </w:r>
    </w:p>
    <w:p w:rsidR="00E930B2" w:rsidRDefault="00E930B2" w:rsidP="00E930B2">
      <w:r w:rsidRPr="00622E3C">
        <w:t>El subdirector d’</w:t>
      </w:r>
      <w:r>
        <w:t>I</w:t>
      </w:r>
      <w:r w:rsidRPr="00622E3C">
        <w:t>nterior dep</w:t>
      </w:r>
      <w:r>
        <w:t>èn</w:t>
      </w:r>
      <w:r w:rsidRPr="00622E3C">
        <w:t xml:space="preserve"> orgànicament del directora del centre</w:t>
      </w:r>
      <w:r>
        <w:t>.</w:t>
      </w:r>
      <w:r w:rsidRPr="00622E3C">
        <w:t xml:space="preserve"> </w:t>
      </w:r>
      <w:r>
        <w:t>D</w:t>
      </w:r>
      <w:r w:rsidRPr="00622E3C">
        <w:t>irig</w:t>
      </w:r>
      <w:r>
        <w:t>eix</w:t>
      </w:r>
      <w:r w:rsidRPr="00622E3C">
        <w:t>, coordina i supervisa les actuacions encaminades a garantir la seguretat interior dels establiments i la convivència ordenada i pacífica i respon del bon funcionament dels serveis encomanats.</w:t>
      </w:r>
    </w:p>
    <w:p w:rsidR="00E930B2" w:rsidRDefault="00E930B2" w:rsidP="00055E6C">
      <w:pPr>
        <w:pStyle w:val="Pargrafdellista"/>
        <w:numPr>
          <w:ilvl w:val="0"/>
          <w:numId w:val="23"/>
        </w:numPr>
      </w:pPr>
      <w:r>
        <w:t xml:space="preserve">El secretari tècnic jurídic </w:t>
      </w:r>
    </w:p>
    <w:p w:rsidR="00E930B2" w:rsidRPr="00622E3C" w:rsidRDefault="00E930B2" w:rsidP="00E930B2">
      <w:r w:rsidRPr="00622E3C">
        <w:t>El secretari tècnic jurídic, amb rang de subdirector, dep</w:t>
      </w:r>
      <w:r>
        <w:t>èn</w:t>
      </w:r>
      <w:r w:rsidRPr="00622E3C">
        <w:t xml:space="preserve"> orgànicament del director i </w:t>
      </w:r>
      <w:r>
        <w:t>és</w:t>
      </w:r>
      <w:r w:rsidRPr="00622E3C">
        <w:t xml:space="preserve"> la persona responsable de l’assessorament en matèria jurídica i regimental </w:t>
      </w:r>
      <w:r>
        <w:t>en els</w:t>
      </w:r>
      <w:r w:rsidRPr="00622E3C">
        <w:t xml:space="preserve"> òrgans unipersonals i col</w:t>
      </w:r>
      <w:r>
        <w:t>·</w:t>
      </w:r>
      <w:r w:rsidRPr="00622E3C">
        <w:t>legiats del centre penitenciari</w:t>
      </w:r>
      <w:r>
        <w:t>,</w:t>
      </w:r>
      <w:r w:rsidRPr="00622E3C">
        <w:t xml:space="preserve"> i en especial al consell de direcció</w:t>
      </w:r>
      <w:r>
        <w:t>,</w:t>
      </w:r>
      <w:r w:rsidRPr="00622E3C">
        <w:t xml:space="preserve"> del qual forma part</w:t>
      </w:r>
      <w:r>
        <w:t>.</w:t>
      </w:r>
      <w:r w:rsidRPr="00622E3C">
        <w:t xml:space="preserve"> </w:t>
      </w:r>
      <w:r>
        <w:t>A</w:t>
      </w:r>
      <w:r w:rsidRPr="00622E3C">
        <w:t>ctua com a</w:t>
      </w:r>
      <w:r>
        <w:t xml:space="preserve"> secretari dels òrgans col·</w:t>
      </w:r>
      <w:r w:rsidRPr="00622E3C">
        <w:t xml:space="preserve">legiats del centre donant fe dels acords i impulsant la coordinació entre els seus membres. També </w:t>
      </w:r>
      <w:r>
        <w:t>és</w:t>
      </w:r>
      <w:r w:rsidRPr="00622E3C">
        <w:t xml:space="preserve"> la persona responsable superior dels registres </w:t>
      </w:r>
      <w:r>
        <w:t xml:space="preserve">i </w:t>
      </w:r>
      <w:r w:rsidRPr="00622E3C">
        <w:t>els arxius i formula i edita la memòria anual d’activitats del centre penitenciari.</w:t>
      </w:r>
    </w:p>
    <w:p w:rsidR="00E930B2" w:rsidRDefault="00E930B2" w:rsidP="00E930B2">
      <w:r w:rsidRPr="003D7A6E">
        <w:t xml:space="preserve">Algunes d’aquestes figures, en la pràctica d’aquests </w:t>
      </w:r>
      <w:r>
        <w:t>10</w:t>
      </w:r>
      <w:r w:rsidRPr="003D7A6E">
        <w:t xml:space="preserve"> anys d’aplicació de la norma, s’han anat adaptant a les necessitats del funcionament dels centres, i probablement les seves funcions, tal com estaven concebudes </w:t>
      </w:r>
      <w:r>
        <w:t>al ROFSEPC,</w:t>
      </w:r>
      <w:r w:rsidRPr="00A42AA6">
        <w:t xml:space="preserve"> </w:t>
      </w:r>
      <w:r>
        <w:t>s’h</w:t>
      </w:r>
      <w:r w:rsidRPr="003D7A6E">
        <w:t xml:space="preserve">an desdibuixat. És per això que </w:t>
      </w:r>
      <w:r>
        <w:t>cal</w:t>
      </w:r>
      <w:r w:rsidRPr="003D7A6E">
        <w:t xml:space="preserve"> </w:t>
      </w:r>
      <w:r>
        <w:t xml:space="preserve">fer </w:t>
      </w:r>
      <w:r w:rsidRPr="003D7A6E">
        <w:t>una reflexió acurada</w:t>
      </w:r>
      <w:r>
        <w:t>,</w:t>
      </w:r>
      <w:r w:rsidRPr="003D7A6E">
        <w:t xml:space="preserve"> i </w:t>
      </w:r>
      <w:r>
        <w:t xml:space="preserve">és probable que s’hagi </w:t>
      </w:r>
      <w:r w:rsidRPr="003D7A6E">
        <w:t xml:space="preserve">de valorar </w:t>
      </w:r>
      <w:r>
        <w:t>l</w:t>
      </w:r>
      <w:r w:rsidRPr="003D7A6E">
        <w:t>a composició d’</w:t>
      </w:r>
      <w:r>
        <w:t xml:space="preserve">aquests òrgans </w:t>
      </w:r>
      <w:r w:rsidRPr="003D7A6E">
        <w:t>i</w:t>
      </w:r>
      <w:r>
        <w:t>,</w:t>
      </w:r>
      <w:r w:rsidRPr="003D7A6E">
        <w:t xml:space="preserve"> de ben segur</w:t>
      </w:r>
      <w:r>
        <w:t>,</w:t>
      </w:r>
      <w:r w:rsidRPr="003D7A6E">
        <w:t xml:space="preserve"> les funcions que tenen assignades.</w:t>
      </w:r>
      <w:r>
        <w:t xml:space="preserve"> </w:t>
      </w:r>
    </w:p>
    <w:p w:rsidR="00E930B2" w:rsidRDefault="00E930B2" w:rsidP="00E930B2"/>
    <w:p w:rsidR="00E930B2" w:rsidRDefault="00E930B2" w:rsidP="0070401F">
      <w:pPr>
        <w:pStyle w:val="Ttol4"/>
      </w:pPr>
      <w:bookmarkStart w:id="386" w:name="_Toc464074790"/>
      <w:r>
        <w:t>Òrgans col·legiats</w:t>
      </w:r>
      <w:bookmarkEnd w:id="386"/>
    </w:p>
    <w:p w:rsidR="00E930B2" w:rsidRDefault="00E930B2" w:rsidP="00E930B2"/>
    <w:p w:rsidR="00E930B2" w:rsidRDefault="00E930B2" w:rsidP="00E930B2">
      <w:r>
        <w:t xml:space="preserve">Els òrgans col·legiats dels centres penitenciaris de Catalunya es regulen per les normes del ROFSEPC; de manera supletòria, s’ha d’aplicar la normativa reguladora del procediment i règim jurídic de l’Administració de la Generalitat de Catalunya. Aquests òrgans són: </w:t>
      </w:r>
    </w:p>
    <w:p w:rsidR="00E930B2" w:rsidRDefault="00E930B2" w:rsidP="00055E6C">
      <w:pPr>
        <w:pStyle w:val="Pargrafdellista"/>
        <w:numPr>
          <w:ilvl w:val="0"/>
          <w:numId w:val="23"/>
        </w:numPr>
      </w:pPr>
      <w:r w:rsidRPr="00341758">
        <w:rPr>
          <w:i/>
        </w:rPr>
        <w:t xml:space="preserve">Consell de </w:t>
      </w:r>
      <w:r>
        <w:rPr>
          <w:i/>
        </w:rPr>
        <w:t>D</w:t>
      </w:r>
      <w:r w:rsidRPr="00341758">
        <w:rPr>
          <w:i/>
        </w:rPr>
        <w:t>irecció</w:t>
      </w:r>
    </w:p>
    <w:p w:rsidR="00E930B2" w:rsidRDefault="00E930B2" w:rsidP="00E930B2">
      <w:r>
        <w:t>P</w:t>
      </w:r>
      <w:r w:rsidRPr="00EC2436">
        <w:t xml:space="preserve">residit pel director del centre penitenciari i compost pel gerent, </w:t>
      </w:r>
      <w:r>
        <w:t>els</w:t>
      </w:r>
      <w:r w:rsidRPr="00EC2436">
        <w:t xml:space="preserve"> subdirectors </w:t>
      </w:r>
      <w:r>
        <w:t xml:space="preserve">i </w:t>
      </w:r>
      <w:r w:rsidRPr="00EC2436">
        <w:t>el secretari tècnic jurídic</w:t>
      </w:r>
      <w:r>
        <w:t>. S</w:t>
      </w:r>
      <w:r w:rsidRPr="00EC2436">
        <w:t xml:space="preserve">’han de convocar a les seves sessions els professionals que el president estimi oportú per raó dels assumptes a tractar. Igualment, el </w:t>
      </w:r>
      <w:r>
        <w:t>c</w:t>
      </w:r>
      <w:r w:rsidRPr="00EC2436">
        <w:t xml:space="preserve">entre </w:t>
      </w:r>
      <w:r>
        <w:t>di</w:t>
      </w:r>
      <w:r w:rsidRPr="00EC2436">
        <w:t xml:space="preserve">rectiu podrà nomenar com a assessors del </w:t>
      </w:r>
      <w:r>
        <w:t>C</w:t>
      </w:r>
      <w:r w:rsidRPr="00EC2436">
        <w:t xml:space="preserve">onsell </w:t>
      </w:r>
      <w:r>
        <w:t xml:space="preserve">de Direcció </w:t>
      </w:r>
      <w:r w:rsidRPr="00EC2436">
        <w:t xml:space="preserve">persones externes a la institució, que participaran en les reunions del </w:t>
      </w:r>
      <w:r>
        <w:t>c</w:t>
      </w:r>
      <w:r w:rsidRPr="00EC2436">
        <w:t>onsell amb veu i sense vot.</w:t>
      </w:r>
    </w:p>
    <w:p w:rsidR="00E930B2" w:rsidRPr="00341758" w:rsidRDefault="00E930B2" w:rsidP="00055E6C">
      <w:pPr>
        <w:pStyle w:val="Pargrafdellista"/>
        <w:numPr>
          <w:ilvl w:val="0"/>
          <w:numId w:val="23"/>
        </w:numPr>
      </w:pPr>
      <w:r w:rsidRPr="00341758">
        <w:rPr>
          <w:i/>
        </w:rPr>
        <w:t>Junta de Tractament</w:t>
      </w:r>
    </w:p>
    <w:p w:rsidR="00E930B2" w:rsidRDefault="00E930B2" w:rsidP="00E930B2">
      <w:r>
        <w:t xml:space="preserve">Presidida </w:t>
      </w:r>
      <w:r w:rsidRPr="00EC2436">
        <w:t>pel director</w:t>
      </w:r>
      <w:r>
        <w:t xml:space="preserve"> </w:t>
      </w:r>
      <w:r w:rsidRPr="00EC2436">
        <w:t>del centre penitenciari</w:t>
      </w:r>
      <w:r>
        <w:t>, s’hi integren tots els professionals que intervenen de manera directa en la vida dels interns, des dels responsables de programes i caps d’equips fins als professionals assignats a cadascuna de les unitats de vida i, per tant, amb relació directa amb la població reclusa. També es convoca el representant del CIRE en cada centre. El centre directiu pot nomenar assessors externs, que hi participaran amb veu però sense vot.</w:t>
      </w:r>
    </w:p>
    <w:p w:rsidR="00E930B2" w:rsidRDefault="00E930B2" w:rsidP="00E930B2">
      <w:r w:rsidRPr="00666B0A">
        <w:t xml:space="preserve">Els </w:t>
      </w:r>
      <w:r w:rsidRPr="00341758">
        <w:rPr>
          <w:i/>
        </w:rPr>
        <w:t>equips multidisciplinari</w:t>
      </w:r>
      <w:r>
        <w:rPr>
          <w:i/>
        </w:rPr>
        <w:t>s</w:t>
      </w:r>
      <w:r w:rsidRPr="00341758">
        <w:t xml:space="preserve"> s</w:t>
      </w:r>
      <w:r>
        <w:t>ó</w:t>
      </w:r>
      <w:r w:rsidRPr="00341758">
        <w:t>n les unitats d’estudi, proposta i execució amb que compta la Junta de Tractament. S</w:t>
      </w:r>
      <w:r>
        <w:t>ó</w:t>
      </w:r>
      <w:r w:rsidRPr="00341758">
        <w:t>n els encarregats d’emetre les propostes a la</w:t>
      </w:r>
      <w:r>
        <w:t xml:space="preserve"> vista de les quals l’òrgan col·</w:t>
      </w:r>
      <w:r w:rsidRPr="00341758">
        <w:t>legiat esmentat prendrà, amb caràcter general, els acords per a l’adopció de les mesures necessàries per executar els programes de tractament o els models</w:t>
      </w:r>
      <w:r>
        <w:t xml:space="preserve"> individualitzats d’intervenció</w:t>
      </w:r>
    </w:p>
    <w:p w:rsidR="00E930B2" w:rsidRDefault="00E930B2" w:rsidP="00055E6C">
      <w:pPr>
        <w:pStyle w:val="Pargrafdellista"/>
        <w:numPr>
          <w:ilvl w:val="0"/>
          <w:numId w:val="23"/>
        </w:numPr>
      </w:pPr>
      <w:r w:rsidRPr="00341758">
        <w:rPr>
          <w:i/>
        </w:rPr>
        <w:t>Comissió Disciplinària</w:t>
      </w:r>
    </w:p>
    <w:p w:rsidR="00E930B2" w:rsidRDefault="00E930B2" w:rsidP="00E930B2">
      <w:r>
        <w:lastRenderedPageBreak/>
        <w:t>Presidida pel director del centre penitenciari i composta pels membres següents: el subdirector d’Interior, el subdirector de Tractament, el secretari tècnic jurídic, un cap de serveis i un funcionari de la plantilla del centre penitenciari.</w:t>
      </w:r>
    </w:p>
    <w:p w:rsidR="00E930B2" w:rsidRDefault="00E930B2" w:rsidP="00E930B2"/>
    <w:p w:rsidR="00E930B2" w:rsidRDefault="00E930B2" w:rsidP="0070401F">
      <w:pPr>
        <w:pStyle w:val="Ttol3"/>
      </w:pPr>
      <w:bookmarkStart w:id="387" w:name="_Toc464074791"/>
      <w:bookmarkStart w:id="388" w:name="_Toc464685684"/>
      <w:bookmarkStart w:id="389" w:name="_Toc465293422"/>
      <w:r>
        <w:t>Regulació del funcionament del servei</w:t>
      </w:r>
      <w:bookmarkEnd w:id="387"/>
      <w:bookmarkEnd w:id="388"/>
      <w:bookmarkEnd w:id="389"/>
      <w:r>
        <w:t xml:space="preserve">  </w:t>
      </w:r>
    </w:p>
    <w:p w:rsidR="00E930B2" w:rsidRDefault="00E930B2" w:rsidP="00E930B2">
      <w:r>
        <w:t>L’organització i funcionament d’un centre penitenciari ve regulat per la llei i pels reglaments, que són de compliment obligatori, i pels procediments que desenvolupen la seva execució, altres normes internes que adapten les organitzacions a l’esperit de la norma, tenint en compte les seves especificitats. Com s’organitza la vida d’un centre penitenciari:</w:t>
      </w:r>
    </w:p>
    <w:p w:rsidR="00E930B2" w:rsidRPr="003416FE" w:rsidRDefault="00E930B2" w:rsidP="00055E6C">
      <w:pPr>
        <w:pStyle w:val="Pargrafdellista"/>
        <w:numPr>
          <w:ilvl w:val="0"/>
          <w:numId w:val="23"/>
        </w:numPr>
      </w:pPr>
      <w:r w:rsidRPr="003416FE">
        <w:t xml:space="preserve">El Consell de Direcció ha d’elaborar un </w:t>
      </w:r>
      <w:r w:rsidRPr="004542EA">
        <w:rPr>
          <w:b/>
          <w:i/>
        </w:rPr>
        <w:t xml:space="preserve">Manual d’organització del centre penitenciari </w:t>
      </w:r>
      <w:r w:rsidRPr="003416FE">
        <w:t xml:space="preserve">en què, tenint en compte les característiques pròpies del centre, s’han de recollir els aspectes específics relatius a l’organització i </w:t>
      </w:r>
      <w:r>
        <w:t>el</w:t>
      </w:r>
      <w:r w:rsidRPr="003416FE">
        <w:t xml:space="preserve"> funcionament dels diferents serveis del centre. Aquest manual d’organització i les seves modificacions posteriors han de ser aprovats pel centre directiu mitjançant </w:t>
      </w:r>
      <w:r>
        <w:t xml:space="preserve">una </w:t>
      </w:r>
      <w:r w:rsidRPr="003416FE">
        <w:t>resolució expressa, que tindrà rang d’instrucció.</w:t>
      </w:r>
    </w:p>
    <w:p w:rsidR="00E930B2" w:rsidRPr="003416FE" w:rsidRDefault="00E930B2" w:rsidP="00E930B2">
      <w:pPr>
        <w:ind w:left="360"/>
      </w:pPr>
      <w:r w:rsidRPr="003416FE">
        <w:t xml:space="preserve">El manual d’organització ha d’establir les funcions concretes i específiques, les tasques i les responsabilitats bàsiques inherents al sistema </w:t>
      </w:r>
      <w:r>
        <w:t xml:space="preserve">de </w:t>
      </w:r>
      <w:r w:rsidRPr="003416FE">
        <w:t>prestacion</w:t>
      </w:r>
      <w:r>
        <w:t>s</w:t>
      </w:r>
      <w:r w:rsidRPr="003416FE">
        <w:t xml:space="preserve"> </w:t>
      </w:r>
      <w:r>
        <w:t>propi de cada unitat de servei.</w:t>
      </w:r>
    </w:p>
    <w:p w:rsidR="00E930B2" w:rsidRPr="003D7A6E" w:rsidRDefault="00E930B2" w:rsidP="00E930B2">
      <w:pPr>
        <w:ind w:left="360"/>
      </w:pPr>
      <w:r w:rsidRPr="003416FE">
        <w:t xml:space="preserve">El manual d’organització, que ha de tenir publicitat suficient entre la plantilla del centre penitenciari, </w:t>
      </w:r>
      <w:r>
        <w:t>s’h</w:t>
      </w:r>
      <w:r w:rsidRPr="003416FE">
        <w:t>a de revisa</w:t>
      </w:r>
      <w:r>
        <w:t>r</w:t>
      </w:r>
      <w:r w:rsidRPr="003416FE">
        <w:t xml:space="preserve"> anualment i po</w:t>
      </w:r>
      <w:r>
        <w:t>t</w:t>
      </w:r>
      <w:r w:rsidRPr="003416FE">
        <w:t xml:space="preserve"> ser modificat provisionalment </w:t>
      </w:r>
      <w:r w:rsidRPr="003D7A6E">
        <w:t xml:space="preserve">pel director del centre quan les necessitats del servei ho exigeixin. </w:t>
      </w:r>
    </w:p>
    <w:p w:rsidR="00E930B2" w:rsidRPr="003D7A6E" w:rsidRDefault="00E930B2" w:rsidP="00E930B2">
      <w:pPr>
        <w:ind w:left="360"/>
      </w:pPr>
      <w:r w:rsidRPr="003D7A6E">
        <w:t xml:space="preserve">Aquestes directrius que regula el </w:t>
      </w:r>
      <w:r>
        <w:t>ROFSEPC</w:t>
      </w:r>
      <w:r w:rsidRPr="003D7A6E">
        <w:t xml:space="preserve"> no </w:t>
      </w:r>
      <w:r>
        <w:t>inclouen</w:t>
      </w:r>
      <w:r w:rsidRPr="003D7A6E">
        <w:t xml:space="preserve"> un model estandarditzat de treball i</w:t>
      </w:r>
      <w:r>
        <w:t>,</w:t>
      </w:r>
      <w:r w:rsidRPr="003D7A6E">
        <w:t xml:space="preserve"> per tant</w:t>
      </w:r>
      <w:r>
        <w:t>,</w:t>
      </w:r>
      <w:r w:rsidRPr="003D7A6E">
        <w:t xml:space="preserve"> un dels reptes de l’organització és aconseguir que des </w:t>
      </w:r>
      <w:r>
        <w:t>d</w:t>
      </w:r>
      <w:r w:rsidRPr="003D7A6E">
        <w:t>el projecte d’innovació i modernització de l’</w:t>
      </w:r>
      <w:r>
        <w:t>e</w:t>
      </w:r>
      <w:r w:rsidRPr="003D7A6E">
        <w:t>xecució penal es treballin aquests manuals amb conceptes de qualitat i seguint el mapa de processos que es consensuï per a tots els centres penitenciaris</w:t>
      </w:r>
      <w:r>
        <w:t>.</w:t>
      </w:r>
    </w:p>
    <w:p w:rsidR="00E930B2" w:rsidRPr="003D7A6E" w:rsidRDefault="00E930B2" w:rsidP="00055E6C">
      <w:pPr>
        <w:pStyle w:val="Pargrafdellista"/>
        <w:numPr>
          <w:ilvl w:val="0"/>
          <w:numId w:val="23"/>
        </w:numPr>
      </w:pPr>
      <w:r w:rsidRPr="003D7A6E">
        <w:t xml:space="preserve">A cada centre penitenciari hi ha un </w:t>
      </w:r>
      <w:r w:rsidRPr="003D7A6E">
        <w:rPr>
          <w:b/>
          <w:i/>
        </w:rPr>
        <w:t>llibre de serveis</w:t>
      </w:r>
      <w:r w:rsidRPr="003D7A6E">
        <w:t xml:space="preserve"> en què s’han de recollir de manera precisa tots els serveis de l’establiment i els funcionaris als quals s’assign</w:t>
      </w:r>
      <w:r>
        <w:t>e</w:t>
      </w:r>
      <w:r w:rsidRPr="003D7A6E">
        <w:t xml:space="preserve">n, amb l’expressió del número d’identificació del funcionari, el servei que li correspongui i l’horari; s’hi anotaran totes les modificacions que s’esdevinguin en el transcurs del dia en relació amb la reassignació dels serveis. </w:t>
      </w:r>
    </w:p>
    <w:p w:rsidR="00E930B2" w:rsidRPr="003D7A6E" w:rsidRDefault="00E930B2" w:rsidP="00E930B2">
      <w:r w:rsidRPr="003D7A6E">
        <w:t>El llibre de serveis és la directriu que fixa l’assignació del lloc de cadascuna de les persones de l’organització, i qualsevol canvi o incidència que s</w:t>
      </w:r>
      <w:r>
        <w:t>’hi</w:t>
      </w:r>
      <w:r w:rsidRPr="003D7A6E">
        <w:t xml:space="preserve"> produ</w:t>
      </w:r>
      <w:r>
        <w:t>eixi</w:t>
      </w:r>
      <w:r w:rsidRPr="003D7A6E">
        <w:t xml:space="preserve"> ha de ser comunicada i autoritzada. </w:t>
      </w:r>
    </w:p>
    <w:p w:rsidR="00E930B2" w:rsidRDefault="00E930B2" w:rsidP="00E930B2">
      <w:pPr>
        <w:spacing w:before="0"/>
      </w:pPr>
      <w:r w:rsidRPr="003D7A6E">
        <w:t xml:space="preserve">Un dels problemes que en aquest moment es planteja, i que s’explica en el bloc de recursos humans, és la dificultat que comporta l’organització de serveis per la multiplicitat d’horaris del personal, la rotació i els canvis que es produeixen </w:t>
      </w:r>
      <w:r>
        <w:t>a causa de</w:t>
      </w:r>
      <w:r w:rsidRPr="003D7A6E">
        <w:t xml:space="preserve"> la dificultat </w:t>
      </w:r>
      <w:r>
        <w:t>per</w:t>
      </w:r>
      <w:r w:rsidRPr="003D7A6E">
        <w:t xml:space="preserve"> cobri</w:t>
      </w:r>
      <w:r>
        <w:t>r</w:t>
      </w:r>
      <w:r w:rsidRPr="003D7A6E">
        <w:t xml:space="preserve"> de baixes i vacants. Tot això genera la dificultat afegida del control i </w:t>
      </w:r>
      <w:r>
        <w:t>l’</w:t>
      </w:r>
      <w:r w:rsidRPr="003D7A6E">
        <w:t>anàlisi posterior</w:t>
      </w:r>
      <w:r>
        <w:t>s</w:t>
      </w:r>
      <w:r w:rsidRPr="003D7A6E">
        <w:t xml:space="preserve">, </w:t>
      </w:r>
      <w:r>
        <w:t>per</w:t>
      </w:r>
      <w:r w:rsidRPr="003D7A6E">
        <w:t xml:space="preserve"> la dificultat d’automatització de tants moviments.</w:t>
      </w:r>
      <w:r>
        <w:t xml:space="preserve"> </w:t>
      </w:r>
    </w:p>
    <w:p w:rsidR="00E930B2" w:rsidRDefault="00E930B2" w:rsidP="00E930B2">
      <w:pPr>
        <w:spacing w:before="0"/>
        <w:rPr>
          <w:rFonts w:eastAsiaTheme="majorEastAsia" w:cstheme="majorBidi"/>
          <w:b/>
          <w:color w:val="1F497D" w:themeColor="text2"/>
          <w:sz w:val="24"/>
          <w:szCs w:val="26"/>
        </w:rPr>
      </w:pPr>
    </w:p>
    <w:p w:rsidR="00E930B2" w:rsidRPr="008707B9" w:rsidRDefault="00E930B2" w:rsidP="0070401F">
      <w:pPr>
        <w:pStyle w:val="Ttol3"/>
      </w:pPr>
      <w:bookmarkStart w:id="390" w:name="_Toc464074792"/>
      <w:bookmarkStart w:id="391" w:name="_Toc464685685"/>
      <w:bookmarkStart w:id="392" w:name="_Toc465293423"/>
      <w:r w:rsidRPr="008707B9">
        <w:t>Organització dels serveis</w:t>
      </w:r>
      <w:bookmarkEnd w:id="390"/>
      <w:bookmarkEnd w:id="391"/>
      <w:bookmarkEnd w:id="392"/>
      <w:r w:rsidRPr="008707B9">
        <w:t xml:space="preserve"> </w:t>
      </w:r>
    </w:p>
    <w:p w:rsidR="00E930B2" w:rsidRPr="003F7D79" w:rsidRDefault="00E930B2" w:rsidP="00E930B2">
      <w:pPr>
        <w:spacing w:before="0" w:after="0" w:line="276" w:lineRule="auto"/>
      </w:pPr>
      <w:r w:rsidRPr="003F7D79">
        <w:t xml:space="preserve">D’acord amb l’organització de cada equipament penitenciari, </w:t>
      </w:r>
      <w:r>
        <w:t>els àmbits d’actuació en què es classifica i s’assigna el personal que presta servei en un centre penitenciari són</w:t>
      </w:r>
      <w:r w:rsidRPr="003F7D79">
        <w:t xml:space="preserve"> l’administratiu, el de rehabilitació i el de règim interior.</w:t>
      </w:r>
      <w:r>
        <w:t xml:space="preserve"> La relació de llocs de treball consta especificada al bloc de recursos humans i, per tant, no es tracta en aquest apartat. </w:t>
      </w:r>
    </w:p>
    <w:p w:rsidR="00E930B2" w:rsidRPr="00903E81" w:rsidRDefault="00E930B2" w:rsidP="0070401F">
      <w:pPr>
        <w:pStyle w:val="Ttol4"/>
      </w:pPr>
      <w:bookmarkStart w:id="393" w:name="_Toc464074793"/>
      <w:r w:rsidRPr="00903E81">
        <w:lastRenderedPageBreak/>
        <w:t>Àmbit administratiu</w:t>
      </w:r>
      <w:bookmarkEnd w:id="393"/>
    </w:p>
    <w:p w:rsidR="00E930B2" w:rsidRPr="008707B9" w:rsidRDefault="00E930B2" w:rsidP="00E930B2">
      <w:r w:rsidRPr="003F7D79">
        <w:t>Corresponen al personal de l’àmbit administratiu, que actua sota la dependència del directora, del gerent o dels subdirectors o càrrecs assimilats, segons correspongui, les tasques burocràtiques de col·laboració, de suport, preparatòries o derivades de la gestió administrativa dels expedients i procediments administratius dels centres penitenciaris; la comprovació, control i custòdia de la documentació</w:t>
      </w:r>
      <w:r>
        <w:t>,</w:t>
      </w:r>
      <w:r w:rsidRPr="003F7D79">
        <w:t xml:space="preserve"> la preparació de la redacció dels documents, les tasques repetitives manuals, mecanogràfiques o de càlcul numèric relacion</w:t>
      </w:r>
      <w:r>
        <w:t>ad</w:t>
      </w:r>
      <w:r w:rsidRPr="003F7D79">
        <w:t>es amb el treball de la resta dels serveis del centre penitenciari; les tasques d’informació i de despatx al públic en matèria administrativa i, en general, tasques similars a les esmentades</w:t>
      </w:r>
      <w:r>
        <w:t>. Les u</w:t>
      </w:r>
      <w:r w:rsidRPr="008707B9">
        <w:t>nitats de gestió administrativa</w:t>
      </w:r>
      <w:r>
        <w:t xml:space="preserve">, que estan sota la direcció del gerent i que tenen un responsable de la unitat i personal assignat en funció del tipus de centre i la capacitat de població, són: </w:t>
      </w:r>
    </w:p>
    <w:p w:rsidR="00E930B2" w:rsidRDefault="00E930B2" w:rsidP="00055E6C">
      <w:pPr>
        <w:pStyle w:val="Pargrafdellista"/>
        <w:numPr>
          <w:ilvl w:val="0"/>
          <w:numId w:val="23"/>
        </w:numPr>
      </w:pPr>
      <w:r>
        <w:t>L</w:t>
      </w:r>
      <w:r w:rsidRPr="008707B9">
        <w:t>a unitat de gestió penitenciària</w:t>
      </w:r>
    </w:p>
    <w:p w:rsidR="00E930B2" w:rsidRDefault="00E930B2" w:rsidP="00055E6C">
      <w:pPr>
        <w:pStyle w:val="Pargrafdellista"/>
        <w:numPr>
          <w:ilvl w:val="0"/>
          <w:numId w:val="23"/>
        </w:numPr>
      </w:pPr>
      <w:r>
        <w:t>L</w:t>
      </w:r>
      <w:r w:rsidRPr="008707B9">
        <w:t>a unitat de recursos humans</w:t>
      </w:r>
    </w:p>
    <w:p w:rsidR="00E930B2" w:rsidRDefault="00E930B2" w:rsidP="00055E6C">
      <w:pPr>
        <w:pStyle w:val="Pargrafdellista"/>
        <w:numPr>
          <w:ilvl w:val="0"/>
          <w:numId w:val="23"/>
        </w:numPr>
      </w:pPr>
      <w:r>
        <w:t>L</w:t>
      </w:r>
      <w:r w:rsidRPr="008707B9">
        <w:t>a unitat de gestió econòmica</w:t>
      </w:r>
    </w:p>
    <w:p w:rsidR="00E930B2" w:rsidRDefault="00E930B2" w:rsidP="00E930B2">
      <w:r w:rsidRPr="000D1F12">
        <w:t xml:space="preserve">També s’adscriuen a aquest àmbit, depenent del </w:t>
      </w:r>
      <w:r>
        <w:t>g</w:t>
      </w:r>
      <w:r w:rsidRPr="000D1F12">
        <w:t>e</w:t>
      </w:r>
      <w:r>
        <w:t>rent, els responsables d’instal·</w:t>
      </w:r>
      <w:r w:rsidRPr="000D1F12">
        <w:t xml:space="preserve">lacions i </w:t>
      </w:r>
      <w:r>
        <w:t>e</w:t>
      </w:r>
      <w:r w:rsidRPr="000D1F12">
        <w:t xml:space="preserve">quips </w:t>
      </w:r>
      <w:r>
        <w:t>t</w:t>
      </w:r>
      <w:r w:rsidRPr="000D1F12">
        <w:t xml:space="preserve">ècnics (RIET), els </w:t>
      </w:r>
      <w:r>
        <w:t>e</w:t>
      </w:r>
      <w:r w:rsidRPr="000D1F12">
        <w:t>specialistes d’</w:t>
      </w:r>
      <w:r>
        <w:t>i</w:t>
      </w:r>
      <w:r w:rsidRPr="000D1F12">
        <w:t>nstal</w:t>
      </w:r>
      <w:r>
        <w:t>·</w:t>
      </w:r>
      <w:r w:rsidRPr="000D1F12">
        <w:t xml:space="preserve">lacions i </w:t>
      </w:r>
      <w:r>
        <w:t>e</w:t>
      </w:r>
      <w:r w:rsidRPr="000D1F12">
        <w:t xml:space="preserve">quips </w:t>
      </w:r>
      <w:r>
        <w:t>tè</w:t>
      </w:r>
      <w:r w:rsidRPr="000D1F12">
        <w:t xml:space="preserve">cnics (EIET), els </w:t>
      </w:r>
      <w:r>
        <w:t>tè</w:t>
      </w:r>
      <w:r w:rsidRPr="000D1F12">
        <w:t xml:space="preserve">cnics de </w:t>
      </w:r>
      <w:r>
        <w:t>p</w:t>
      </w:r>
      <w:r w:rsidRPr="000D1F12">
        <w:t xml:space="preserve">revenció i </w:t>
      </w:r>
      <w:r>
        <w:t>s</w:t>
      </w:r>
      <w:r w:rsidRPr="000D1F12">
        <w:t xml:space="preserve">alut </w:t>
      </w:r>
      <w:r>
        <w:t>l</w:t>
      </w:r>
      <w:r w:rsidRPr="000D1F12">
        <w:t xml:space="preserve">aboral i els </w:t>
      </w:r>
      <w:r>
        <w:t>t</w:t>
      </w:r>
      <w:r w:rsidRPr="000D1F12">
        <w:t xml:space="preserve">itulats </w:t>
      </w:r>
      <w:r>
        <w:t>d’en</w:t>
      </w:r>
      <w:r w:rsidRPr="000D1F12">
        <w:t>ginyer</w:t>
      </w:r>
      <w:r>
        <w:t>i</w:t>
      </w:r>
      <w:r w:rsidRPr="000D1F12">
        <w:t xml:space="preserve">a </w:t>
      </w:r>
      <w:r>
        <w:t>i</w:t>
      </w:r>
      <w:r w:rsidRPr="000D1F12">
        <w:t>ndustrial.</w:t>
      </w:r>
    </w:p>
    <w:p w:rsidR="00E930B2" w:rsidRPr="008707B9" w:rsidRDefault="00E930B2" w:rsidP="0070401F">
      <w:pPr>
        <w:pStyle w:val="Ttol4"/>
      </w:pPr>
      <w:bookmarkStart w:id="394" w:name="_Toc464074794"/>
      <w:r w:rsidRPr="008707B9">
        <w:t>Àmbit de rehabilitació</w:t>
      </w:r>
      <w:bookmarkEnd w:id="394"/>
      <w:r w:rsidRPr="008707B9">
        <w:t xml:space="preserve"> </w:t>
      </w:r>
    </w:p>
    <w:p w:rsidR="00E930B2" w:rsidRDefault="00E930B2" w:rsidP="00E930B2">
      <w:r w:rsidRPr="008707B9">
        <w:t xml:space="preserve">El personal de l’àmbit de rehabilitació és el responsable d’individualitzar l’execució de les penes i mesures penals que s’imposin a les circumstàncies i </w:t>
      </w:r>
      <w:r>
        <w:t>l’</w:t>
      </w:r>
      <w:r w:rsidRPr="008707B9">
        <w:t xml:space="preserve">evolució personal de cada intern amb la finalitat primordial d’assolir la seva reeducació i reinserció social. Ha de dur a terme la seva feina de manera coordinada i amb una orientació interdisciplinària. </w:t>
      </w:r>
      <w:r>
        <w:t xml:space="preserve">Les figures responsables d’aquesta aplicació, que estan sota les directrius del subdirector de Tractament, són: </w:t>
      </w:r>
    </w:p>
    <w:p w:rsidR="00E930B2" w:rsidRDefault="00E930B2" w:rsidP="00055E6C">
      <w:pPr>
        <w:pStyle w:val="Pargrafdellista"/>
        <w:numPr>
          <w:ilvl w:val="0"/>
          <w:numId w:val="24"/>
        </w:numPr>
      </w:pPr>
      <w:r>
        <w:t>C</w:t>
      </w:r>
      <w:r w:rsidRPr="008707B9">
        <w:t>oordinador dels equips multidisciplinaris</w:t>
      </w:r>
    </w:p>
    <w:p w:rsidR="00E930B2" w:rsidRDefault="00E930B2" w:rsidP="00055E6C">
      <w:pPr>
        <w:pStyle w:val="Pargrafdellista"/>
        <w:numPr>
          <w:ilvl w:val="0"/>
          <w:numId w:val="24"/>
        </w:numPr>
      </w:pPr>
      <w:r w:rsidRPr="008707B9">
        <w:t>Cap de programes d’atenció especialitzada</w:t>
      </w:r>
    </w:p>
    <w:p w:rsidR="00E930B2" w:rsidRDefault="00E930B2" w:rsidP="00055E6C">
      <w:pPr>
        <w:pStyle w:val="Pargrafdellista"/>
        <w:numPr>
          <w:ilvl w:val="0"/>
          <w:numId w:val="24"/>
        </w:numPr>
      </w:pPr>
      <w:r w:rsidRPr="008707B9">
        <w:t>Cap de programes d’educació social</w:t>
      </w:r>
    </w:p>
    <w:p w:rsidR="00E930B2" w:rsidRPr="002830EE" w:rsidRDefault="00E930B2" w:rsidP="00055E6C">
      <w:pPr>
        <w:pStyle w:val="Pargrafdellista"/>
        <w:numPr>
          <w:ilvl w:val="0"/>
          <w:numId w:val="24"/>
        </w:numPr>
      </w:pPr>
      <w:r w:rsidRPr="002830EE">
        <w:t>Cap de programes de treball social</w:t>
      </w:r>
    </w:p>
    <w:p w:rsidR="00E930B2" w:rsidRPr="002830EE" w:rsidRDefault="00E930B2" w:rsidP="0070401F">
      <w:pPr>
        <w:pStyle w:val="Ttol4"/>
      </w:pPr>
      <w:bookmarkStart w:id="395" w:name="_Toc464074795"/>
      <w:r w:rsidRPr="002830EE">
        <w:t>Àmbit de règim interior</w:t>
      </w:r>
      <w:bookmarkEnd w:id="395"/>
      <w:r w:rsidRPr="002830EE">
        <w:t xml:space="preserve"> </w:t>
      </w:r>
    </w:p>
    <w:p w:rsidR="00E930B2" w:rsidRDefault="00E930B2" w:rsidP="00E930B2">
      <w:r w:rsidRPr="002830EE">
        <w:t>El personal dels cossos del grup de serveis penitenciaris que desenvolup</w:t>
      </w:r>
      <w:r>
        <w:t>a</w:t>
      </w:r>
      <w:r w:rsidRPr="002830EE">
        <w:t xml:space="preserve"> serveis </w:t>
      </w:r>
      <w:r>
        <w:t>en</w:t>
      </w:r>
      <w:r w:rsidRPr="002830EE">
        <w:t xml:space="preserve"> l’àmbit de règim interior del centre penitenciari, sens perjudici de la seva participació necessària en la gènesi i el desenvolupament dels models d’intervenció i dels programes de tractament, és l’encarregat de garantir la seguretat, el bon ordre i la convivència ordenada del centre penitenciari, així com de dur a terme les actuacions que calgui per assegurar que es presten els serveis penitenciaris necessaris per garantir els drets de les persones internades a les institucions penitenciàries i per exigir-los les seves obligacions, d’acord amb el que disposa la legislació penitenciària. </w:t>
      </w:r>
      <w:r>
        <w:t>Les figures responsables del treball i funcionament d’aquest àmbit, sota la supervisió directa del subdirector d’Interior són:</w:t>
      </w:r>
    </w:p>
    <w:p w:rsidR="00E930B2" w:rsidRDefault="00E930B2" w:rsidP="00055E6C">
      <w:pPr>
        <w:pStyle w:val="Pargrafdellista"/>
        <w:numPr>
          <w:ilvl w:val="0"/>
          <w:numId w:val="25"/>
        </w:numPr>
      </w:pPr>
      <w:r w:rsidRPr="002830EE">
        <w:t xml:space="preserve">El cap de serveis </w:t>
      </w:r>
    </w:p>
    <w:p w:rsidR="00E930B2" w:rsidRDefault="00E930B2" w:rsidP="00055E6C">
      <w:pPr>
        <w:pStyle w:val="Pargrafdellista"/>
        <w:numPr>
          <w:ilvl w:val="0"/>
          <w:numId w:val="25"/>
        </w:numPr>
      </w:pPr>
      <w:r w:rsidRPr="002830EE">
        <w:t>El cap d’unitat</w:t>
      </w:r>
    </w:p>
    <w:p w:rsidR="00E930B2" w:rsidRDefault="00E930B2" w:rsidP="00055E6C">
      <w:pPr>
        <w:pStyle w:val="Pargrafdellista"/>
        <w:numPr>
          <w:ilvl w:val="0"/>
          <w:numId w:val="25"/>
        </w:numPr>
      </w:pPr>
      <w:r w:rsidRPr="002830EE">
        <w:t xml:space="preserve">El cap d’àrea funcional </w:t>
      </w:r>
    </w:p>
    <w:p w:rsidR="00E930B2" w:rsidRPr="002830EE" w:rsidRDefault="00E930B2" w:rsidP="00E930B2">
      <w:pPr>
        <w:pStyle w:val="Pargrafdellista"/>
        <w:ind w:left="720"/>
      </w:pPr>
    </w:p>
    <w:p w:rsidR="00E930B2" w:rsidRPr="002830EE" w:rsidRDefault="00E930B2" w:rsidP="0070401F">
      <w:pPr>
        <w:pStyle w:val="Ttol4"/>
      </w:pPr>
      <w:bookmarkStart w:id="396" w:name="_Toc464074796"/>
      <w:r w:rsidRPr="002830EE">
        <w:t xml:space="preserve">Unitats </w:t>
      </w:r>
      <w:r>
        <w:t>e</w:t>
      </w:r>
      <w:r w:rsidRPr="002830EE">
        <w:t>specialitzades</w:t>
      </w:r>
      <w:bookmarkEnd w:id="396"/>
      <w:r w:rsidRPr="002830EE">
        <w:t xml:space="preserve"> </w:t>
      </w:r>
    </w:p>
    <w:p w:rsidR="00E930B2" w:rsidRPr="00DE5A7D" w:rsidRDefault="00E930B2" w:rsidP="00E930B2">
      <w:r w:rsidRPr="002830EE">
        <w:t xml:space="preserve">En </w:t>
      </w:r>
      <w:r>
        <w:t>l</w:t>
      </w:r>
      <w:r w:rsidRPr="002830EE">
        <w:t>es unitats en qu</w:t>
      </w:r>
      <w:r>
        <w:t>è</w:t>
      </w:r>
      <w:r w:rsidRPr="002830EE">
        <w:t xml:space="preserve"> es desenvolupin formes especials d’execució o tractaments especialitzats en psiquiatria </w:t>
      </w:r>
      <w:r>
        <w:t>o</w:t>
      </w:r>
      <w:r w:rsidRPr="002830EE">
        <w:t xml:space="preserve"> drogodependències, o en les unitats de règim obert o tancat que per les seves característiques i prestacions es consideri oportú, les funcions de </w:t>
      </w:r>
      <w:r w:rsidRPr="002830EE">
        <w:lastRenderedPageBreak/>
        <w:t>coordinació de la gestió dels expedients dels interns, de les prestacions especialitzades i de les de règim interior pod</w:t>
      </w:r>
      <w:r>
        <w:t>e</w:t>
      </w:r>
      <w:r w:rsidRPr="002830EE">
        <w:t xml:space="preserve">n ser encomanades a un coordinador d’unitat especialitzada, en funció d’allò que es determini </w:t>
      </w:r>
      <w:r>
        <w:t>en</w:t>
      </w:r>
      <w:r w:rsidRPr="002830EE">
        <w:t xml:space="preserve"> les relacions de llocs de treball, </w:t>
      </w:r>
      <w:r>
        <w:t>el qual</w:t>
      </w:r>
      <w:r w:rsidRPr="002830EE">
        <w:t xml:space="preserve"> dependrà funcionalment del</w:t>
      </w:r>
      <w:r>
        <w:t xml:space="preserve"> </w:t>
      </w:r>
      <w:r w:rsidRPr="002830EE">
        <w:t xml:space="preserve">director i dels subdirectors d’Interior i </w:t>
      </w:r>
      <w:r>
        <w:t xml:space="preserve">de </w:t>
      </w:r>
      <w:r w:rsidRPr="002830EE">
        <w:t xml:space="preserve">Tractament. </w:t>
      </w:r>
      <w:r>
        <w:t>Aquesta figura responsable és el coordinador de la unitat especialitzada.</w:t>
      </w:r>
    </w:p>
    <w:p w:rsidR="00E930B2" w:rsidRDefault="00E930B2" w:rsidP="0070401F">
      <w:pPr>
        <w:pStyle w:val="Ttol2"/>
      </w:pPr>
      <w:bookmarkStart w:id="397" w:name="_Toc464074797"/>
      <w:bookmarkStart w:id="398" w:name="_Toc464685686"/>
      <w:bookmarkStart w:id="399" w:name="_Toc465293424"/>
      <w:r>
        <w:t>Òrgans consultius</w:t>
      </w:r>
      <w:bookmarkEnd w:id="397"/>
      <w:bookmarkEnd w:id="398"/>
      <w:bookmarkEnd w:id="399"/>
      <w:r>
        <w:t xml:space="preserve"> </w:t>
      </w:r>
    </w:p>
    <w:p w:rsidR="00E930B2" w:rsidRPr="00ED6541" w:rsidRDefault="00E930B2" w:rsidP="00E930B2">
      <w:r>
        <w:t>En aquest apartat el ROFSEPC fa un desenvolupament de vies de participació social i ciutadana.</w:t>
      </w:r>
    </w:p>
    <w:p w:rsidR="00E930B2" w:rsidRDefault="00E930B2" w:rsidP="0070401F">
      <w:pPr>
        <w:pStyle w:val="Ttol3"/>
      </w:pPr>
      <w:bookmarkStart w:id="400" w:name="_Toc464074798"/>
      <w:bookmarkStart w:id="401" w:name="_Toc464685687"/>
      <w:bookmarkStart w:id="402" w:name="_Toc465293425"/>
      <w:r>
        <w:t>La participació social</w:t>
      </w:r>
      <w:bookmarkEnd w:id="400"/>
      <w:bookmarkEnd w:id="401"/>
      <w:bookmarkEnd w:id="402"/>
    </w:p>
    <w:p w:rsidR="00E930B2" w:rsidRDefault="00E930B2" w:rsidP="00E930B2">
      <w:r>
        <w:t xml:space="preserve">Per aconseguir la finalitat resocialitzadora encomanada al departament competent en matèria d’execució penal, es preveu la participació ciutadana, en tant que dret fonamental de la ciutadania. </w:t>
      </w:r>
    </w:p>
    <w:p w:rsidR="00E930B2" w:rsidRDefault="00E930B2" w:rsidP="00E930B2">
      <w:r>
        <w:t>Per tal de coordinar aquesta participació, la Taula de Participació Social en l’àmbit penal i penitenciari, actuarà com a òrgan consultiu i de relació amb les entitats col·laboradores i de voluntariat que treballen en els processos de reinserció social a Catalunya.</w:t>
      </w:r>
    </w:p>
    <w:p w:rsidR="00E930B2" w:rsidRPr="00FF2D91" w:rsidRDefault="00E930B2" w:rsidP="00E930B2">
      <w:pPr>
        <w:rPr>
          <w:i/>
        </w:rPr>
      </w:pPr>
      <w:r>
        <w:t>Per ordre del conseller de Justícia es determinarà la composició i les funcions de la Taula de Participació Social en l’àmbit penal i penitenciari [m</w:t>
      </w:r>
      <w:r w:rsidRPr="00FF2D91">
        <w:t>itjançant l’Ordre</w:t>
      </w:r>
      <w:r w:rsidRPr="00FF2D91">
        <w:rPr>
          <w:i/>
        </w:rPr>
        <w:t xml:space="preserve"> JUS/370/2009, </w:t>
      </w:r>
      <w:r w:rsidRPr="00FF2D91">
        <w:t>de 23 de juliol, es va establir la regulació de les taules de participació social en l’àmbit penal i penitenciari (DOGC núm. 5433, de 31.7.</w:t>
      </w:r>
      <w:r>
        <w:t>2009)].</w:t>
      </w:r>
      <w:r w:rsidRPr="00FF2D91">
        <w:t xml:space="preserve">  </w:t>
      </w:r>
    </w:p>
    <w:p w:rsidR="00E930B2" w:rsidRDefault="00E930B2" w:rsidP="00E930B2">
      <w:r>
        <w:t>Així mateix, es podrà impulsar la creació d’òrgans de participació de segon nivell, tant en l’àmbit d’actuació del centre directiu com en els diversos equipaments i recursos d’execució penal, que aplegaran en un mateix espai de treball, de conformitat amb el que s’estableixi en els instruments jurídics pels quals es determini la seva creació i funcionament intern, els representants del departament competent en matèria d’execució penal i els de les entitats col·laboradores i de voluntariat que actuïn en aquest mateix sector.</w:t>
      </w:r>
    </w:p>
    <w:p w:rsidR="00E930B2" w:rsidRPr="00D44F17" w:rsidRDefault="00E930B2" w:rsidP="0070401F">
      <w:pPr>
        <w:pStyle w:val="Ttol3"/>
      </w:pPr>
      <w:bookmarkStart w:id="403" w:name="_Toc464074799"/>
      <w:bookmarkStart w:id="404" w:name="_Toc464685688"/>
      <w:bookmarkStart w:id="405" w:name="_Toc465293426"/>
      <w:r w:rsidRPr="00D44F17">
        <w:t>Òrgans consultius del departament competent en matèria d’execució penal</w:t>
      </w:r>
      <w:bookmarkEnd w:id="403"/>
      <w:bookmarkEnd w:id="404"/>
      <w:bookmarkEnd w:id="405"/>
    </w:p>
    <w:p w:rsidR="00E930B2" w:rsidRDefault="00E930B2" w:rsidP="00E930B2">
      <w:r w:rsidRPr="00D44F17">
        <w:t xml:space="preserve">Per tal d’afavorir la participació ciutadana en el disseny i el seguiment de les polítiques d’execució penal, </w:t>
      </w:r>
      <w:r>
        <w:t xml:space="preserve">el ROFSEPC va establir que </w:t>
      </w:r>
      <w:r w:rsidRPr="00D44F17">
        <w:t xml:space="preserve">la Taula Cívica Penitenciària actuarà com a òrgan consultiu i de proposta destinat a l’impuls del coneixement de la funció social penitenciària entre </w:t>
      </w:r>
      <w:r>
        <w:t>els ciutadans</w:t>
      </w:r>
      <w:r w:rsidRPr="00D44F17">
        <w:t xml:space="preserve"> i a promoure la implicació ciutadana en els processos de reinserció social de les persones sotmeses a mesures d’execució penal.</w:t>
      </w:r>
    </w:p>
    <w:p w:rsidR="00E930B2" w:rsidRPr="00D44F17" w:rsidRDefault="00E930B2" w:rsidP="00E930B2">
      <w:r>
        <w:t xml:space="preserve">Aquest òrgan no està operatiu des del 2007. </w:t>
      </w:r>
    </w:p>
    <w:p w:rsidR="00E930B2" w:rsidRPr="00D44F17" w:rsidRDefault="00E930B2" w:rsidP="00E930B2">
      <w:r w:rsidRPr="00D44F17">
        <w:t>El departament competent en matèria d’execució penal po</w:t>
      </w:r>
      <w:r>
        <w:t>t</w:t>
      </w:r>
      <w:r w:rsidRPr="00D44F17">
        <w:t xml:space="preserve"> comptar amb la col·laboració d’altres òrgans o entitats que duguin a terme funcions consultives o d’assessorament, o crear aquells que estimi necessaris per obtenir el </w:t>
      </w:r>
      <w:r>
        <w:t>suport</w:t>
      </w:r>
      <w:r w:rsidRPr="00D44F17">
        <w:t xml:space="preserve"> oportú en la definició de les línies de la política i la gestió de l’execució penal i generar el consens del ciutadan</w:t>
      </w:r>
      <w:r>
        <w:t>s envers aquests temes.</w:t>
      </w:r>
    </w:p>
    <w:p w:rsidR="00E930B2" w:rsidRDefault="00E930B2" w:rsidP="00E930B2">
      <w:r w:rsidRPr="00D44F17">
        <w:t>Els òrgans consultius que es determinin estaran formats per representats del departament competent en matèria d’execució penal i, si escau, de la resta de les administracions públiques, i per representats de les entitats de l’àmbit objecte de l’òrgan consultiu en qüestió o, a títol individual, per experts o personalitats de reconeguda vàlua dins de cada sector específic, de conformitat amb el que s’estableixi en els instruments jurídics pels quals es determini la seva creació i funcionament intern.</w:t>
      </w:r>
    </w:p>
    <w:p w:rsidR="00E930B2" w:rsidRDefault="00E930B2" w:rsidP="0070401F">
      <w:pPr>
        <w:pStyle w:val="Ttol2"/>
      </w:pPr>
      <w:bookmarkStart w:id="406" w:name="_Toc464074800"/>
      <w:bookmarkStart w:id="407" w:name="_Toc464685689"/>
      <w:bookmarkStart w:id="408" w:name="_Toc465293427"/>
      <w:r>
        <w:lastRenderedPageBreak/>
        <w:t>Els serveis socials en l’àmbit de l’execució penal</w:t>
      </w:r>
      <w:bookmarkEnd w:id="406"/>
      <w:bookmarkEnd w:id="407"/>
      <w:bookmarkEnd w:id="408"/>
      <w:r>
        <w:t xml:space="preserve"> </w:t>
      </w:r>
    </w:p>
    <w:p w:rsidR="00E930B2" w:rsidRDefault="00E930B2" w:rsidP="00E930B2">
      <w:r>
        <w:t xml:space="preserve">El ROFSEPC regula que el departament competent en matèria d’execució penal, des de la perspectiva del lliure i ple desenvolupament de la persona i dels col·lectius dins la societat, ha de vetllar pel respecte dels drets dels usuaris de serveis i establiments socials reconeguts a les lleis i ha de garantir als interns i alliberats condicionals l’accés a les prestacions assistencials i socials que, d’acord amb l’ordenament jurídic, els puguin correspondre. </w:t>
      </w:r>
    </w:p>
    <w:p w:rsidR="00E930B2" w:rsidRDefault="00E930B2" w:rsidP="00E930B2">
      <w:r>
        <w:t xml:space="preserve">El compliment d’aquest objectiu d’acció social el duen a terme les unitats orgàniques o entitats gestores dels Serveis Socials d’Execució Penal, les quals s’organitzaran territorialment per demarcacions en unitats exteriors dels centres penitenciaris, d’acord amb les necessitats que es determinin en funció del volum i de les característiques de la població que s’hagi atendre. Aquestes unitats o entitats actuaran en coordinació amb el sistema públic de Serveis Socials existent a Catalunya. </w:t>
      </w:r>
    </w:p>
    <w:p w:rsidR="00E930B2" w:rsidRDefault="00E930B2" w:rsidP="00E930B2">
      <w:r>
        <w:t xml:space="preserve">Correspondrà també a les unitats o entitats esmentades, en els termes previstos a la normativa vigent, el control, el seguiment i l’execució de la llibertat condicional i de totes aquelles mesures penals que suposin una alternativa a l’ingrés en presó. </w:t>
      </w:r>
    </w:p>
    <w:p w:rsidR="00E930B2" w:rsidRDefault="00E930B2" w:rsidP="00E930B2">
      <w:r>
        <w:t xml:space="preserve">Per fer efectiu el dret d’accés als serveis socials, prestacions, recursos i activitats generals de prevenció, atenció i promoció social de les persones esmentades, les unitats orgàniques o entitats gestores dels Serveis Socials d’Execució Penal comptaran amb el personal professional preparat i amb el suport d’equipaments i recursos adequats. </w:t>
      </w:r>
    </w:p>
    <w:p w:rsidR="00E930B2" w:rsidRDefault="00E930B2" w:rsidP="00E930B2">
      <w:r>
        <w:t xml:space="preserve"> Al front de cadascuna de les unitats de les demarcacions que es determinin, hi haurà un cap de la unitat, que tindrà les funcions de direcció, planificació, coordinació i supervisió de l’execució de les tasques i funcions encomanades als professionals de les unitats orgàniques o entitats gestores dels Serveis Socials d’Execució Penal.</w:t>
      </w:r>
    </w:p>
    <w:p w:rsidR="00E930B2" w:rsidRDefault="00E930B2" w:rsidP="00E930B2">
      <w:r>
        <w:t xml:space="preserve">El cap de la unitat orgànica o entitat gestora dels Serveis Socials d’Execució Penal formarà part de l’equip directiu dels serveis territorials del Departament de Justícia que s’estableixin, en els termes i amb les funcions que es determinin a la normativa d’organització que pugui existir en cada moment. </w:t>
      </w:r>
    </w:p>
    <w:p w:rsidR="00E930B2" w:rsidRDefault="00E930B2" w:rsidP="00E930B2">
      <w:r w:rsidRPr="00DF70C4">
        <w:t>La coordinació del Departament competent en matèria d’execució penal establirà els convenis de col·laboració necessaris amb altres institucions i entitats externes per poder portar a terme la rehabilitació i reinserció, i emmarcarà el seu treball dins dels plans estratègics d</w:t>
      </w:r>
      <w:r>
        <w:t>e serveis socials de Catalunya, o qualsevol altre pla de caràcter transversal que impacti directament sobre la població sotmesa a mesures d’execució penal.</w:t>
      </w:r>
    </w:p>
    <w:p w:rsidR="00E930B2" w:rsidRDefault="00E930B2" w:rsidP="00E930B2">
      <w:r>
        <w:t>Aquest àmbit de treball és un dels més qüestionats respecte del seu posicionament en les estructures orgàniques i en les seves relacions funcionals, i un dels col·lectius que requereix una reflexió sobre la regulació actual. De fet, alguna de les funcions que tenen assignades en l’actual reglament respecte de les mesures penals alternatives ha deixat de ser de la seva competència.</w:t>
      </w:r>
    </w:p>
    <w:p w:rsidR="00E930B2" w:rsidRDefault="00E930B2" w:rsidP="0070401F">
      <w:pPr>
        <w:pStyle w:val="Ttol2"/>
      </w:pPr>
      <w:bookmarkStart w:id="409" w:name="_Toc464074801"/>
      <w:bookmarkStart w:id="410" w:name="_Toc464685690"/>
      <w:bookmarkStart w:id="411" w:name="_Toc465293428"/>
      <w:r>
        <w:t>Règim econòmic</w:t>
      </w:r>
      <w:bookmarkEnd w:id="409"/>
      <w:bookmarkEnd w:id="410"/>
      <w:bookmarkEnd w:id="411"/>
      <w:r>
        <w:t xml:space="preserve"> </w:t>
      </w:r>
    </w:p>
    <w:p w:rsidR="00E930B2" w:rsidRPr="00A25659" w:rsidRDefault="00E930B2" w:rsidP="00E930B2">
      <w:r w:rsidRPr="00A25659">
        <w:t>Els recursos econòmics assignats i gestionats pels centres penite</w:t>
      </w:r>
      <w:r>
        <w:t>nciaris tenen</w:t>
      </w:r>
      <w:r w:rsidRPr="00A25659">
        <w:t xml:space="preserve"> la naturalesa</w:t>
      </w:r>
      <w:r>
        <w:t xml:space="preserve"> de recursos públics, i se’ls aplica</w:t>
      </w:r>
      <w:r w:rsidRPr="00A25659">
        <w:t xml:space="preserve"> la normativa pressupostària, contractual, comptable i patrimonial vigent per a l’Administració de la Generalitat de Catalunya. </w:t>
      </w:r>
    </w:p>
    <w:p w:rsidR="00E930B2" w:rsidRDefault="00E930B2" w:rsidP="00E930B2">
      <w:r>
        <w:t>El projecte de pressupost anual l’aprova el Consell de Direcció en els terminis determinats i es tramet al centre directiu perquè l’aprovi.</w:t>
      </w:r>
    </w:p>
    <w:p w:rsidR="00E930B2" w:rsidRPr="00A25659" w:rsidRDefault="00E930B2" w:rsidP="00E930B2">
      <w:r>
        <w:t>El centre directiu determina els criteris generals d’aplicació de les normes i regula els procediments a seguir per a tots els centres.</w:t>
      </w:r>
    </w:p>
    <w:p w:rsidR="00E930B2" w:rsidRDefault="00E930B2" w:rsidP="00E930B2">
      <w:r>
        <w:t>Respecte del regim patrimonial, e</w:t>
      </w:r>
      <w:r w:rsidRPr="00A25659">
        <w:t xml:space="preserve">ls centres penitenciaris han de portar un sistema d’inventari que permeti disposar en tot moment d’informació fidel i actualitzada sobre els </w:t>
      </w:r>
      <w:r w:rsidRPr="00A25659">
        <w:lastRenderedPageBreak/>
        <w:t>béns mobles assignats per al desenvolupament de les seves funcions. El centre directiu ha de determinar els criteris de gestió de l’inventari dels centres penitenciaris per tal de facilitar la seva integració a l’inventari general de béns mobl</w:t>
      </w:r>
      <w:r>
        <w:t xml:space="preserve">es afectes al centre directiu. </w:t>
      </w:r>
    </w:p>
    <w:p w:rsidR="00E930B2" w:rsidRDefault="00E930B2" w:rsidP="0070401F">
      <w:pPr>
        <w:pStyle w:val="Ttol3"/>
      </w:pPr>
      <w:bookmarkStart w:id="412" w:name="_Toc464074802"/>
      <w:bookmarkStart w:id="413" w:name="_Toc464685691"/>
      <w:bookmarkStart w:id="414" w:name="_Toc465293429"/>
      <w:r w:rsidRPr="00A25659">
        <w:t>Gestió dels economats, les cafeteries i les cuines</w:t>
      </w:r>
      <w:bookmarkEnd w:id="412"/>
      <w:bookmarkEnd w:id="413"/>
      <w:bookmarkEnd w:id="414"/>
    </w:p>
    <w:p w:rsidR="00E930B2" w:rsidRDefault="00E930B2" w:rsidP="00E930B2">
      <w:r>
        <w:t xml:space="preserve">Aquests serveis </w:t>
      </w:r>
      <w:r w:rsidRPr="00A25659">
        <w:t>pod</w:t>
      </w:r>
      <w:r>
        <w:t>e</w:t>
      </w:r>
      <w:r w:rsidRPr="00A25659">
        <w:t>n ser gestionats pel departament competent en matèria d’execució penal, per entitats d’iniciativa social o mercantil adjudicatàries per contracte administratiu de serveis o pel Centre d’Iniciatives per a la Reinserció, mitjançant</w:t>
      </w:r>
      <w:r>
        <w:t xml:space="preserve"> la fórmula de taller productiu. Aquesta última és la que s’ha previst i s’està desenvolupant en tots els centres de Catalunya. És </w:t>
      </w:r>
      <w:r w:rsidRPr="00A25659">
        <w:t xml:space="preserve"> </w:t>
      </w:r>
      <w:r>
        <w:t xml:space="preserve">econòmicament la més rendible si es tenen en compte els beneficis de formació i integració de la població, perquè estimulen la formació dels interns, el treball i la seva capacitat futura de reinserció.  </w:t>
      </w:r>
    </w:p>
    <w:p w:rsidR="00E930B2" w:rsidRDefault="00E930B2" w:rsidP="00E930B2">
      <w:r w:rsidRPr="00A25659">
        <w:t>Quan l’economat, la cafeteria o la cuina siguin gestionats per una empresa externa adjudicatàr</w:t>
      </w:r>
      <w:r>
        <w:t>ia del servei, els interns</w:t>
      </w:r>
      <w:r w:rsidRPr="00A25659">
        <w:t xml:space="preserve"> hi pod</w:t>
      </w:r>
      <w:r>
        <w:t>e</w:t>
      </w:r>
      <w:r w:rsidRPr="00A25659">
        <w:t xml:space="preserve">n dur a terme serveis auxiliars o mecànics, quan així es prevegi en el procediment de contractació administrativa corresponent, </w:t>
      </w:r>
      <w:r>
        <w:t xml:space="preserve">i </w:t>
      </w:r>
      <w:r w:rsidRPr="00A25659">
        <w:t xml:space="preserve">l’empresa adjudicatària </w:t>
      </w:r>
      <w:r>
        <w:t xml:space="preserve">assumeix </w:t>
      </w:r>
      <w:r w:rsidRPr="00A25659">
        <w:t>la satisfacció de totes les obligacions empresarials que es deriv</w:t>
      </w:r>
      <w:r>
        <w:t>i</w:t>
      </w:r>
      <w:r w:rsidRPr="00A25659">
        <w:t xml:space="preserve">n del contracte de treball. </w:t>
      </w:r>
      <w:r>
        <w:t>Aquests serveis són:</w:t>
      </w:r>
    </w:p>
    <w:p w:rsidR="00E930B2" w:rsidRPr="00A25659" w:rsidRDefault="00E930B2" w:rsidP="00055E6C">
      <w:pPr>
        <w:pStyle w:val="Pargrafdellista"/>
        <w:numPr>
          <w:ilvl w:val="0"/>
          <w:numId w:val="26"/>
        </w:numPr>
      </w:pPr>
      <w:r w:rsidRPr="00A25659">
        <w:t>Servei d’economat</w:t>
      </w:r>
    </w:p>
    <w:p w:rsidR="00E930B2" w:rsidRDefault="00E930B2" w:rsidP="00E930B2">
      <w:r w:rsidRPr="00A25659">
        <w:t>Els economats dels centres penitenciaris s</w:t>
      </w:r>
      <w:r>
        <w:t>ó</w:t>
      </w:r>
      <w:r w:rsidRPr="00A25659">
        <w:t>n un servei que d</w:t>
      </w:r>
      <w:r>
        <w:t>ó</w:t>
      </w:r>
      <w:r w:rsidRPr="00A25659">
        <w:t xml:space="preserve">na la institució penitenciària als interns i que permet disposar d’un sistema d’adquisició de productes de naturalesa complementària als que facilita el departament competent en matèria d’execució penal. </w:t>
      </w:r>
    </w:p>
    <w:p w:rsidR="00E930B2" w:rsidRDefault="00E930B2" w:rsidP="00E930B2">
      <w:r w:rsidRPr="00A25659">
        <w:t>En el cas que la direcció del centre penitenciari ho consideri necessari, es po</w:t>
      </w:r>
      <w:r>
        <w:t>t</w:t>
      </w:r>
      <w:r w:rsidRPr="00A25659">
        <w:t xml:space="preserve"> autoritzar, </w:t>
      </w:r>
      <w:r>
        <w:t xml:space="preserve">amb una </w:t>
      </w:r>
      <w:r w:rsidRPr="00A25659">
        <w:t xml:space="preserve">sol·licitud </w:t>
      </w:r>
      <w:r>
        <w:t xml:space="preserve">prèvia </w:t>
      </w:r>
      <w:r w:rsidRPr="00A25659">
        <w:t>i a càrrec de la persona interna, la compra a l’exterior d’algun producte autoritzat no disponible a l’economat. El centre directiu ha de determinar el procedimen</w:t>
      </w:r>
      <w:r>
        <w:t xml:space="preserve">t per a aquestes adquisicions. </w:t>
      </w:r>
    </w:p>
    <w:p w:rsidR="00E930B2" w:rsidRDefault="00E930B2" w:rsidP="00055E6C">
      <w:pPr>
        <w:pStyle w:val="Pargrafdellista"/>
        <w:numPr>
          <w:ilvl w:val="0"/>
          <w:numId w:val="26"/>
        </w:numPr>
      </w:pPr>
      <w:r>
        <w:t>Servei de cuina</w:t>
      </w:r>
    </w:p>
    <w:p w:rsidR="00E930B2" w:rsidRDefault="00E930B2" w:rsidP="00E930B2">
      <w:r>
        <w:t xml:space="preserve">Les cuines dels centres estan organitzades per poder preparar el racionament diari de tota la població interna, amb les múltiples singularitats que calgui. </w:t>
      </w:r>
    </w:p>
    <w:p w:rsidR="00E930B2" w:rsidRPr="00A25659" w:rsidRDefault="00E930B2" w:rsidP="00055E6C">
      <w:pPr>
        <w:pStyle w:val="Pargrafdellista"/>
        <w:numPr>
          <w:ilvl w:val="0"/>
          <w:numId w:val="26"/>
        </w:numPr>
      </w:pPr>
      <w:r w:rsidRPr="00A25659">
        <w:t>Servei de cafeteria</w:t>
      </w:r>
    </w:p>
    <w:p w:rsidR="00E930B2" w:rsidRDefault="00E930B2" w:rsidP="00E930B2">
      <w:r w:rsidRPr="00A25659">
        <w:t>El servei de cafeteria es po</w:t>
      </w:r>
      <w:r>
        <w:t>t</w:t>
      </w:r>
      <w:r w:rsidRPr="00A25659">
        <w:t xml:space="preserve"> prestar als centres penitenciaris tant al personal del centre com al personal de guàrdia exterior, </w:t>
      </w:r>
      <w:r>
        <w:t>a</w:t>
      </w:r>
      <w:r w:rsidRPr="00A25659">
        <w:t xml:space="preserve">ls qui prestin algun servei relacionat amb el centre penitenciari i a les visites de qualsevol naturalesa. </w:t>
      </w:r>
    </w:p>
    <w:p w:rsidR="00E930B2" w:rsidRDefault="00E930B2" w:rsidP="00055E6C">
      <w:pPr>
        <w:pStyle w:val="Pargrafdellista"/>
        <w:numPr>
          <w:ilvl w:val="0"/>
          <w:numId w:val="26"/>
        </w:numPr>
      </w:pPr>
      <w:r>
        <w:t>Servei de bugaderia</w:t>
      </w:r>
    </w:p>
    <w:p w:rsidR="00E930B2" w:rsidRDefault="00E930B2" w:rsidP="00E930B2">
      <w:r>
        <w:t>Sense estar específicament regulat pel reglament, segueix el mateix model de gestió que hem descrit i es converteix així en un taller més de formació i treball.</w:t>
      </w:r>
    </w:p>
    <w:p w:rsidR="00E930B2" w:rsidRPr="00A25659" w:rsidRDefault="00E930B2" w:rsidP="0070401F">
      <w:pPr>
        <w:pStyle w:val="Ttol3"/>
      </w:pPr>
      <w:bookmarkStart w:id="415" w:name="_Toc464074803"/>
      <w:bookmarkStart w:id="416" w:name="_Toc464685692"/>
      <w:bookmarkStart w:id="417" w:name="_Toc465293430"/>
      <w:r w:rsidRPr="00A25659">
        <w:t>Gestió econòmica administrativa de les despeses d’alimentació</w:t>
      </w:r>
      <w:bookmarkEnd w:id="415"/>
      <w:bookmarkEnd w:id="416"/>
      <w:bookmarkEnd w:id="417"/>
    </w:p>
    <w:p w:rsidR="00E930B2" w:rsidRDefault="00E930B2" w:rsidP="00E930B2">
      <w:r>
        <w:t>El</w:t>
      </w:r>
      <w:r w:rsidRPr="00A25659">
        <w:t xml:space="preserve"> cost de les racions alimentàries pe</w:t>
      </w:r>
      <w:r>
        <w:t>r dia i plaça d’intern la determina</w:t>
      </w:r>
      <w:r w:rsidRPr="00A25659">
        <w:t xml:space="preserve"> mitjançant resoluc</w:t>
      </w:r>
      <w:r>
        <w:t xml:space="preserve">ió del Departament de Justícia, distingint </w:t>
      </w:r>
      <w:r w:rsidRPr="00A25659">
        <w:t xml:space="preserve">com a mínim, les categories següents: </w:t>
      </w:r>
    </w:p>
    <w:p w:rsidR="00E930B2" w:rsidRDefault="00E930B2" w:rsidP="00055E6C">
      <w:pPr>
        <w:pStyle w:val="Pargrafdellista"/>
        <w:numPr>
          <w:ilvl w:val="0"/>
          <w:numId w:val="27"/>
        </w:numPr>
      </w:pPr>
      <w:r w:rsidRPr="00A25659">
        <w:t>Ració comuna</w:t>
      </w:r>
    </w:p>
    <w:p w:rsidR="00E930B2" w:rsidRDefault="00E930B2" w:rsidP="00055E6C">
      <w:pPr>
        <w:pStyle w:val="Pargrafdellista"/>
        <w:numPr>
          <w:ilvl w:val="0"/>
          <w:numId w:val="27"/>
        </w:numPr>
      </w:pPr>
      <w:r w:rsidRPr="00A25659">
        <w:t>Ració de joves</w:t>
      </w:r>
    </w:p>
    <w:p w:rsidR="00E930B2" w:rsidRPr="00A25659" w:rsidRDefault="00E930B2" w:rsidP="00055E6C">
      <w:pPr>
        <w:pStyle w:val="Pargrafdellista"/>
        <w:numPr>
          <w:ilvl w:val="0"/>
          <w:numId w:val="27"/>
        </w:numPr>
      </w:pPr>
      <w:r w:rsidRPr="00A25659">
        <w:t>Ració d’infermeria</w:t>
      </w:r>
    </w:p>
    <w:p w:rsidR="00E930B2" w:rsidRPr="00A25659" w:rsidRDefault="00E930B2" w:rsidP="00E930B2">
      <w:r w:rsidRPr="00A25659">
        <w:t>Aquests valors pod</w:t>
      </w:r>
      <w:r>
        <w:t>e</w:t>
      </w:r>
      <w:r w:rsidRPr="00A25659">
        <w:t>n ser diferents per als di</w:t>
      </w:r>
      <w:r>
        <w:t>versos</w:t>
      </w:r>
      <w:r w:rsidRPr="00A25659">
        <w:t xml:space="preserve"> centres penitenciaris en funció de l’agrupació que s’estableixi exclusivament per a aquesta finalitat.</w:t>
      </w:r>
    </w:p>
    <w:p w:rsidR="00E930B2" w:rsidRPr="00A25659" w:rsidRDefault="00E930B2" w:rsidP="00E930B2">
      <w:r>
        <w:lastRenderedPageBreak/>
        <w:t>Les racions es justifiquen en funció de l’hora de l’ingrés i la sortida del centre penitenciari. La imputació de la despeses s’ha d’independitzar, per evitar duplicitats.</w:t>
      </w:r>
    </w:p>
    <w:p w:rsidR="00E930B2" w:rsidRPr="00A25659" w:rsidRDefault="00E930B2" w:rsidP="00E930B2">
      <w:r w:rsidRPr="00A25659">
        <w:t>Les racions d’infermeria s’han d’acreditar mitjançant un informe del metge i del cap de la unitat de gestió econòmica del centre, amb el vistiplau del gerent.</w:t>
      </w:r>
    </w:p>
    <w:p w:rsidR="00E930B2" w:rsidRDefault="00E930B2" w:rsidP="00E930B2">
      <w:r>
        <w:t>Les d</w:t>
      </w:r>
      <w:r w:rsidRPr="00A25659">
        <w:t>espeses d’alimentació han de ser objecte de seguiment comptable especial,</w:t>
      </w:r>
      <w:r>
        <w:t xml:space="preserve"> amb el procediment que es determini, sempre amb la validació prèvia del centre penitenciari, que a través del Consell de Direcció emetrà el corresponent informe.</w:t>
      </w:r>
    </w:p>
    <w:p w:rsidR="00E930B2" w:rsidRDefault="00E930B2" w:rsidP="0070401F">
      <w:pPr>
        <w:pStyle w:val="Ttol2"/>
      </w:pPr>
      <w:bookmarkStart w:id="418" w:name="_Toc464074804"/>
      <w:bookmarkStart w:id="419" w:name="_Toc464685693"/>
      <w:bookmarkStart w:id="420" w:name="_Toc465293431"/>
      <w:r>
        <w:t>La relació orgànica i funcional del centre directiu i els centres penitenciaris</w:t>
      </w:r>
      <w:bookmarkEnd w:id="418"/>
      <w:bookmarkEnd w:id="419"/>
      <w:bookmarkEnd w:id="420"/>
    </w:p>
    <w:p w:rsidR="00E930B2" w:rsidRPr="003474A9" w:rsidRDefault="00E930B2" w:rsidP="00E930B2">
      <w:r>
        <w:t xml:space="preserve">La dependències orgàniques i funcionals que s’estableixen entre el centre directiu de l’Administració penitenciària i les unitats administratives que es configuren a cada centre penitenciari es dedueixen directament de l’article 79 de la Llei orgànica general penitenciària, que diu: </w:t>
      </w:r>
      <w:r>
        <w:rPr>
          <w:rFonts w:cs="Arial"/>
        </w:rPr>
        <w:t>«</w:t>
      </w:r>
      <w:r w:rsidRPr="00E564F9">
        <w:t>Correspon a la Direcció General d'Institucions Penitenci</w:t>
      </w:r>
      <w:r>
        <w:t xml:space="preserve">àries [a la Direcció General de Serveis Penitenciaris en el cas de Catalunya] </w:t>
      </w:r>
      <w:r w:rsidRPr="00E564F9">
        <w:t>la direcció, organització i inspecció de les institucions que es regulen en aquesta Llei, excepte respecte de les comunitats autònomes que hagin assumit en els seus respectius estatuts l'execució de la legislació penitenciària i gestió consegüe</w:t>
      </w:r>
      <w:r>
        <w:t>nt de l'activitat penitenciària</w:t>
      </w:r>
      <w:r>
        <w:rPr>
          <w:rFonts w:cs="Arial"/>
        </w:rPr>
        <w:t>»</w:t>
      </w:r>
      <w:r>
        <w:t xml:space="preserve">.  </w:t>
      </w:r>
    </w:p>
    <w:p w:rsidR="00E930B2" w:rsidRDefault="00E930B2" w:rsidP="00E930B2">
      <w:r>
        <w:t xml:space="preserve">La disposició addicional primera del Decret 329/2006, de 5 de setembre, defineix el centre directiu dient: </w:t>
      </w:r>
      <w:r>
        <w:rPr>
          <w:rFonts w:cs="Arial"/>
        </w:rPr>
        <w:t>«</w:t>
      </w:r>
      <w:r w:rsidRPr="00F5339F">
        <w:t>Als efectes del Reglament</w:t>
      </w:r>
      <w:r>
        <w:t xml:space="preserve"> que s’aprova mitjançant aquest </w:t>
      </w:r>
      <w:r w:rsidRPr="00F5339F">
        <w:t>Decret, per centre directiu s’han d’entendre els òrgans superiors,</w:t>
      </w:r>
      <w:r>
        <w:t xml:space="preserve"> </w:t>
      </w:r>
      <w:r w:rsidRPr="00F5339F">
        <w:t>alts càrrecs i òrgans actius</w:t>
      </w:r>
      <w:r>
        <w:t>,</w:t>
      </w:r>
      <w:r w:rsidRPr="00F5339F">
        <w:t xml:space="preserve"> dels serveis centrals o perifèrics</w:t>
      </w:r>
      <w:r>
        <w:t xml:space="preserve"> </w:t>
      </w:r>
      <w:r w:rsidRPr="00F5339F">
        <w:t>del Departament de Justícia, als quals les normes d’organització</w:t>
      </w:r>
      <w:r>
        <w:t xml:space="preserve"> </w:t>
      </w:r>
      <w:r w:rsidRPr="00F5339F">
        <w:t>i funcionament de la Generalitat de Catalunya vigents en</w:t>
      </w:r>
      <w:r>
        <w:t xml:space="preserve"> </w:t>
      </w:r>
      <w:r w:rsidRPr="00F5339F">
        <w:t>cada moment atribueixin les competències de direcció, organització</w:t>
      </w:r>
      <w:r>
        <w:t xml:space="preserve"> </w:t>
      </w:r>
      <w:r w:rsidRPr="00F5339F">
        <w:t>i inspecció de les institucions d’execució penal existents</w:t>
      </w:r>
      <w:r>
        <w:t xml:space="preserve"> a Catalunya</w:t>
      </w:r>
      <w:r>
        <w:rPr>
          <w:rFonts w:cs="Arial"/>
        </w:rPr>
        <w:t>»</w:t>
      </w:r>
      <w:r>
        <w:t>.</w:t>
      </w:r>
    </w:p>
    <w:p w:rsidR="00E930B2" w:rsidRDefault="00E930B2" w:rsidP="00E930B2">
      <w:r>
        <w:t>Una de les manifestacions més singulars de l’exercici de la potestat jeràrquica la trobem en les circulars, instruccions i ordres de servei dictades pel centre directiu, que es publiquen a la part pública del web del Departament de Justícia, de conformitat amb el que disposa la disposició transitòria tercera del Decret 329/2006, de 5 de setembre.</w:t>
      </w:r>
    </w:p>
    <w:p w:rsidR="00E930B2" w:rsidRDefault="00E930B2" w:rsidP="0070401F">
      <w:pPr>
        <w:pStyle w:val="Ttol2"/>
      </w:pPr>
      <w:bookmarkStart w:id="421" w:name="_Toc464074805"/>
      <w:bookmarkStart w:id="422" w:name="_Toc464685694"/>
      <w:bookmarkStart w:id="423" w:name="_Toc465293432"/>
      <w:r>
        <w:t>La Inspecció de serveis</w:t>
      </w:r>
      <w:bookmarkEnd w:id="421"/>
      <w:bookmarkEnd w:id="422"/>
      <w:bookmarkEnd w:id="423"/>
    </w:p>
    <w:p w:rsidR="00E930B2" w:rsidRDefault="00E930B2" w:rsidP="00E930B2">
      <w:r>
        <w:t xml:space="preserve">La inspecció de l’execució penal es realitza a través d’un òrgan estructural, el Servei d’Inspecció, adscrit directament al titular de la unitat directiva de la Direcció General de Serveis Penitenciaris. </w:t>
      </w:r>
    </w:p>
    <w:p w:rsidR="00E930B2" w:rsidRDefault="00E930B2" w:rsidP="00E930B2">
      <w:r>
        <w:t xml:space="preserve">Les funcions del Servei d’Inspecció estan subjectes a una àmplia legislació protectora de drets fonamentals que, per tant, és de compliment ineludible. Aquestes funcions s’han d’exercir amb un rigorós compliment de la normativa internacional, estatal i pròpia de Catalunya, que bàsicament, és la següent: </w:t>
      </w:r>
    </w:p>
    <w:p w:rsidR="00E930B2" w:rsidRDefault="00E930B2" w:rsidP="00E930B2">
      <w:r>
        <w:t xml:space="preserve">Els convenis i instruments internacionals són molt clars quant a exigir que totes les presons i llocs de detenció estiguin subjectes a un sistema d’inspecció independent de l’autoritat responsable de la seva administració, i atorguen als reclusos el dret d’accés ple i confidencial als inspectors sense altres limitacions que les legítimes de seguretat. </w:t>
      </w:r>
    </w:p>
    <w:p w:rsidR="00E930B2" w:rsidRDefault="00E930B2" w:rsidP="00E930B2">
      <w:r>
        <w:t>Així, la regla 56.2 de les Regles mínimes de les Nacions Unides per al tractament dels reclusos (Regles Mandela), estableix que les peticions o queixes poden ser presentades a l’inspector de presons durant la seva inspecció, i es remarca el caràcter reservat d’aquesta comunicació.</w:t>
      </w:r>
    </w:p>
    <w:p w:rsidR="00E930B2" w:rsidRDefault="00E930B2" w:rsidP="00E930B2">
      <w:r>
        <w:t xml:space="preserve">La regla 83 determina que als centres penitenciaris hi ha d’haver inspeccions periòdiques; la regla 84 estableix les atribucions dels inspectors en les seves actuacions inspectores, i la </w:t>
      </w:r>
      <w:r>
        <w:lastRenderedPageBreak/>
        <w:t xml:space="preserve">regla 85 determina la preceptiva presentació d’un informe escrit del resultat de la inspecció a l’autoritat competent. </w:t>
      </w:r>
    </w:p>
    <w:p w:rsidR="00E930B2" w:rsidRDefault="00E930B2" w:rsidP="00E930B2">
      <w:r>
        <w:t>El principi 29 del Conjunt de principis per a la protecció de totes les persones sotmeses a qualsevol forma de detenció o presó estableix que, a fi de vetllar per l’estricta observació de les lleis i reglaments pertinents, els llocs de detenció seran visitats regularment per persones qualificades i experimentades nomenades per una autoritat competent diferent de l’autoritat directament encarregada de l’administració del lloc de detenció o presó, i dependents d’aquella autoritat, i que la persona detinguda o presa tindrà dret a comunicar-se lliurement i en règim d’absoluta confidencialitat amb les persones que visitin els llocs de detenció o presó, amb subjecció a condicions raonables que garanteixin  la seguretat i l’ordre en aquests llocs.</w:t>
      </w:r>
    </w:p>
    <w:p w:rsidR="00E930B2" w:rsidRDefault="00E930B2" w:rsidP="00E930B2">
      <w:r>
        <w:t>Els articles 9 i 92 de l’annex a la Recomanació Rec(2006)2 del Comitè de Ministres als estats membres sobre les normes penitenciàries europees, s’estableix com un dels principis fonamentals que totes les presons han de ser objecte d’inspeccions governamentals regulars. La seva funció ha de consistir, en particular, a verificar que les presons estan dirigides d’acord amb les normes jurídiques nacionals i internacionals i les disposicions de les normes presents.</w:t>
      </w:r>
    </w:p>
    <w:p w:rsidR="00E930B2" w:rsidRDefault="00E930B2" w:rsidP="00E930B2">
      <w:r>
        <w:t>L’article 70.1 del mateix annex, estableix que els reclusos s’han de poder adreçar, o presentar queixes o denuncies individuals o col·lectives, al director de la presó o a qualsevol altra autoritat competent.</w:t>
      </w:r>
    </w:p>
    <w:p w:rsidR="00E930B2" w:rsidRDefault="00E930B2" w:rsidP="00E930B2">
      <w:r>
        <w:t xml:space="preserve">En l’àmbit estatal, l’article 79 de la Llei orgànica 1/1979, de 26 de setembre, general penitenciària preveu la inspecció de les institucions penitenciàries i atribueix la competència a l’Estat i a aquelles comunitats autònomes que la tenen assumida.  </w:t>
      </w:r>
    </w:p>
    <w:p w:rsidR="00E930B2" w:rsidRDefault="00E930B2" w:rsidP="00E930B2">
      <w:r>
        <w:t>El Servei d’Inspecció, d’acord amb el Decret 278/2016, de 2 d’agost, de reestructuració del Departament de Justícia, presta serveis tant a la Direcció General de Serveis Penitenciaris com a la Direcció General d’Execució Penal a la Comunitat i de Justícia Juvenil, amb les funcions següents:</w:t>
      </w:r>
    </w:p>
    <w:p w:rsidR="00E930B2" w:rsidRDefault="00E930B2" w:rsidP="00AE0A20">
      <w:pPr>
        <w:pStyle w:val="Pargrafdellista"/>
        <w:numPr>
          <w:ilvl w:val="0"/>
          <w:numId w:val="21"/>
        </w:numPr>
      </w:pPr>
      <w:r>
        <w:t>Organitzar i supervisar la inspecció en matèria del personal de l’àmbit d’execució penal i el funcionament dels serveis, pel que fa al compliment de la normativa vigent.</w:t>
      </w:r>
    </w:p>
    <w:p w:rsidR="00E930B2" w:rsidRDefault="00E930B2" w:rsidP="00AE0A20">
      <w:pPr>
        <w:pStyle w:val="Pargrafdellista"/>
        <w:numPr>
          <w:ilvl w:val="0"/>
          <w:numId w:val="21"/>
        </w:numPr>
      </w:pPr>
      <w:r>
        <w:t>Vetllar per l’aplicació correcta de les directrius i els objectius establerts per la Direcció General de Serveis Penitenciaris i la Direcció General d’Execució Penal a la Comunitat i de Justícia Juvenil.</w:t>
      </w:r>
    </w:p>
    <w:p w:rsidR="00E930B2" w:rsidRDefault="00E930B2" w:rsidP="00AE0A20">
      <w:pPr>
        <w:pStyle w:val="Pargrafdellista"/>
        <w:numPr>
          <w:ilvl w:val="0"/>
          <w:numId w:val="21"/>
        </w:numPr>
      </w:pPr>
      <w:r>
        <w:t>Aplicar el règim disciplinari del personal adscrit als centres penitenciaris i els centres de justícia juvenil.</w:t>
      </w:r>
    </w:p>
    <w:p w:rsidR="00E930B2" w:rsidRDefault="00E930B2" w:rsidP="00AE0A20">
      <w:pPr>
        <w:pStyle w:val="Pargrafdellista"/>
        <w:numPr>
          <w:ilvl w:val="0"/>
          <w:numId w:val="21"/>
        </w:numPr>
      </w:pPr>
      <w:r>
        <w:t>Impulsar sistemes d’avaluació i seguiment dels serveis i l’activitat objecte d’inspecció, desenvolupada des de l’àmbit dels serveis d’execució penal i centres de justícia juvenil.</w:t>
      </w:r>
    </w:p>
    <w:p w:rsidR="00E930B2" w:rsidRDefault="00E930B2" w:rsidP="00AE0A20">
      <w:pPr>
        <w:pStyle w:val="Pargrafdellista"/>
        <w:numPr>
          <w:ilvl w:val="0"/>
          <w:numId w:val="21"/>
        </w:numPr>
      </w:pPr>
      <w:r>
        <w:t>Proposar les actuacions adients sobre les queixes i suggeriments de la ciutadania en l’àmbit dels serveis d’execució penal i centres de justícia juvenil i fer-ne el seguiment.</w:t>
      </w:r>
    </w:p>
    <w:p w:rsidR="00E930B2" w:rsidRDefault="00E930B2" w:rsidP="00AE0A20">
      <w:pPr>
        <w:pStyle w:val="Pargrafdellista"/>
        <w:numPr>
          <w:ilvl w:val="0"/>
          <w:numId w:val="21"/>
        </w:numPr>
      </w:pPr>
      <w:r>
        <w:t>Qualsevol altra funció de naturalesa anàloga que li sigui encomanada pels superiors jeràrquics.</w:t>
      </w:r>
    </w:p>
    <w:p w:rsidR="00E930B2" w:rsidRDefault="00E930B2" w:rsidP="00E930B2">
      <w:r>
        <w:t>Aquestes funcions es desenvolupen mitjançant determinades actuacions, com ara avaluació i inspecció dels serveis,  activitats d’investigació en l’àmbit administratiu, activitat disciplinària, inspecció de guàrdia i d’altres activitats inspectores, segons les competències atribuïdes al Servei d’Inspecció.</w:t>
      </w:r>
    </w:p>
    <w:p w:rsidR="00E930B2" w:rsidRDefault="00E930B2" w:rsidP="0070401F">
      <w:pPr>
        <w:pStyle w:val="Ttol3"/>
      </w:pPr>
      <w:r w:rsidRPr="00E27004">
        <w:t xml:space="preserve"> </w:t>
      </w:r>
      <w:bookmarkStart w:id="424" w:name="_Toc464074806"/>
      <w:bookmarkStart w:id="425" w:name="_Toc464685695"/>
      <w:bookmarkStart w:id="426" w:name="_Toc465293433"/>
      <w:r w:rsidRPr="00E27004">
        <w:t>L’activitat inspectora</w:t>
      </w:r>
      <w:bookmarkEnd w:id="424"/>
      <w:bookmarkEnd w:id="425"/>
      <w:bookmarkEnd w:id="426"/>
    </w:p>
    <w:p w:rsidR="00E930B2" w:rsidRDefault="00E930B2" w:rsidP="00E930B2">
      <w:r>
        <w:t>Cobreix un seguit d’actuacions que aborden des de l’anàlisi puntual dels incidents fins a l’avaluació continua dels serveis, i també actua davant de les queixes de les persones internes i en la instrucció de l’activitat disciplinària del personal.</w:t>
      </w:r>
    </w:p>
    <w:p w:rsidR="00E930B2" w:rsidRDefault="00E930B2" w:rsidP="00E930B2">
      <w:r>
        <w:lastRenderedPageBreak/>
        <w:t>L’activitat de la inspecció és proactiva i contínua quan analitza i avalua aspectes concrets dels serveis i les instal·lacions mitjançant l’observació directa, l’entrevista amb interns i professionals i l’anàlisi de la diferent documentació relacionada amb la prestació del servei. Aquest tipus d’activitat respon a una metodologia de treball que es desenvolupa mitjançant protocols i  finalitza amb un informe en què es concreten els resultats i les mesures correctores que calguin.</w:t>
      </w:r>
    </w:p>
    <w:p w:rsidR="00E930B2" w:rsidRDefault="00E930B2" w:rsidP="0070401F">
      <w:pPr>
        <w:pStyle w:val="Ttol3"/>
      </w:pPr>
      <w:bookmarkStart w:id="427" w:name="_Toc464074807"/>
      <w:bookmarkStart w:id="428" w:name="_Toc464685696"/>
      <w:bookmarkStart w:id="429" w:name="_Toc465293434"/>
      <w:r>
        <w:t>La investigació</w:t>
      </w:r>
      <w:bookmarkEnd w:id="427"/>
      <w:bookmarkEnd w:id="428"/>
      <w:bookmarkEnd w:id="429"/>
    </w:p>
    <w:p w:rsidR="00E930B2" w:rsidRDefault="00E930B2" w:rsidP="00E930B2">
      <w:r>
        <w:t>S’inicia</w:t>
      </w:r>
      <w:r w:rsidRPr="007912A4">
        <w:t xml:space="preserve"> </w:t>
      </w:r>
      <w:r>
        <w:t xml:space="preserve">per ordre superior, d’ofici o per denúncia o queixa d’interns, professionals o qualsevol ciutadà. </w:t>
      </w:r>
    </w:p>
    <w:p w:rsidR="00E930B2" w:rsidRDefault="00E930B2" w:rsidP="00E930B2">
      <w:r>
        <w:t>La conclusió de la investigació pot suposar l’arxivament, sense mesures o amb mesures correctores o de continuació de les actuacions amb la incoació d’un expedient disciplinari, cas en què les diligències d’investigació s’integren en l’expedient disciplinari.</w:t>
      </w:r>
    </w:p>
    <w:p w:rsidR="00E930B2" w:rsidRDefault="00E930B2" w:rsidP="00E930B2">
      <w:r>
        <w:t>En els casos de mort d’interns en centres penitenciaris sempre s’instrueix la corresponent informació reservada.</w:t>
      </w:r>
    </w:p>
    <w:p w:rsidR="00E930B2" w:rsidRDefault="00E930B2" w:rsidP="00E930B2">
      <w:r>
        <w:t>També s’incoen informacions reservades en els casos d’incidents greus, com ara motins, evasions, etc.</w:t>
      </w:r>
    </w:p>
    <w:p w:rsidR="00E930B2" w:rsidRDefault="00E930B2" w:rsidP="0070401F">
      <w:pPr>
        <w:pStyle w:val="Ttol3"/>
      </w:pPr>
      <w:bookmarkStart w:id="430" w:name="_Toc464074808"/>
      <w:bookmarkStart w:id="431" w:name="_Toc464685697"/>
      <w:bookmarkStart w:id="432" w:name="_Toc465293435"/>
      <w:r>
        <w:t>Activitat disciplinària</w:t>
      </w:r>
      <w:bookmarkEnd w:id="430"/>
      <w:bookmarkEnd w:id="431"/>
      <w:bookmarkEnd w:id="432"/>
    </w:p>
    <w:p w:rsidR="00E930B2" w:rsidRDefault="00E930B2" w:rsidP="00E930B2">
      <w:r>
        <w:t xml:space="preserve">Els expedients disciplinaris s’incoen mitjançant una resolució del director general de Serveis Penitenciaris, que és qui exerceix la competència. </w:t>
      </w:r>
    </w:p>
    <w:p w:rsidR="00E930B2" w:rsidRDefault="00E930B2" w:rsidP="00E930B2">
      <w:r>
        <w:t>En aquesta resolució el director general nomena instructor de l’expedient un inspector, que sempre ha de ser diferent d’aquell que, si escau, hagi instruït la corresponent informació reservada.</w:t>
      </w:r>
    </w:p>
    <w:p w:rsidR="00E930B2" w:rsidRDefault="00E930B2" w:rsidP="00E930B2">
      <w:r>
        <w:t>Un cop finalitzada  la instrucció, l’inspector eleva una proposta de resolució al director general, el qual, mitjançant el Servei de Suport Jurídic, valora la proposta i elabora la resolució.</w:t>
      </w:r>
    </w:p>
    <w:p w:rsidR="00E930B2" w:rsidRDefault="00E930B2" w:rsidP="00E930B2">
      <w:r>
        <w:t>En els casos en què l’instructor apreciï una possible comissió de delicte del treballador encartat, tal com estableix el Reglament de règim disciplinari, es traslladen les actuacions al ministeri fiscal i, en el cas que sigui preceptiu, se suspèn la tramitació de l’expedient, a l’espera de la corresponent resolució judicial.</w:t>
      </w:r>
    </w:p>
    <w:p w:rsidR="00E930B2" w:rsidRDefault="00E930B2" w:rsidP="0070401F">
      <w:pPr>
        <w:pStyle w:val="Ttol3"/>
      </w:pPr>
      <w:bookmarkStart w:id="433" w:name="_Toc464074809"/>
      <w:bookmarkStart w:id="434" w:name="_Toc464685698"/>
      <w:bookmarkStart w:id="435" w:name="_Toc465293436"/>
      <w:r>
        <w:t>Inspecció de guàrdia</w:t>
      </w:r>
      <w:bookmarkEnd w:id="433"/>
      <w:bookmarkEnd w:id="434"/>
      <w:bookmarkEnd w:id="435"/>
    </w:p>
    <w:p w:rsidR="00E930B2" w:rsidRDefault="00E930B2" w:rsidP="00E930B2">
      <w:r>
        <w:t xml:space="preserve">Amb la finalitat de garantir que el director general tingui coneixement immediatament dels incidents greus que es produeixin als centres penitenciaris, d’assegurar la continuïtat de la gestió de la Direcció General fora de l’horari laboral, així com de donar resposta a qualsevol requeriment urgent dels directors dels centres, el Servei d’Inspecció garanteix un torn permanent de guàrdia d’un inspector, el qual està localitzable les 24 hores del dia. </w:t>
      </w:r>
    </w:p>
    <w:p w:rsidR="005729F5" w:rsidRDefault="005729F5" w:rsidP="0070401F">
      <w:pPr>
        <w:pStyle w:val="Ttol1"/>
      </w:pPr>
      <w:bookmarkStart w:id="436" w:name="_Toc464685699"/>
      <w:bookmarkStart w:id="437" w:name="_Toc465293437"/>
      <w:r>
        <w:lastRenderedPageBreak/>
        <w:t>Recursos Humans</w:t>
      </w:r>
      <w:bookmarkEnd w:id="436"/>
      <w:bookmarkEnd w:id="437"/>
    </w:p>
    <w:p w:rsidR="00AD76E0" w:rsidRDefault="00AD76E0" w:rsidP="00AD76E0"/>
    <w:p w:rsidR="00AD76E0" w:rsidRDefault="00AD76E0" w:rsidP="0070401F">
      <w:pPr>
        <w:pStyle w:val="Ttol2"/>
      </w:pPr>
      <w:bookmarkStart w:id="438" w:name="_Toc464726377"/>
      <w:bookmarkStart w:id="439" w:name="_Toc465293438"/>
      <w:r w:rsidRPr="00EE7913">
        <w:t>La funció pública penitenciària catalana</w:t>
      </w:r>
      <w:bookmarkEnd w:id="438"/>
      <w:bookmarkEnd w:id="439"/>
    </w:p>
    <w:p w:rsidR="007B2744" w:rsidRPr="007B2744" w:rsidRDefault="007B2744" w:rsidP="007B2744"/>
    <w:p w:rsidR="00AD76E0" w:rsidRPr="00EE7913" w:rsidRDefault="00AD76E0" w:rsidP="0070401F">
      <w:pPr>
        <w:pStyle w:val="Ttol3"/>
      </w:pPr>
      <w:bookmarkStart w:id="440" w:name="_Toc464726378"/>
      <w:bookmarkStart w:id="441" w:name="_Toc465293439"/>
      <w:r w:rsidRPr="00EE7913">
        <w:t>Estructuració i ordenació de la funció pública penitenciària catalana</w:t>
      </w:r>
      <w:bookmarkEnd w:id="440"/>
      <w:bookmarkEnd w:id="441"/>
    </w:p>
    <w:p w:rsidR="00AD76E0" w:rsidRPr="00EE7913" w:rsidRDefault="00AD76E0" w:rsidP="00AD76E0">
      <w:pPr>
        <w:spacing w:before="0" w:after="0" w:line="276" w:lineRule="auto"/>
      </w:pPr>
    </w:p>
    <w:p w:rsidR="00AD76E0" w:rsidRPr="00EE7913" w:rsidRDefault="00AD76E0" w:rsidP="00B517F7">
      <w:r w:rsidRPr="00EE7913">
        <w:t>Quan la Generalitat de Catalunya va assumir les funcions de direcció, organització i inspecció de les institucions penitenciàries radicades en el territori de la comunitat autònoma, així com el personal i els mitjans adscrits a aquestes institucions, l’estructura dels cossos/escales de funcionaris transferits, de</w:t>
      </w:r>
      <w:r>
        <w:t>ls</w:t>
      </w:r>
      <w:r w:rsidRPr="00EE7913">
        <w:t xml:space="preserve"> llocs</w:t>
      </w:r>
      <w:r>
        <w:t>,</w:t>
      </w:r>
      <w:r w:rsidRPr="00EE7913">
        <w:t xml:space="preserve"> i el model organitzatiu dels centres penitenciaris</w:t>
      </w:r>
      <w:r>
        <w:t>,</w:t>
      </w:r>
      <w:r w:rsidRPr="00EE7913">
        <w:t xml:space="preserve"> eren els establerts per la Llei 39/1970, de 22 de desembre, sobre reestructuració dels cossos penitenciaris</w:t>
      </w:r>
      <w:r>
        <w:t>;</w:t>
      </w:r>
      <w:r w:rsidRPr="00EE7913">
        <w:t xml:space="preserve"> per la Llei 36/1977, de 23 de maig, d’ordenació dels cossos especials penitenciaris i de creació del cos d’ajudants d’institucions penitenciàries</w:t>
      </w:r>
      <w:r>
        <w:t>,</w:t>
      </w:r>
      <w:r w:rsidRPr="00EE7913">
        <w:t xml:space="preserve"> i pel Reial decret 1201/1981, de 8 de maig, pel qu</w:t>
      </w:r>
      <w:r>
        <w:t>al</w:t>
      </w:r>
      <w:r w:rsidRPr="00EE7913">
        <w:t xml:space="preserve"> s’aprova el Reglament penitenciari.</w:t>
      </w:r>
    </w:p>
    <w:p w:rsidR="00AD76E0" w:rsidRPr="00EE7913" w:rsidRDefault="00AD76E0" w:rsidP="00B517F7">
      <w:r w:rsidRPr="00EE7913">
        <w:t>La funció pública penitenciària catalana es basa en una doble estructura</w:t>
      </w:r>
      <w:r w:rsidRPr="00EE7913">
        <w:rPr>
          <w:i/>
        </w:rPr>
        <w:t xml:space="preserve"> </w:t>
      </w:r>
      <w:r w:rsidRPr="00E10FA4">
        <w:t>de</w:t>
      </w:r>
      <w:r w:rsidRPr="00EE7913">
        <w:rPr>
          <w:i/>
        </w:rPr>
        <w:t xml:space="preserve"> cossos de personal funcionari i </w:t>
      </w:r>
      <w:r w:rsidRPr="00E10FA4">
        <w:t>de</w:t>
      </w:r>
      <w:r w:rsidRPr="00EE7913">
        <w:rPr>
          <w:i/>
        </w:rPr>
        <w:t xml:space="preserve"> categories de personal laboral i de llocs</w:t>
      </w:r>
      <w:r w:rsidRPr="00EE7913">
        <w:t>.</w:t>
      </w:r>
    </w:p>
    <w:p w:rsidR="00AD76E0" w:rsidRPr="00EE7913" w:rsidRDefault="00AD76E0" w:rsidP="00B517F7">
      <w:r>
        <w:t>A diferència de l’A</w:t>
      </w:r>
      <w:r w:rsidRPr="00EE7913">
        <w:t xml:space="preserve">dministració penitenciària de l’Estat, que es basava en un model de cossos especials exclusivament penitenciaris (cos </w:t>
      </w:r>
      <w:r>
        <w:t>t</w:t>
      </w:r>
      <w:r w:rsidRPr="00EE7913">
        <w:t xml:space="preserve">ècnic, cos </w:t>
      </w:r>
      <w:r>
        <w:t>e</w:t>
      </w:r>
      <w:r w:rsidRPr="00EE7913">
        <w:t xml:space="preserve">special </w:t>
      </w:r>
      <w:r>
        <w:t>m</w:t>
      </w:r>
      <w:r w:rsidRPr="00EE7913">
        <w:t xml:space="preserve">asculí, cos </w:t>
      </w:r>
      <w:r>
        <w:t>e</w:t>
      </w:r>
      <w:r w:rsidRPr="00EE7913">
        <w:t xml:space="preserve">special </w:t>
      </w:r>
      <w:r>
        <w:t>f</w:t>
      </w:r>
      <w:r w:rsidRPr="00EE7913">
        <w:t xml:space="preserve">emení, cos </w:t>
      </w:r>
      <w:r>
        <w:t>facultatiu de s</w:t>
      </w:r>
      <w:r w:rsidRPr="00EE7913">
        <w:t xml:space="preserve">anitat, cos de </w:t>
      </w:r>
      <w:r>
        <w:t>p</w:t>
      </w:r>
      <w:r w:rsidRPr="00EE7913">
        <w:t xml:space="preserve">rofessors d’EGB, cos d’ATS, cos de </w:t>
      </w:r>
      <w:r>
        <w:t>c</w:t>
      </w:r>
      <w:r w:rsidRPr="00EE7913">
        <w:t>apellans, cos d’</w:t>
      </w:r>
      <w:r>
        <w:t>a</w:t>
      </w:r>
      <w:r w:rsidRPr="00EE7913">
        <w:t>judants, escala masculina, cos d’</w:t>
      </w:r>
      <w:r>
        <w:t>a</w:t>
      </w:r>
      <w:r w:rsidRPr="00EE7913">
        <w:t>judants, escala femenina)</w:t>
      </w:r>
      <w:r>
        <w:t>,</w:t>
      </w:r>
      <w:r w:rsidRPr="00EE7913">
        <w:t xml:space="preserve"> </w:t>
      </w:r>
      <w:r w:rsidRPr="00AD76E0">
        <w:rPr>
          <w:b/>
        </w:rPr>
        <w:t>la Generalitat de Catalunya va optar per configurar un model de funció pública penitenciària obert</w:t>
      </w:r>
      <w:r w:rsidRPr="00EE7913">
        <w:rPr>
          <w:b/>
          <w:color w:val="365F91" w:themeColor="accent1" w:themeShade="BF"/>
        </w:rPr>
        <w:t>,</w:t>
      </w:r>
      <w:r w:rsidRPr="00EE7913">
        <w:t xml:space="preserve"> a partir dels cossos d’administració general i dels cossos d’administració especial de l’Administració de la Generalitat de Catalunya.</w:t>
      </w:r>
    </w:p>
    <w:p w:rsidR="00AD76E0" w:rsidRPr="00EE7913" w:rsidRDefault="00AD76E0" w:rsidP="00B517F7"/>
    <w:p w:rsidR="00AD76E0" w:rsidRPr="00AD76E0" w:rsidRDefault="00AD76E0" w:rsidP="00B517F7">
      <w:pPr>
        <w:rPr>
          <w:b/>
        </w:rPr>
      </w:pPr>
      <w:r w:rsidRPr="00AD76E0">
        <w:rPr>
          <w:b/>
        </w:rPr>
        <w:t>Els cossos penitenciaris es van crear com una especialitat més dels cossos d’administració especial, però en una escala única.</w:t>
      </w:r>
    </w:p>
    <w:p w:rsidR="00AD76E0" w:rsidRPr="00EE7913" w:rsidRDefault="00AD76E0" w:rsidP="00B517F7"/>
    <w:p w:rsidR="00AD76E0" w:rsidRDefault="00AD76E0" w:rsidP="00B517F7">
      <w:r w:rsidRPr="00EE7913">
        <w:t>Actualment, el personal funcionari que presta servei</w:t>
      </w:r>
      <w:r>
        <w:t>s</w:t>
      </w:r>
      <w:r w:rsidRPr="00EE7913">
        <w:t xml:space="preserve"> als centres penitenciaris de Catalunya pertany als cossos següents:</w:t>
      </w:r>
    </w:p>
    <w:p w:rsidR="00AD76E0" w:rsidRDefault="00AD76E0" w:rsidP="00AD76E0">
      <w:pPr>
        <w:spacing w:before="0" w:after="0" w:line="276" w:lineRule="auto"/>
      </w:pPr>
    </w:p>
    <w:p w:rsidR="007B2744" w:rsidRDefault="00AD76E0" w:rsidP="007B2744">
      <w:pPr>
        <w:keepNext/>
        <w:spacing w:before="0" w:after="0"/>
        <w:jc w:val="center"/>
      </w:pPr>
      <w:r w:rsidRPr="00EE7913">
        <w:rPr>
          <w:noProof/>
          <w:lang w:eastAsia="ca-ES"/>
        </w:rPr>
        <w:drawing>
          <wp:inline distT="0" distB="0" distL="0" distR="0" wp14:anchorId="354D82B3" wp14:editId="799BCF43">
            <wp:extent cx="4733924" cy="946785"/>
            <wp:effectExtent l="0" t="0" r="0" b="5715"/>
            <wp:docPr id="91"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774211" cy="954842"/>
                    </a:xfrm>
                    <a:prstGeom prst="rect">
                      <a:avLst/>
                    </a:prstGeom>
                    <a:noFill/>
                    <a:ln>
                      <a:noFill/>
                    </a:ln>
                  </pic:spPr>
                </pic:pic>
              </a:graphicData>
            </a:graphic>
          </wp:inline>
        </w:drawing>
      </w:r>
    </w:p>
    <w:p w:rsidR="00AD76E0" w:rsidRPr="00EE7913" w:rsidRDefault="009A1F67" w:rsidP="007B2744">
      <w:pPr>
        <w:pStyle w:val="Llegenda"/>
        <w:jc w:val="center"/>
      </w:pPr>
      <w:bookmarkStart w:id="442" w:name="_Toc465293831"/>
      <w:r>
        <w:t>Gràfic</w:t>
      </w:r>
      <w:r w:rsidR="007B2744">
        <w:t xml:space="preserve"> </w:t>
      </w:r>
      <w:r w:rsidR="00DB496B">
        <w:fldChar w:fldCharType="begin"/>
      </w:r>
      <w:r w:rsidR="00DB496B">
        <w:instrText xml:space="preserve"> SEQ Il·lustració \* ARABIC </w:instrText>
      </w:r>
      <w:r w:rsidR="00DB496B">
        <w:fldChar w:fldCharType="separate"/>
      </w:r>
      <w:r w:rsidR="00C952DF">
        <w:rPr>
          <w:noProof/>
        </w:rPr>
        <w:t>25</w:t>
      </w:r>
      <w:r w:rsidR="00DB496B">
        <w:rPr>
          <w:noProof/>
        </w:rPr>
        <w:fldChar w:fldCharType="end"/>
      </w:r>
      <w:r w:rsidR="007B2744">
        <w:t xml:space="preserve">. </w:t>
      </w:r>
      <w:r w:rsidR="007B2744" w:rsidRPr="007E18AA">
        <w:t>Personal dels centres penitenciaris a 31.8.2016 per col•lectiu i tipus de vinculació</w:t>
      </w:r>
      <w:bookmarkEnd w:id="442"/>
    </w:p>
    <w:p w:rsidR="00AD76E0" w:rsidRPr="00EE7913" w:rsidRDefault="00AD76E0" w:rsidP="007B2744">
      <w:pPr>
        <w:pStyle w:val="Llegenda"/>
        <w:spacing w:before="0" w:after="0" w:line="276" w:lineRule="auto"/>
        <w:jc w:val="center"/>
      </w:pPr>
    </w:p>
    <w:p w:rsidR="00AD76E0" w:rsidRPr="00EE7913" w:rsidRDefault="00AD76E0" w:rsidP="00AD76E0">
      <w:pPr>
        <w:spacing w:before="0" w:after="0" w:line="276" w:lineRule="auto"/>
      </w:pPr>
    </w:p>
    <w:p w:rsidR="00AD76E0" w:rsidRPr="00EE7913" w:rsidRDefault="00AD76E0" w:rsidP="00AD76E0">
      <w:pPr>
        <w:spacing w:before="0" w:after="0" w:line="276" w:lineRule="auto"/>
      </w:pPr>
    </w:p>
    <w:p w:rsidR="00AD76E0" w:rsidRPr="00EE7913" w:rsidRDefault="00AD76E0" w:rsidP="00AD76E0">
      <w:pPr>
        <w:spacing w:before="0" w:after="0" w:line="276" w:lineRule="auto"/>
        <w:jc w:val="center"/>
      </w:pPr>
    </w:p>
    <w:p w:rsidR="001D3E65" w:rsidRDefault="00AD76E0" w:rsidP="001D3E65">
      <w:pPr>
        <w:keepNext/>
        <w:spacing w:before="0"/>
        <w:jc w:val="center"/>
      </w:pPr>
      <w:r w:rsidRPr="00EE7913">
        <w:rPr>
          <w:noProof/>
          <w:lang w:eastAsia="ca-ES"/>
        </w:rPr>
        <w:lastRenderedPageBreak/>
        <w:drawing>
          <wp:inline distT="0" distB="0" distL="0" distR="0" wp14:anchorId="2DB64847" wp14:editId="44FF996B">
            <wp:extent cx="5760085" cy="5756085"/>
            <wp:effectExtent l="0" t="0" r="0" b="0"/>
            <wp:docPr id="92"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60085" cy="5756085"/>
                    </a:xfrm>
                    <a:prstGeom prst="rect">
                      <a:avLst/>
                    </a:prstGeom>
                    <a:noFill/>
                    <a:ln>
                      <a:noFill/>
                    </a:ln>
                  </pic:spPr>
                </pic:pic>
              </a:graphicData>
            </a:graphic>
          </wp:inline>
        </w:drawing>
      </w:r>
    </w:p>
    <w:p w:rsidR="00AD76E0" w:rsidRPr="00EE7913" w:rsidRDefault="009A1F67" w:rsidP="001D3E65">
      <w:pPr>
        <w:pStyle w:val="Llegenda"/>
        <w:jc w:val="center"/>
      </w:pPr>
      <w:bookmarkStart w:id="443" w:name="_Toc465293832"/>
      <w:r>
        <w:t>Gràfic</w:t>
      </w:r>
      <w:r w:rsidR="001D3E65">
        <w:t xml:space="preserve"> </w:t>
      </w:r>
      <w:r w:rsidR="00DB496B">
        <w:fldChar w:fldCharType="begin"/>
      </w:r>
      <w:r w:rsidR="00DB496B">
        <w:instrText xml:space="preserve"> SEQ Il</w:instrText>
      </w:r>
      <w:r w:rsidR="00DB496B">
        <w:instrText xml:space="preserve">·lustració \* ARABIC </w:instrText>
      </w:r>
      <w:r w:rsidR="00DB496B">
        <w:fldChar w:fldCharType="separate"/>
      </w:r>
      <w:r w:rsidR="00C952DF">
        <w:rPr>
          <w:noProof/>
        </w:rPr>
        <w:t>26</w:t>
      </w:r>
      <w:r w:rsidR="00DB496B">
        <w:rPr>
          <w:noProof/>
        </w:rPr>
        <w:fldChar w:fldCharType="end"/>
      </w:r>
      <w:r w:rsidR="001D3E65">
        <w:t xml:space="preserve">. </w:t>
      </w:r>
      <w:r w:rsidR="001D3E65" w:rsidRPr="000F00A5">
        <w:t>Personal dels centres penitenciaris a 31.8.2016 per col</w:t>
      </w:r>
      <w:r w:rsidR="001D3E65">
        <w:t>·</w:t>
      </w:r>
      <w:r w:rsidR="001D3E65" w:rsidRPr="000F00A5">
        <w:t>lectiu</w:t>
      </w:r>
      <w:bookmarkEnd w:id="443"/>
    </w:p>
    <w:p w:rsidR="00AD76E0" w:rsidRDefault="00AD76E0" w:rsidP="00AD76E0">
      <w:pPr>
        <w:spacing w:before="0" w:after="0" w:line="276" w:lineRule="auto"/>
      </w:pPr>
    </w:p>
    <w:p w:rsidR="00AD76E0" w:rsidRPr="00701335" w:rsidRDefault="00AD76E0" w:rsidP="00B517F7">
      <w:r>
        <w:t>Pel que fa</w:t>
      </w:r>
      <w:r w:rsidRPr="00EE7913">
        <w:t xml:space="preserve"> a aquest model clàssic d’ordenació i estructuració de la funció pública basat en els cossos de funcionaris i els llocs de </w:t>
      </w:r>
      <w:r w:rsidRPr="00701335">
        <w:t xml:space="preserve">treball, l’any 2008 l’Administració de la Generalitat de Catalunya, </w:t>
      </w:r>
      <w:r>
        <w:t>centrant-se en el lloc de treball</w:t>
      </w:r>
      <w:r w:rsidRPr="00701335">
        <w:t xml:space="preserve"> </w:t>
      </w:r>
      <w:r>
        <w:t>com a</w:t>
      </w:r>
      <w:r w:rsidRPr="00701335">
        <w:t xml:space="preserve"> unitat bàsica d’organització, va introd</w:t>
      </w:r>
      <w:r>
        <w:t>uir un nou instrument de gestió</w:t>
      </w:r>
      <w:r w:rsidRPr="00701335">
        <w:t xml:space="preserve"> mitjançant la regulació i la creació de les agrupacions de llocs de treball o àmbits funcionals.</w:t>
      </w:r>
    </w:p>
    <w:p w:rsidR="00AD76E0" w:rsidRPr="00EE7913" w:rsidRDefault="00AD76E0" w:rsidP="00B517F7"/>
    <w:p w:rsidR="00AD76E0" w:rsidRPr="00AD76E0" w:rsidRDefault="00AD76E0" w:rsidP="00B517F7">
      <w:pPr>
        <w:rPr>
          <w:b/>
        </w:rPr>
      </w:pPr>
      <w:r w:rsidRPr="00EE7913">
        <w:t>L’any 2009, despr</w:t>
      </w:r>
      <w:r>
        <w:t>és d’un procés de treball intern</w:t>
      </w:r>
      <w:r w:rsidRPr="00EE7913">
        <w:t xml:space="preserve">, que va comptar amb la participació de persones designades per la Direcció General de Funció Pública, per les diferents unitats directives del Departament de Justícia i per persones representants de les organitzacions sindicals, mitjançant </w:t>
      </w:r>
      <w:r w:rsidRPr="00AD76E0">
        <w:rPr>
          <w:b/>
        </w:rPr>
        <w:t>l’Acord del Govern GOV/54/2009, de 24 de març, es va crear l’àmbit funcional d’execució penal de l’Administració de la Generalitat de Catalunya.</w:t>
      </w:r>
    </w:p>
    <w:p w:rsidR="00AD76E0" w:rsidRPr="00701335" w:rsidRDefault="00AD76E0" w:rsidP="00AD76E0">
      <w:pPr>
        <w:spacing w:before="0" w:after="0" w:line="276" w:lineRule="auto"/>
        <w:rPr>
          <w:b/>
          <w:color w:val="1F497D" w:themeColor="text2"/>
          <w:sz w:val="20"/>
          <w:szCs w:val="20"/>
        </w:rPr>
      </w:pPr>
    </w:p>
    <w:p w:rsidR="00AD76E0" w:rsidRDefault="00AD76E0" w:rsidP="00AD76E0">
      <w:pPr>
        <w:spacing w:before="0" w:after="0" w:line="276" w:lineRule="auto"/>
      </w:pPr>
    </w:p>
    <w:p w:rsidR="00AD76E0" w:rsidRDefault="00AD76E0" w:rsidP="00B517F7">
      <w:r w:rsidRPr="00EE7913">
        <w:lastRenderedPageBreak/>
        <w:t xml:space="preserve">L’agrupació de llocs de treball en àmbits o àrees funcionals permet una millor adequació dels processos de selecció, provisió, formació i carrera professional a les </w:t>
      </w:r>
      <w:r>
        <w:t xml:space="preserve">necessitats de l’organització. </w:t>
      </w:r>
      <w:r w:rsidRPr="00EE7913">
        <w:t>L’àmbit funcional d’execució penal agrupa llocs de treball de personal funcionari dels cossos:</w:t>
      </w:r>
    </w:p>
    <w:p w:rsidR="00AD76E0" w:rsidRDefault="00AD76E0" w:rsidP="00AD76E0">
      <w:pPr>
        <w:spacing w:before="0" w:after="0" w:line="276" w:lineRule="auto"/>
      </w:pPr>
    </w:p>
    <w:p w:rsidR="00AD76E0" w:rsidRPr="00EE7913" w:rsidRDefault="00AD76E0" w:rsidP="00AD76E0">
      <w:pPr>
        <w:spacing w:before="0" w:after="0" w:line="276" w:lineRule="auto"/>
        <w:rPr>
          <w:sz w:val="16"/>
          <w:szCs w:val="16"/>
        </w:rPr>
      </w:pPr>
    </w:p>
    <w:p w:rsidR="00AD76E0" w:rsidRPr="00EE7913" w:rsidRDefault="00AD76E0" w:rsidP="00AD76E0">
      <w:pPr>
        <w:spacing w:before="0" w:after="0" w:line="276" w:lineRule="auto"/>
        <w:jc w:val="center"/>
        <w:rPr>
          <w:sz w:val="16"/>
          <w:szCs w:val="16"/>
        </w:rPr>
      </w:pPr>
      <w:r w:rsidRPr="00EE7913">
        <w:rPr>
          <w:noProof/>
          <w:lang w:eastAsia="ca-ES"/>
        </w:rPr>
        <w:drawing>
          <wp:inline distT="0" distB="0" distL="0" distR="0" wp14:anchorId="74B51139" wp14:editId="6162C000">
            <wp:extent cx="4608000" cy="1294197"/>
            <wp:effectExtent l="0" t="0" r="2540" b="1270"/>
            <wp:docPr id="9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608000" cy="1294197"/>
                    </a:xfrm>
                    <a:prstGeom prst="rect">
                      <a:avLst/>
                    </a:prstGeom>
                    <a:noFill/>
                    <a:ln>
                      <a:noFill/>
                    </a:ln>
                  </pic:spPr>
                </pic:pic>
              </a:graphicData>
            </a:graphic>
          </wp:inline>
        </w:drawing>
      </w:r>
    </w:p>
    <w:p w:rsidR="00AD76E0" w:rsidRPr="00EE7913" w:rsidRDefault="00AD76E0" w:rsidP="00AD76E0">
      <w:pPr>
        <w:spacing w:before="0" w:after="0" w:line="276" w:lineRule="auto"/>
        <w:rPr>
          <w:sz w:val="16"/>
          <w:szCs w:val="16"/>
        </w:rPr>
      </w:pPr>
    </w:p>
    <w:p w:rsidR="00AD76E0" w:rsidRDefault="00AD76E0" w:rsidP="00AD76E0">
      <w:pPr>
        <w:spacing w:before="0" w:after="0" w:line="276" w:lineRule="auto"/>
      </w:pPr>
    </w:p>
    <w:p w:rsidR="00AD76E0" w:rsidRDefault="00AD76E0" w:rsidP="00AD76E0">
      <w:pPr>
        <w:spacing w:before="0" w:after="0" w:line="276" w:lineRule="auto"/>
      </w:pPr>
      <w:r w:rsidRPr="00EE7913">
        <w:t xml:space="preserve">A més del personal funcionari que </w:t>
      </w:r>
      <w:r>
        <w:t>exerceix</w:t>
      </w:r>
      <w:r w:rsidRPr="00EE7913">
        <w:t xml:space="preserve"> les funcions de tractament i rehabilit</w:t>
      </w:r>
      <w:r>
        <w:t>ació, de vigilància i seguretat i</w:t>
      </w:r>
      <w:r w:rsidRPr="00EE7913">
        <w:t xml:space="preserve"> administratives, als centres penitenciaris també hi treballa personal amb vinculació laboral amb l’administració que porta a te</w:t>
      </w:r>
      <w:r w:rsidRPr="00B517F7">
        <w:t>r</w:t>
      </w:r>
      <w:r w:rsidRPr="00EE7913">
        <w:t>me el conjunt d’activitats o tasques relacionades directament amb la cura, conservació, muntatge, millora, reparació i construcció de béns mobles i immobles; amb les tasques de conducció i transport de persones i béns i amb altres tasques similars.</w:t>
      </w:r>
    </w:p>
    <w:p w:rsidR="00AD76E0" w:rsidRDefault="00AD76E0" w:rsidP="00AD76E0">
      <w:pPr>
        <w:spacing w:before="0" w:after="0" w:line="276" w:lineRule="auto"/>
      </w:pPr>
    </w:p>
    <w:p w:rsidR="00AD76E0" w:rsidRPr="00EE7913" w:rsidRDefault="00AD76E0" w:rsidP="00AD76E0">
      <w:pPr>
        <w:spacing w:before="0" w:after="0" w:line="276" w:lineRule="auto"/>
        <w:rPr>
          <w:sz w:val="12"/>
          <w:szCs w:val="12"/>
        </w:rPr>
      </w:pPr>
    </w:p>
    <w:p w:rsidR="001D3E65" w:rsidRDefault="00AD76E0" w:rsidP="001D3E65">
      <w:pPr>
        <w:keepNext/>
        <w:spacing w:before="0" w:after="0" w:line="276" w:lineRule="auto"/>
        <w:jc w:val="center"/>
      </w:pPr>
      <w:r w:rsidRPr="00EE7913">
        <w:rPr>
          <w:noProof/>
          <w:lang w:eastAsia="ca-ES"/>
        </w:rPr>
        <w:drawing>
          <wp:inline distT="0" distB="0" distL="0" distR="0" wp14:anchorId="61568176" wp14:editId="4EB166D4">
            <wp:extent cx="4608000" cy="2839814"/>
            <wp:effectExtent l="0" t="0" r="2540" b="0"/>
            <wp:docPr id="94"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608000" cy="2839814"/>
                    </a:xfrm>
                    <a:prstGeom prst="rect">
                      <a:avLst/>
                    </a:prstGeom>
                    <a:noFill/>
                    <a:ln>
                      <a:noFill/>
                    </a:ln>
                  </pic:spPr>
                </pic:pic>
              </a:graphicData>
            </a:graphic>
          </wp:inline>
        </w:drawing>
      </w:r>
    </w:p>
    <w:p w:rsidR="00AD76E0" w:rsidRPr="00EE7913" w:rsidRDefault="009A1F67" w:rsidP="001D3E65">
      <w:pPr>
        <w:pStyle w:val="Llegenda"/>
        <w:jc w:val="center"/>
        <w:rPr>
          <w:sz w:val="16"/>
          <w:szCs w:val="16"/>
        </w:rPr>
      </w:pPr>
      <w:bookmarkStart w:id="444" w:name="_Toc465293833"/>
      <w:r>
        <w:t>Gràfic</w:t>
      </w:r>
      <w:r w:rsidR="001D3E65">
        <w:t xml:space="preserve"> </w:t>
      </w:r>
      <w:r w:rsidR="00DB496B">
        <w:fldChar w:fldCharType="begin"/>
      </w:r>
      <w:r w:rsidR="00DB496B">
        <w:instrText xml:space="preserve"> SEQ Il·lustració \* ARABIC </w:instrText>
      </w:r>
      <w:r w:rsidR="00DB496B">
        <w:fldChar w:fldCharType="separate"/>
      </w:r>
      <w:r w:rsidR="00C952DF">
        <w:rPr>
          <w:noProof/>
        </w:rPr>
        <w:t>27</w:t>
      </w:r>
      <w:r w:rsidR="00DB496B">
        <w:rPr>
          <w:noProof/>
        </w:rPr>
        <w:fldChar w:fldCharType="end"/>
      </w:r>
      <w:r w:rsidR="001D3E65">
        <w:t xml:space="preserve">. </w:t>
      </w:r>
      <w:r w:rsidR="001D3E65" w:rsidRPr="00115B45">
        <w:t>Categories, especialitats del personal laboral</w:t>
      </w:r>
      <w:bookmarkEnd w:id="444"/>
    </w:p>
    <w:p w:rsidR="00AD76E0" w:rsidRDefault="00AD76E0" w:rsidP="00AD76E0">
      <w:pPr>
        <w:spacing w:before="0" w:after="0"/>
      </w:pPr>
    </w:p>
    <w:p w:rsidR="00AD76E0" w:rsidRDefault="00AD76E0" w:rsidP="00AD76E0">
      <w:pPr>
        <w:spacing w:before="0" w:after="0"/>
      </w:pPr>
    </w:p>
    <w:p w:rsidR="00AD76E0" w:rsidRDefault="00AD76E0" w:rsidP="00AD76E0">
      <w:pPr>
        <w:spacing w:before="0" w:after="0"/>
      </w:pPr>
    </w:p>
    <w:p w:rsidR="00AD76E0" w:rsidRDefault="00AD76E0" w:rsidP="00AD76E0">
      <w:pPr>
        <w:spacing w:before="0" w:after="0"/>
      </w:pPr>
    </w:p>
    <w:p w:rsidR="00AD76E0" w:rsidRDefault="00AD76E0" w:rsidP="00AD76E0">
      <w:pPr>
        <w:spacing w:before="0" w:after="0"/>
      </w:pPr>
    </w:p>
    <w:p w:rsidR="00AD76E0" w:rsidRDefault="00AD76E0" w:rsidP="00AD76E0">
      <w:pPr>
        <w:spacing w:before="0" w:after="0"/>
      </w:pPr>
    </w:p>
    <w:p w:rsidR="00AD76E0" w:rsidRDefault="00AD76E0" w:rsidP="00AD76E0">
      <w:pPr>
        <w:spacing w:before="0" w:after="0"/>
      </w:pPr>
    </w:p>
    <w:p w:rsidR="00AD76E0" w:rsidRDefault="00AD76E0" w:rsidP="00AD76E0">
      <w:pPr>
        <w:spacing w:before="0" w:after="0"/>
      </w:pPr>
    </w:p>
    <w:p w:rsidR="00AD76E0" w:rsidRDefault="00AD76E0" w:rsidP="00B517F7">
      <w:r w:rsidRPr="00EE7913">
        <w:lastRenderedPageBreak/>
        <w:t>Pel que fa a l’estructura de llocs, aquesta és molt diversa i ha anat creixent i evolucionant a mesura que s’ha anat desenvolupant el model organitzatiu dels serveis penitenciaris de Catalunya.</w:t>
      </w:r>
    </w:p>
    <w:p w:rsidR="00AD76E0" w:rsidRDefault="00AD76E0" w:rsidP="00AD76E0">
      <w:pPr>
        <w:spacing w:before="0" w:after="0"/>
      </w:pPr>
    </w:p>
    <w:p w:rsidR="001D3E65" w:rsidRDefault="00AD76E0" w:rsidP="001D3E65">
      <w:pPr>
        <w:keepNext/>
        <w:spacing w:before="0" w:after="0" w:line="276" w:lineRule="auto"/>
        <w:jc w:val="center"/>
      </w:pPr>
      <w:r w:rsidRPr="00EE7913">
        <w:rPr>
          <w:noProof/>
          <w:lang w:eastAsia="ca-ES"/>
        </w:rPr>
        <w:drawing>
          <wp:inline distT="0" distB="0" distL="0" distR="0" wp14:anchorId="4E6888F7" wp14:editId="1B5B3F47">
            <wp:extent cx="4500000" cy="2543815"/>
            <wp:effectExtent l="0" t="0" r="0" b="8890"/>
            <wp:docPr id="95"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500000" cy="2543815"/>
                    </a:xfrm>
                    <a:prstGeom prst="rect">
                      <a:avLst/>
                    </a:prstGeom>
                    <a:noFill/>
                    <a:ln>
                      <a:noFill/>
                    </a:ln>
                  </pic:spPr>
                </pic:pic>
              </a:graphicData>
            </a:graphic>
          </wp:inline>
        </w:drawing>
      </w:r>
    </w:p>
    <w:p w:rsidR="00AD76E0" w:rsidRPr="00EE7913" w:rsidRDefault="009A1F67" w:rsidP="001D3E65">
      <w:pPr>
        <w:pStyle w:val="Llegenda"/>
        <w:jc w:val="center"/>
      </w:pPr>
      <w:bookmarkStart w:id="445" w:name="_Toc465293834"/>
      <w:r>
        <w:t>Gràfic</w:t>
      </w:r>
      <w:r w:rsidR="001D3E65">
        <w:t xml:space="preserve"> </w:t>
      </w:r>
      <w:r w:rsidR="00DB496B">
        <w:fldChar w:fldCharType="begin"/>
      </w:r>
      <w:r w:rsidR="00DB496B">
        <w:instrText xml:space="preserve"> SEQ Il·lustració \* ARABIC </w:instrText>
      </w:r>
      <w:r w:rsidR="00DB496B">
        <w:fldChar w:fldCharType="separate"/>
      </w:r>
      <w:r w:rsidR="00C952DF">
        <w:rPr>
          <w:noProof/>
        </w:rPr>
        <w:t>28</w:t>
      </w:r>
      <w:r w:rsidR="00DB496B">
        <w:rPr>
          <w:noProof/>
        </w:rPr>
        <w:fldChar w:fldCharType="end"/>
      </w:r>
      <w:r w:rsidR="001D3E65">
        <w:t xml:space="preserve">. </w:t>
      </w:r>
      <w:r w:rsidR="001D3E65" w:rsidRPr="00DF5378">
        <w:t>Personal funcionari dels centres penitenciaris a 31.8.2016 per cos i especialitat</w:t>
      </w:r>
      <w:bookmarkEnd w:id="445"/>
    </w:p>
    <w:p w:rsidR="00AD76E0" w:rsidRDefault="00AD76E0" w:rsidP="00AD76E0">
      <w:pPr>
        <w:spacing w:before="0" w:after="0"/>
      </w:pPr>
    </w:p>
    <w:p w:rsidR="00AD76E0" w:rsidRDefault="00AD76E0" w:rsidP="00AD76E0">
      <w:pPr>
        <w:spacing w:before="0" w:after="0"/>
      </w:pPr>
    </w:p>
    <w:p w:rsidR="001D3E65" w:rsidRDefault="00AD76E0" w:rsidP="001D3E65">
      <w:pPr>
        <w:keepNext/>
        <w:spacing w:before="0" w:after="0" w:line="276" w:lineRule="auto"/>
        <w:jc w:val="center"/>
      </w:pPr>
      <w:r w:rsidRPr="00EE7913">
        <w:rPr>
          <w:noProof/>
          <w:lang w:eastAsia="ca-ES"/>
        </w:rPr>
        <w:drawing>
          <wp:inline distT="0" distB="0" distL="0" distR="0" wp14:anchorId="6FEDC790" wp14:editId="100DE164">
            <wp:extent cx="4608000" cy="2727588"/>
            <wp:effectExtent l="0" t="0" r="2540" b="0"/>
            <wp:docPr id="96"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608000" cy="2727588"/>
                    </a:xfrm>
                    <a:prstGeom prst="rect">
                      <a:avLst/>
                    </a:prstGeom>
                    <a:noFill/>
                    <a:ln>
                      <a:noFill/>
                    </a:ln>
                  </pic:spPr>
                </pic:pic>
              </a:graphicData>
            </a:graphic>
          </wp:inline>
        </w:drawing>
      </w:r>
    </w:p>
    <w:p w:rsidR="00AD76E0" w:rsidRPr="00EE7913" w:rsidRDefault="009A1F67" w:rsidP="001D3E65">
      <w:pPr>
        <w:pStyle w:val="Llegenda"/>
        <w:jc w:val="center"/>
      </w:pPr>
      <w:bookmarkStart w:id="446" w:name="_Toc465293835"/>
      <w:r>
        <w:t>Gràfic</w:t>
      </w:r>
      <w:r w:rsidR="001D3E65">
        <w:t xml:space="preserve"> </w:t>
      </w:r>
      <w:r w:rsidR="00DB496B">
        <w:fldChar w:fldCharType="begin"/>
      </w:r>
      <w:r w:rsidR="00DB496B">
        <w:instrText xml:space="preserve"> SEQ Il·lustració \* ARABIC </w:instrText>
      </w:r>
      <w:r w:rsidR="00DB496B">
        <w:fldChar w:fldCharType="separate"/>
      </w:r>
      <w:r w:rsidR="00C952DF">
        <w:rPr>
          <w:noProof/>
        </w:rPr>
        <w:t>29</w:t>
      </w:r>
      <w:r w:rsidR="00DB496B">
        <w:rPr>
          <w:noProof/>
        </w:rPr>
        <w:fldChar w:fldCharType="end"/>
      </w:r>
      <w:r w:rsidR="001D3E65">
        <w:t xml:space="preserve">. </w:t>
      </w:r>
      <w:r w:rsidR="001D3E65" w:rsidRPr="00BC3640">
        <w:t>Personal laboral dels centres penitenciaris a 31.8.2016 per categoria i especialitat</w:t>
      </w:r>
      <w:bookmarkEnd w:id="446"/>
    </w:p>
    <w:p w:rsidR="00AD76E0" w:rsidRPr="00EE7913" w:rsidRDefault="00AD76E0" w:rsidP="00AD76E0">
      <w:pPr>
        <w:spacing w:before="0" w:after="0"/>
      </w:pPr>
    </w:p>
    <w:p w:rsidR="00AD76E0" w:rsidRPr="00EE7913" w:rsidRDefault="00AD76E0" w:rsidP="00AD76E0">
      <w:pPr>
        <w:spacing w:before="0" w:after="0" w:line="276" w:lineRule="auto"/>
        <w:jc w:val="center"/>
      </w:pPr>
      <w:r w:rsidRPr="00EE7913">
        <w:rPr>
          <w:noProof/>
          <w:lang w:eastAsia="ca-ES"/>
        </w:rPr>
        <w:lastRenderedPageBreak/>
        <w:drawing>
          <wp:inline distT="0" distB="0" distL="0" distR="0" wp14:anchorId="20D94892" wp14:editId="4AC1CEB9">
            <wp:extent cx="4534535" cy="8254599"/>
            <wp:effectExtent l="0" t="0" r="0" b="0"/>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540481" cy="8265423"/>
                    </a:xfrm>
                    <a:prstGeom prst="rect">
                      <a:avLst/>
                    </a:prstGeom>
                    <a:noFill/>
                    <a:ln>
                      <a:noFill/>
                    </a:ln>
                  </pic:spPr>
                </pic:pic>
              </a:graphicData>
            </a:graphic>
          </wp:inline>
        </w:drawing>
      </w:r>
    </w:p>
    <w:p w:rsidR="00130275" w:rsidRDefault="00AD76E0" w:rsidP="00130275">
      <w:pPr>
        <w:keepNext/>
        <w:spacing w:before="0" w:after="0" w:line="276" w:lineRule="auto"/>
        <w:jc w:val="center"/>
      </w:pPr>
      <w:r w:rsidRPr="00EE7913">
        <w:rPr>
          <w:noProof/>
          <w:lang w:eastAsia="ca-ES"/>
        </w:rPr>
        <w:lastRenderedPageBreak/>
        <w:drawing>
          <wp:inline distT="0" distB="0" distL="0" distR="0" wp14:anchorId="72900AF5" wp14:editId="1B01414F">
            <wp:extent cx="4784220" cy="894503"/>
            <wp:effectExtent l="0" t="0" r="0" b="1270"/>
            <wp:docPr id="9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815796" cy="900407"/>
                    </a:xfrm>
                    <a:prstGeom prst="rect">
                      <a:avLst/>
                    </a:prstGeom>
                  </pic:spPr>
                </pic:pic>
              </a:graphicData>
            </a:graphic>
          </wp:inline>
        </w:drawing>
      </w:r>
    </w:p>
    <w:p w:rsidR="00AD76E0" w:rsidRPr="00EE7913" w:rsidRDefault="009A1F67" w:rsidP="00130275">
      <w:pPr>
        <w:pStyle w:val="Llegenda"/>
        <w:jc w:val="center"/>
      </w:pPr>
      <w:bookmarkStart w:id="447" w:name="_Toc465293836"/>
      <w:r>
        <w:t>Gràfic</w:t>
      </w:r>
      <w:r w:rsidR="00130275">
        <w:t xml:space="preserve"> </w:t>
      </w:r>
      <w:r w:rsidR="00DB496B">
        <w:fldChar w:fldCharType="begin"/>
      </w:r>
      <w:r w:rsidR="00DB496B">
        <w:instrText xml:space="preserve"> SEQ Il·lustració \* ARABIC </w:instrText>
      </w:r>
      <w:r w:rsidR="00DB496B">
        <w:fldChar w:fldCharType="separate"/>
      </w:r>
      <w:r w:rsidR="00C952DF">
        <w:rPr>
          <w:noProof/>
        </w:rPr>
        <w:t>30</w:t>
      </w:r>
      <w:r w:rsidR="00DB496B">
        <w:rPr>
          <w:noProof/>
        </w:rPr>
        <w:fldChar w:fldCharType="end"/>
      </w:r>
      <w:r w:rsidR="00130275">
        <w:t xml:space="preserve">. </w:t>
      </w:r>
      <w:r w:rsidR="00130275" w:rsidRPr="002B49D1">
        <w:t>Llocs adscrits als centres penitenciaris per àmbit d’actuació i tipologia de lloc</w:t>
      </w:r>
      <w:bookmarkEnd w:id="447"/>
    </w:p>
    <w:p w:rsidR="00AD76E0" w:rsidRPr="00BB2968" w:rsidRDefault="00AD76E0" w:rsidP="00AD76E0"/>
    <w:p w:rsidR="00AD76E0" w:rsidRPr="00EE7913" w:rsidRDefault="00AD76E0" w:rsidP="0070401F">
      <w:pPr>
        <w:pStyle w:val="Ttol3"/>
      </w:pPr>
      <w:bookmarkStart w:id="448" w:name="_Toc464726379"/>
      <w:bookmarkStart w:id="449" w:name="_Toc465293440"/>
      <w:r w:rsidRPr="00AD76E0">
        <w:t>Evolució</w:t>
      </w:r>
      <w:r w:rsidRPr="00EE7913">
        <w:t xml:space="preserve"> de les plantilles de personal dels centres penitenciaris</w:t>
      </w:r>
      <w:bookmarkEnd w:id="448"/>
      <w:bookmarkEnd w:id="449"/>
    </w:p>
    <w:p w:rsidR="00AD76E0" w:rsidRPr="00EE7913" w:rsidRDefault="00AD76E0" w:rsidP="00AD76E0">
      <w:pPr>
        <w:spacing w:before="0" w:after="0" w:line="276" w:lineRule="auto"/>
      </w:pPr>
    </w:p>
    <w:p w:rsidR="00AD76E0" w:rsidRPr="00EE7913" w:rsidRDefault="00AD76E0" w:rsidP="00B517F7">
      <w:r w:rsidRPr="00EE7913">
        <w:t>L’evolució de la plantilla de personal adscrit als serveis penitenciaris de Catalunya ha anat lligada a l’evolució de la població penitenciària, a la posada en funcionament de nous equipaments penitenciaris d’estructura modular i als canvis en el model d’organització i funcionament dels centres penitenciaris.</w:t>
      </w:r>
    </w:p>
    <w:p w:rsidR="00AD76E0" w:rsidRPr="00EE7913" w:rsidRDefault="00AD76E0" w:rsidP="00AD76E0">
      <w:pPr>
        <w:spacing w:before="0" w:after="0" w:line="276" w:lineRule="auto"/>
      </w:pPr>
    </w:p>
    <w:p w:rsidR="00AD76E0" w:rsidRPr="00EE7913" w:rsidRDefault="00AD76E0" w:rsidP="001356BD">
      <w:pPr>
        <w:pStyle w:val="Ttol4"/>
      </w:pPr>
      <w:r w:rsidRPr="00EE7913">
        <w:t>El període inicial. El creixement de la població penitenciària i la necessitat de construir nous equipaments penitenciaris</w:t>
      </w:r>
    </w:p>
    <w:p w:rsidR="00AD76E0" w:rsidRPr="00EE7913" w:rsidRDefault="00AD76E0" w:rsidP="00AD76E0">
      <w:pPr>
        <w:spacing w:before="0" w:after="0" w:line="276" w:lineRule="auto"/>
        <w:rPr>
          <w:i/>
        </w:rPr>
      </w:pPr>
    </w:p>
    <w:p w:rsidR="00AD76E0" w:rsidRPr="00EE7913" w:rsidRDefault="00AD76E0" w:rsidP="00B517F7">
      <w:r w:rsidRPr="00EE7913">
        <w:t xml:space="preserve">A grans trets, des de l’any 1984, en què es van assumir les competències en matèria penitenciària, fins al 2011, el creixement de la població penitenciària ha estat continu, amb </w:t>
      </w:r>
      <w:r>
        <w:t>l’</w:t>
      </w:r>
      <w:r w:rsidRPr="00EE7913">
        <w:t xml:space="preserve">única excepció del període </w:t>
      </w:r>
      <w:r>
        <w:t>19</w:t>
      </w:r>
      <w:r w:rsidRPr="00EE7913">
        <w:t>94-</w:t>
      </w:r>
      <w:r>
        <w:t>19</w:t>
      </w:r>
      <w:r w:rsidRPr="00EE7913">
        <w:t>99, en el qual es produeix una aturada</w:t>
      </w:r>
      <w:r>
        <w:t>,</w:t>
      </w:r>
      <w:r w:rsidRPr="00EE7913">
        <w:t xml:space="preserve"> primer</w:t>
      </w:r>
      <w:r>
        <w:t>,</w:t>
      </w:r>
      <w:r w:rsidRPr="00EE7913">
        <w:t xml:space="preserve"> i una reducció</w:t>
      </w:r>
      <w:r>
        <w:t>,</w:t>
      </w:r>
      <w:r w:rsidRPr="00EE7913">
        <w:t xml:space="preserve"> després, dels nivells d’internament com a conseqüència bàsicament de l’entrada en vigor del Codi penal de 1995.</w:t>
      </w:r>
    </w:p>
    <w:p w:rsidR="00AD76E0" w:rsidRPr="00EE7913" w:rsidRDefault="00AD76E0" w:rsidP="00B517F7"/>
    <w:p w:rsidR="00AD76E0" w:rsidRPr="00EE7913" w:rsidRDefault="00AD76E0" w:rsidP="00B517F7">
      <w:r w:rsidRPr="00EE7913">
        <w:t>Atesa la manca de capacitat i el nivell d’obsolescència dels centres penitenciaris existents en aquell moment, es va impulsar la construcció del Centre Penitenciari Quatre Camins i del Centre Penitenciari Brians 1.</w:t>
      </w:r>
    </w:p>
    <w:p w:rsidR="00AD76E0" w:rsidRPr="00EE7913" w:rsidRDefault="00AD76E0" w:rsidP="00B517F7"/>
    <w:p w:rsidR="00AD76E0" w:rsidRPr="00EE7913" w:rsidRDefault="00AD76E0" w:rsidP="00B517F7">
      <w:r w:rsidRPr="00EE7913">
        <w:t>A finals de 1989, any en què es va inaugurar el Centre Penitenciari Quatre Camins (capacitat 1.594 places)</w:t>
      </w:r>
      <w:r>
        <w:t>,</w:t>
      </w:r>
      <w:r w:rsidRPr="00EE7913">
        <w:t xml:space="preserve"> la plantilla de personal adscrit als centres penitenciaris de Catalunya era de 1.464</w:t>
      </w:r>
      <w:r w:rsidRPr="00EE7913">
        <w:rPr>
          <w:rStyle w:val="Refernciadenotaapeudepgina"/>
        </w:rPr>
        <w:footnoteReference w:id="12"/>
      </w:r>
      <w:r w:rsidRPr="00EE7913">
        <w:t xml:space="preserve"> persones.</w:t>
      </w:r>
    </w:p>
    <w:p w:rsidR="00AD76E0" w:rsidRPr="00EE7913" w:rsidRDefault="00AD76E0" w:rsidP="00B517F7"/>
    <w:p w:rsidR="00AD76E0" w:rsidRPr="00EE7913" w:rsidRDefault="00AD76E0" w:rsidP="00B517F7">
      <w:r w:rsidRPr="00EE7913">
        <w:t>A finals de 1991, any en què es va</w:t>
      </w:r>
      <w:r>
        <w:t>n</w:t>
      </w:r>
      <w:r w:rsidRPr="00EE7913">
        <w:t xml:space="preserve"> inaugurar el Centre Penitenciari Brians 1 (capacitat 1.486 places) i el Centre Penitenciari Obert Barcelona 1 (capacitat 179 places), la plantilla de personal adscrit als centres penitenciaris de Catalunya era de 1.968 persones.</w:t>
      </w:r>
    </w:p>
    <w:p w:rsidR="00AD76E0" w:rsidRPr="00EE7913" w:rsidRDefault="00AD76E0" w:rsidP="00B517F7"/>
    <w:p w:rsidR="00AD76E0" w:rsidRPr="00EE7913" w:rsidRDefault="00AD76E0" w:rsidP="00B517F7">
      <w:r w:rsidRPr="00EE7913">
        <w:t>Durant el període 1986-1992</w:t>
      </w:r>
      <w:r>
        <w:t>,</w:t>
      </w:r>
      <w:r w:rsidRPr="00EE7913">
        <w:t xml:space="preserve"> la plantilla dels centres penitenciaris </w:t>
      </w:r>
      <w:r>
        <w:t>va experimentar</w:t>
      </w:r>
      <w:r w:rsidRPr="00EE7913">
        <w:t xml:space="preserve"> un creixement notable</w:t>
      </w:r>
      <w:r>
        <w:t>,</w:t>
      </w:r>
      <w:r w:rsidRPr="00EE7913">
        <w:t xml:space="preserve"> que s’explica per la posada en funcionament de dos centres </w:t>
      </w:r>
      <w:r w:rsidRPr="00EE7913">
        <w:lastRenderedPageBreak/>
        <w:t>penitenciaris d’estructura modular de grans dimensions i un centre penitenciari obert, pel dimensionament adequat de les plantilles de personal de la resta de centres penitenciaris existents i per la reestructuració i la potenciació de la xarxa de serveis socials penitenciaris.</w:t>
      </w:r>
    </w:p>
    <w:p w:rsidR="00AD76E0" w:rsidRPr="00EE7913" w:rsidRDefault="00AD76E0" w:rsidP="00AD76E0">
      <w:pPr>
        <w:spacing w:before="0" w:after="0" w:line="276" w:lineRule="auto"/>
      </w:pPr>
    </w:p>
    <w:p w:rsidR="00AD76E0" w:rsidRPr="00EE7913" w:rsidRDefault="00AD76E0" w:rsidP="00AD76E0">
      <w:pPr>
        <w:spacing w:before="0" w:after="0" w:line="276" w:lineRule="auto"/>
      </w:pPr>
    </w:p>
    <w:p w:rsidR="00B205D0" w:rsidRDefault="00AD76E0" w:rsidP="00B205D0">
      <w:pPr>
        <w:keepNext/>
        <w:spacing w:before="0" w:after="0" w:line="276" w:lineRule="auto"/>
        <w:jc w:val="center"/>
      </w:pPr>
      <w:r w:rsidRPr="00EE7913">
        <w:rPr>
          <w:noProof/>
          <w:lang w:eastAsia="ca-ES"/>
        </w:rPr>
        <w:drawing>
          <wp:inline distT="0" distB="0" distL="0" distR="0" wp14:anchorId="2FE46360" wp14:editId="67C51BE2">
            <wp:extent cx="4127203" cy="1558060"/>
            <wp:effectExtent l="0" t="0" r="6985" b="4445"/>
            <wp:docPr id="98" name="Imatg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154751" cy="1568460"/>
                    </a:xfrm>
                    <a:prstGeom prst="rect">
                      <a:avLst/>
                    </a:prstGeom>
                    <a:noFill/>
                    <a:ln>
                      <a:noFill/>
                    </a:ln>
                  </pic:spPr>
                </pic:pic>
              </a:graphicData>
            </a:graphic>
          </wp:inline>
        </w:drawing>
      </w:r>
    </w:p>
    <w:p w:rsidR="00AD76E0" w:rsidRPr="00EE7913" w:rsidRDefault="009A1F67" w:rsidP="00B205D0">
      <w:pPr>
        <w:pStyle w:val="Llegenda"/>
        <w:jc w:val="center"/>
        <w:rPr>
          <w:sz w:val="12"/>
          <w:szCs w:val="12"/>
        </w:rPr>
      </w:pPr>
      <w:bookmarkStart w:id="450" w:name="_Toc465293837"/>
      <w:r>
        <w:t>Gràfic</w:t>
      </w:r>
      <w:r w:rsidR="00B205D0">
        <w:t xml:space="preserve"> </w:t>
      </w:r>
      <w:r w:rsidR="00DB496B">
        <w:fldChar w:fldCharType="begin"/>
      </w:r>
      <w:r w:rsidR="00DB496B">
        <w:instrText xml:space="preserve"> SEQ Il·lustració \* ARABIC </w:instrText>
      </w:r>
      <w:r w:rsidR="00DB496B">
        <w:fldChar w:fldCharType="separate"/>
      </w:r>
      <w:r w:rsidR="00C952DF">
        <w:rPr>
          <w:noProof/>
        </w:rPr>
        <w:t>31</w:t>
      </w:r>
      <w:r w:rsidR="00DB496B">
        <w:rPr>
          <w:noProof/>
        </w:rPr>
        <w:fldChar w:fldCharType="end"/>
      </w:r>
      <w:r w:rsidR="00B205D0">
        <w:t xml:space="preserve">. </w:t>
      </w:r>
      <w:r w:rsidR="00B205D0" w:rsidRPr="009E7520">
        <w:t>Personal dels centres penitenciaris</w:t>
      </w:r>
      <w:r w:rsidR="00B205D0">
        <w:t xml:space="preserve"> 1986-1992 per àmbit d’actuació</w:t>
      </w:r>
      <w:bookmarkEnd w:id="450"/>
    </w:p>
    <w:p w:rsidR="00AD76E0" w:rsidRPr="00EE7913" w:rsidRDefault="00AD76E0" w:rsidP="00AD76E0"/>
    <w:p w:rsidR="00AD76E0" w:rsidRPr="00EE7913" w:rsidRDefault="00AD76E0" w:rsidP="00B517F7">
      <w:r w:rsidRPr="00EE7913">
        <w:t>En els anys successius es continuen incrementant les plantilles de personal per atendre les necessitats derivades de les ampliacions de les instal·lacions dels establiments penitenciaris (1992, posada en funcionament del Pavelló Hospitalari Penitenciari de Terrassa; 1993, ampliació de la Unitat de Dones del Centre Penitenciaris Brians 1; 2003, habilitació del Mòdul Semiobert del Centre Penitenciari Quatre Camins, posada en funcionament de la Unitat d’Hospitalització Psiquiàtrica Penitenciària,</w:t>
      </w:r>
      <w:r>
        <w:t xml:space="preserve"> etc.</w:t>
      </w:r>
      <w:r w:rsidRPr="00EE7913">
        <w:t>), per respondre a l’increment de la població interna i per adequar-les progressivament al model de serveis i prestacions regulat al Reglament penitenciari del 1981.</w:t>
      </w:r>
    </w:p>
    <w:p w:rsidR="00AD76E0" w:rsidRPr="00EE7913" w:rsidRDefault="00AD76E0" w:rsidP="00B517F7"/>
    <w:p w:rsidR="00AD76E0" w:rsidRPr="00EE7913" w:rsidRDefault="00AD76E0" w:rsidP="00B517F7">
      <w:r w:rsidRPr="00EE7913">
        <w:t>Durant el període 1993-2004, hi ha un increment important de personal de l’àmbit de tractament i rehabilitació (docents, sanitaris, psicòlegs, educadors, assistents socials,</w:t>
      </w:r>
      <w:r>
        <w:t xml:space="preserve"> etc.</w:t>
      </w:r>
      <w:r w:rsidRPr="00EE7913">
        <w:t>), que passa de 363 a 678 persones. També hi ha un increment de la dotació de personal de l’àmbit de servei interior (servei interior i àrea mixta), que passa de 1.639 a 1.922 persones.</w:t>
      </w:r>
    </w:p>
    <w:p w:rsidR="00AD76E0" w:rsidRPr="00EE7913" w:rsidRDefault="00AD76E0" w:rsidP="00AD76E0">
      <w:pPr>
        <w:spacing w:before="0" w:after="0" w:line="276" w:lineRule="auto"/>
      </w:pPr>
    </w:p>
    <w:p w:rsidR="00B205D0" w:rsidRDefault="00AD76E0" w:rsidP="00B205D0">
      <w:pPr>
        <w:keepNext/>
        <w:spacing w:before="0" w:after="0" w:line="276" w:lineRule="auto"/>
        <w:jc w:val="center"/>
      </w:pPr>
      <w:r w:rsidRPr="00EE7913">
        <w:rPr>
          <w:noProof/>
          <w:lang w:eastAsia="ca-ES"/>
        </w:rPr>
        <w:drawing>
          <wp:inline distT="0" distB="0" distL="0" distR="0" wp14:anchorId="531D1216" wp14:editId="1D4BB48E">
            <wp:extent cx="5760085" cy="1421320"/>
            <wp:effectExtent l="0" t="0" r="0" b="7620"/>
            <wp:docPr id="99" name="Imatg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60085" cy="1421320"/>
                    </a:xfrm>
                    <a:prstGeom prst="rect">
                      <a:avLst/>
                    </a:prstGeom>
                    <a:noFill/>
                    <a:ln>
                      <a:noFill/>
                    </a:ln>
                  </pic:spPr>
                </pic:pic>
              </a:graphicData>
            </a:graphic>
          </wp:inline>
        </w:drawing>
      </w:r>
    </w:p>
    <w:p w:rsidR="00AD76E0" w:rsidRPr="00EE7913" w:rsidRDefault="009A1F67" w:rsidP="00B205D0">
      <w:pPr>
        <w:pStyle w:val="Llegenda"/>
        <w:jc w:val="center"/>
      </w:pPr>
      <w:bookmarkStart w:id="451" w:name="_Toc465293838"/>
      <w:r>
        <w:t>Gràfic</w:t>
      </w:r>
      <w:r w:rsidR="00B205D0">
        <w:t xml:space="preserve"> </w:t>
      </w:r>
      <w:r w:rsidR="00DB496B">
        <w:fldChar w:fldCharType="begin"/>
      </w:r>
      <w:r w:rsidR="00DB496B">
        <w:instrText xml:space="preserve"> SEQ</w:instrText>
      </w:r>
      <w:r w:rsidR="00DB496B">
        <w:instrText xml:space="preserve"> Il·lustració \* ARABIC </w:instrText>
      </w:r>
      <w:r w:rsidR="00DB496B">
        <w:fldChar w:fldCharType="separate"/>
      </w:r>
      <w:r w:rsidR="00C952DF">
        <w:rPr>
          <w:noProof/>
        </w:rPr>
        <w:t>32</w:t>
      </w:r>
      <w:r w:rsidR="00DB496B">
        <w:rPr>
          <w:noProof/>
        </w:rPr>
        <w:fldChar w:fldCharType="end"/>
      </w:r>
      <w:r w:rsidR="00B205D0">
        <w:t xml:space="preserve">. </w:t>
      </w:r>
      <w:r w:rsidR="00B205D0" w:rsidRPr="00085113">
        <w:t>Personal dels centres penitenciaris 1993-2004 per àmbit d’actuació</w:t>
      </w:r>
      <w:bookmarkEnd w:id="451"/>
    </w:p>
    <w:p w:rsidR="00AD76E0" w:rsidRPr="00EE7913" w:rsidRDefault="00AD76E0" w:rsidP="00AD76E0">
      <w:pPr>
        <w:spacing w:before="0" w:after="0" w:line="276" w:lineRule="auto"/>
      </w:pPr>
    </w:p>
    <w:p w:rsidR="00AD76E0" w:rsidRPr="00EE7913" w:rsidRDefault="00AD76E0" w:rsidP="004D7A4B">
      <w:pPr>
        <w:pStyle w:val="Ttol4"/>
      </w:pPr>
      <w:r w:rsidRPr="00EE7913">
        <w:t xml:space="preserve">El Pla </w:t>
      </w:r>
      <w:r>
        <w:t>d</w:t>
      </w:r>
      <w:r w:rsidRPr="00EE7913">
        <w:t>irector d’</w:t>
      </w:r>
      <w:r>
        <w:t>e</w:t>
      </w:r>
      <w:r w:rsidRPr="00EE7913">
        <w:t xml:space="preserve">quipaments </w:t>
      </w:r>
      <w:r>
        <w:t>p</w:t>
      </w:r>
      <w:r w:rsidRPr="00EE7913">
        <w:t>enitenciaris 2004-2010 i l’aprovació de</w:t>
      </w:r>
      <w:r>
        <w:t>l</w:t>
      </w:r>
      <w:r w:rsidRPr="00EE7913">
        <w:t xml:space="preserve"> Reglament d’organització i funcionament dels serveis d’execució penal</w:t>
      </w:r>
    </w:p>
    <w:p w:rsidR="00AD76E0" w:rsidRPr="00EE7913" w:rsidRDefault="00AD76E0" w:rsidP="00AD76E0">
      <w:pPr>
        <w:spacing w:before="0" w:after="0" w:line="276" w:lineRule="auto"/>
        <w:rPr>
          <w:i/>
        </w:rPr>
      </w:pPr>
    </w:p>
    <w:p w:rsidR="00AD76E0" w:rsidRPr="00EE7913" w:rsidRDefault="00AD76E0" w:rsidP="00B517F7">
      <w:r w:rsidRPr="00EE7913">
        <w:t xml:space="preserve">L’any 2004, davant la confirmació de la tendència de creixement continuat de la població penitenciària i del dèficit de places penitenciàries, amb l’objectiu d’arribar a un total </w:t>
      </w:r>
      <w:r>
        <w:t xml:space="preserve">de </w:t>
      </w:r>
      <w:r w:rsidRPr="00EE7913">
        <w:lastRenderedPageBreak/>
        <w:t xml:space="preserve">10.500 places disponibles l’any 2010, el Govern va aprovar el Pla </w:t>
      </w:r>
      <w:r>
        <w:t>d</w:t>
      </w:r>
      <w:r w:rsidRPr="00EE7913">
        <w:t>irector d’</w:t>
      </w:r>
      <w:r>
        <w:t>e</w:t>
      </w:r>
      <w:r w:rsidRPr="00EE7913">
        <w:t xml:space="preserve">quipaments </w:t>
      </w:r>
      <w:r>
        <w:t>p</w:t>
      </w:r>
      <w:r w:rsidRPr="00EE7913">
        <w:t>enitenciaris 2004-2010.</w:t>
      </w:r>
    </w:p>
    <w:p w:rsidR="00AD76E0" w:rsidRPr="00EE7913" w:rsidRDefault="00AD76E0" w:rsidP="00B517F7"/>
    <w:p w:rsidR="00AD76E0" w:rsidRPr="00EE7913" w:rsidRDefault="00AD76E0" w:rsidP="00B517F7">
      <w:r w:rsidRPr="00EE7913">
        <w:t>D’altra banda, l’any 2006, mitjançant el Decret 329/2006, de 5 setembre, es va aprovar el Reglament d’organització i funcionament dels serveis d’execució penal, que, entre altres qüestions, regula l’organització dels centres penitenciaris, l’organització dels serveis dels centres penitenciaris i l’organització de les prestacions de l’Administració.</w:t>
      </w:r>
    </w:p>
    <w:p w:rsidR="00AD76E0" w:rsidRPr="00EE7913" w:rsidRDefault="00AD76E0" w:rsidP="00B517F7"/>
    <w:p w:rsidR="00AD76E0" w:rsidRPr="00EE7913" w:rsidRDefault="00AD76E0" w:rsidP="00B517F7">
      <w:r>
        <w:t>A finals de</w:t>
      </w:r>
      <w:r w:rsidRPr="00EE7913">
        <w:t xml:space="preserve"> 2007, any en què va entrar en funcionament el Centre Penitenciari Brians 2 (capacitat 2.068 places), la plantilla de personal adscrit als centres penitenciaris de Catalunya era de 4.095 persones.</w:t>
      </w:r>
    </w:p>
    <w:p w:rsidR="00AD76E0" w:rsidRPr="00EE7913" w:rsidRDefault="00AD76E0" w:rsidP="00B517F7"/>
    <w:p w:rsidR="00AD76E0" w:rsidRPr="00EE7913" w:rsidRDefault="00AD76E0" w:rsidP="00B517F7">
      <w:r w:rsidRPr="00EE7913">
        <w:t>Des de la posada en funcionament dels darrers centres construïts, Centre Penitenciari Brians 1 i Centre Penitenciari Obert Barcelona 1, l’any 1991, la plantilla de personal adscrit als centres penitenciaris va passar de 1.968 a 4.095 persones.</w:t>
      </w:r>
    </w:p>
    <w:p w:rsidR="00AD76E0" w:rsidRPr="00EE7913" w:rsidRDefault="00AD76E0" w:rsidP="00B517F7"/>
    <w:p w:rsidR="00AD76E0" w:rsidRPr="00EE7913" w:rsidRDefault="00AD76E0" w:rsidP="00B517F7">
      <w:r w:rsidRPr="00EE7913">
        <w:t>A finals de 2008, any en què van entrar en funcionament el nou Centre Penitenciari de Joves (capacitat 388 places) i el Centre penitenciari Lledoners (capacitat 1.025 places), la plantilla de personal adscrit als centres penitenciaris de Catalunya era de 4.653 persones.</w:t>
      </w:r>
    </w:p>
    <w:p w:rsidR="00AD76E0" w:rsidRPr="00EE7913" w:rsidRDefault="00AD76E0" w:rsidP="00B517F7"/>
    <w:p w:rsidR="00AD76E0" w:rsidRPr="00EE7913" w:rsidRDefault="00AD76E0" w:rsidP="00B517F7">
      <w:r w:rsidRPr="00EE7913">
        <w:t>L’any 2009 es va traspassar la gestió del personal docent al Departament d’Ensenyament.</w:t>
      </w:r>
    </w:p>
    <w:p w:rsidR="00AD76E0" w:rsidRPr="00EE7913" w:rsidRDefault="00AD76E0" w:rsidP="00AD76E0">
      <w:pPr>
        <w:spacing w:before="0" w:after="0" w:line="276" w:lineRule="auto"/>
      </w:pPr>
    </w:p>
    <w:p w:rsidR="00B205D0" w:rsidRDefault="00AD76E0" w:rsidP="00B205D0">
      <w:pPr>
        <w:keepNext/>
        <w:spacing w:before="0" w:after="0" w:line="276" w:lineRule="auto"/>
        <w:jc w:val="center"/>
      </w:pPr>
      <w:r w:rsidRPr="00EE7913">
        <w:rPr>
          <w:noProof/>
          <w:lang w:eastAsia="ca-ES"/>
        </w:rPr>
        <w:drawing>
          <wp:inline distT="0" distB="0" distL="0" distR="0" wp14:anchorId="74DBD92C" wp14:editId="31275EE0">
            <wp:extent cx="4511040" cy="1436477"/>
            <wp:effectExtent l="0" t="0" r="3810" b="0"/>
            <wp:docPr id="100" name="Imatg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505936" cy="1434852"/>
                    </a:xfrm>
                    <a:prstGeom prst="rect">
                      <a:avLst/>
                    </a:prstGeom>
                    <a:noFill/>
                    <a:ln>
                      <a:noFill/>
                    </a:ln>
                  </pic:spPr>
                </pic:pic>
              </a:graphicData>
            </a:graphic>
          </wp:inline>
        </w:drawing>
      </w:r>
    </w:p>
    <w:p w:rsidR="00AD76E0" w:rsidRPr="00EE7913" w:rsidRDefault="009A1F67" w:rsidP="00B205D0">
      <w:pPr>
        <w:pStyle w:val="Llegenda"/>
        <w:jc w:val="center"/>
      </w:pPr>
      <w:bookmarkStart w:id="452" w:name="_Toc465293839"/>
      <w:r>
        <w:t>Gràfic</w:t>
      </w:r>
      <w:r w:rsidR="00B205D0">
        <w:t xml:space="preserve"> </w:t>
      </w:r>
      <w:r w:rsidR="00DB496B">
        <w:fldChar w:fldCharType="begin"/>
      </w:r>
      <w:r w:rsidR="00DB496B">
        <w:instrText xml:space="preserve"> SEQ Il·lustració \* ARABIC </w:instrText>
      </w:r>
      <w:r w:rsidR="00DB496B">
        <w:fldChar w:fldCharType="separate"/>
      </w:r>
      <w:r w:rsidR="00C952DF">
        <w:rPr>
          <w:noProof/>
        </w:rPr>
        <w:t>33</w:t>
      </w:r>
      <w:r w:rsidR="00DB496B">
        <w:rPr>
          <w:noProof/>
        </w:rPr>
        <w:fldChar w:fldCharType="end"/>
      </w:r>
      <w:r w:rsidR="00B205D0">
        <w:t xml:space="preserve">. </w:t>
      </w:r>
      <w:r w:rsidR="00B205D0" w:rsidRPr="00D61C96">
        <w:t>Personal dels centres penitenciaris 2005-2012 per àmbit d’actuació</w:t>
      </w:r>
      <w:bookmarkEnd w:id="452"/>
    </w:p>
    <w:p w:rsidR="00AD76E0" w:rsidRPr="00EE7913" w:rsidRDefault="00AD76E0" w:rsidP="00AD76E0">
      <w:pPr>
        <w:spacing w:before="0" w:after="0" w:line="276" w:lineRule="auto"/>
      </w:pPr>
    </w:p>
    <w:p w:rsidR="00AD76E0" w:rsidRPr="00EE7913" w:rsidRDefault="00AD76E0" w:rsidP="004D7A4B">
      <w:pPr>
        <w:pStyle w:val="Ttol4"/>
      </w:pPr>
      <w:r w:rsidRPr="00EE7913">
        <w:t xml:space="preserve">El Pla </w:t>
      </w:r>
      <w:r>
        <w:t>d</w:t>
      </w:r>
      <w:r w:rsidRPr="00EE7913">
        <w:t>irector d’</w:t>
      </w:r>
      <w:r>
        <w:t>e</w:t>
      </w:r>
      <w:r w:rsidRPr="00EE7913">
        <w:t>quipament</w:t>
      </w:r>
      <w:r>
        <w:t>s</w:t>
      </w:r>
      <w:r w:rsidRPr="00EE7913">
        <w:t xml:space="preserve"> </w:t>
      </w:r>
      <w:r>
        <w:t>p</w:t>
      </w:r>
      <w:r w:rsidRPr="00EE7913">
        <w:t>enitenciaris 2013-2020. El decreixement de la població penitenciària.</w:t>
      </w:r>
    </w:p>
    <w:p w:rsidR="00AD76E0" w:rsidRPr="00EE7913" w:rsidRDefault="00AD76E0" w:rsidP="00AD76E0">
      <w:pPr>
        <w:spacing w:before="0" w:after="0" w:line="276" w:lineRule="auto"/>
      </w:pPr>
    </w:p>
    <w:p w:rsidR="00AD76E0" w:rsidRPr="00EE7913" w:rsidRDefault="00AD76E0" w:rsidP="00B517F7">
      <w:r w:rsidRPr="00EE7913">
        <w:t xml:space="preserve">El Pla nacional d’execució penal (2008) feia una estimació de població penitenciària de 12.000 interns a les presons de Catalunya </w:t>
      </w:r>
      <w:r>
        <w:t>a finals de</w:t>
      </w:r>
      <w:r w:rsidRPr="00EE7913">
        <w:t xml:space="preserve"> 2012, dels quals 2.100 es trobarien en règim obert.</w:t>
      </w:r>
    </w:p>
    <w:p w:rsidR="00AD76E0" w:rsidRPr="00EE7913" w:rsidRDefault="00AD76E0" w:rsidP="00B517F7"/>
    <w:p w:rsidR="00AD76E0" w:rsidRPr="00B12167" w:rsidRDefault="00AD76E0" w:rsidP="00B517F7">
      <w:pPr>
        <w:rPr>
          <w:spacing w:val="-4"/>
        </w:rPr>
      </w:pPr>
      <w:r w:rsidRPr="00B12167">
        <w:rPr>
          <w:spacing w:val="-4"/>
        </w:rPr>
        <w:t>Vist que l’any 2012 es produeix un canvi en la tendència de creixement de la població penitenciària</w:t>
      </w:r>
      <w:r>
        <w:rPr>
          <w:spacing w:val="-4"/>
        </w:rPr>
        <w:t>,</w:t>
      </w:r>
      <w:r w:rsidRPr="00B12167">
        <w:rPr>
          <w:spacing w:val="-4"/>
        </w:rPr>
        <w:t xml:space="preserve"> que aquesta comença a davallar i que les previsions realitzades l’any 2008 ja no s’ajustaven a la realitat, es formula un nou Pla director d’equipaments penitenciaris 2013-2020, que preveu, entre altres actuacions, la reconversió de les instal·lacions dels centres penitenciaris </w:t>
      </w:r>
      <w:r w:rsidRPr="00B12167">
        <w:rPr>
          <w:spacing w:val="-4"/>
        </w:rPr>
        <w:lastRenderedPageBreak/>
        <w:t>de Girona i Tarragona en centres oberts i l’obertura del Centre Penitenciari Puig de les Basses i del Centre Penitenciari Mas d’Enric.</w:t>
      </w:r>
    </w:p>
    <w:p w:rsidR="00AD76E0" w:rsidRPr="00EE7913" w:rsidRDefault="00AD76E0" w:rsidP="00AD76E0">
      <w:pPr>
        <w:spacing w:before="0" w:after="0" w:line="276" w:lineRule="auto"/>
      </w:pPr>
    </w:p>
    <w:p w:rsidR="00AD76E0" w:rsidRPr="00EE7913" w:rsidRDefault="00AD76E0" w:rsidP="00AD76E0">
      <w:pPr>
        <w:spacing w:before="0" w:after="0" w:line="276" w:lineRule="auto"/>
      </w:pPr>
      <w:r w:rsidRPr="00EE7913">
        <w:t>L’any 2014 es va traspassar la gestió del personal sanitari al Departament de Salut.</w:t>
      </w:r>
    </w:p>
    <w:p w:rsidR="00AD76E0" w:rsidRPr="00EE7913" w:rsidRDefault="00AD76E0" w:rsidP="00AD76E0">
      <w:pPr>
        <w:spacing w:before="0" w:after="0" w:line="276" w:lineRule="auto"/>
      </w:pPr>
    </w:p>
    <w:p w:rsidR="00AD76E0" w:rsidRPr="00EE7913" w:rsidRDefault="00AD76E0" w:rsidP="00B517F7">
      <w:r w:rsidRPr="00EE7913">
        <w:t>A finals de 2014, any en què es va</w:t>
      </w:r>
      <w:r>
        <w:t>n</w:t>
      </w:r>
      <w:r w:rsidRPr="00EE7913">
        <w:t xml:space="preserve"> tancar el Centre Penitenciari de Girona com a centre de règim ordinari (capacitat 158 places) i el Centre Penitenciari de Figueres (capacitat 201 places) i van entrar en funcionament el Centre Penitenciari Obert de Girona (capacitat 150 places) i el Centre Penitenciari Puig de les Basses (capacitat 1.018 places), la plantilla de personal adscrit als centres penitenciaris de Catalunya era de 4.528 persones.</w:t>
      </w:r>
    </w:p>
    <w:p w:rsidR="00AD76E0" w:rsidRPr="00EE7913" w:rsidRDefault="00AD76E0" w:rsidP="00AD76E0">
      <w:pPr>
        <w:spacing w:before="0" w:after="0" w:line="276" w:lineRule="auto"/>
      </w:pPr>
    </w:p>
    <w:p w:rsidR="00AD76E0" w:rsidRPr="00EE7913" w:rsidRDefault="00AD76E0" w:rsidP="00B517F7">
      <w:r w:rsidRPr="00EE7913">
        <w:t xml:space="preserve">A finals </w:t>
      </w:r>
      <w:r>
        <w:t>de</w:t>
      </w:r>
      <w:r w:rsidRPr="00EE7913">
        <w:t xml:space="preserve"> 2015, any en què es va tancar el Centre Penitenciari de Tarragona com a centre de règim ordinari i es va posar en funcionament el Centre Penitenciari Obert de Tarragona (capacitat 176 places) i, parcialment, el Centre Penitenciari Mas d’Enric (capacitat 1.020 places), la plantilla de personal adscrit als centres penitenciaris de Catalunya era de 4.665 persones.</w:t>
      </w:r>
    </w:p>
    <w:p w:rsidR="00AD76E0" w:rsidRPr="00EE7913" w:rsidRDefault="00AD76E0" w:rsidP="00AD76E0">
      <w:pPr>
        <w:spacing w:before="0" w:after="0" w:line="276" w:lineRule="auto"/>
      </w:pPr>
    </w:p>
    <w:p w:rsidR="004D7A4B" w:rsidRDefault="00AD76E0" w:rsidP="004D7A4B">
      <w:pPr>
        <w:keepNext/>
        <w:spacing w:before="0" w:after="0" w:line="276" w:lineRule="auto"/>
        <w:jc w:val="center"/>
      </w:pPr>
      <w:r w:rsidRPr="00EE7913">
        <w:rPr>
          <w:noProof/>
          <w:lang w:eastAsia="ca-ES"/>
        </w:rPr>
        <w:drawing>
          <wp:inline distT="0" distB="0" distL="0" distR="0" wp14:anchorId="61202F94" wp14:editId="2ACE1BA8">
            <wp:extent cx="3124200" cy="1402200"/>
            <wp:effectExtent l="0" t="0" r="0" b="7620"/>
            <wp:docPr id="101" name="Imatg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119119" cy="1399920"/>
                    </a:xfrm>
                    <a:prstGeom prst="rect">
                      <a:avLst/>
                    </a:prstGeom>
                    <a:noFill/>
                    <a:ln>
                      <a:noFill/>
                    </a:ln>
                  </pic:spPr>
                </pic:pic>
              </a:graphicData>
            </a:graphic>
          </wp:inline>
        </w:drawing>
      </w:r>
    </w:p>
    <w:p w:rsidR="00AD76E0" w:rsidRPr="00EE7913" w:rsidRDefault="009A1F67" w:rsidP="004D7A4B">
      <w:pPr>
        <w:pStyle w:val="Llegenda"/>
        <w:jc w:val="center"/>
      </w:pPr>
      <w:bookmarkStart w:id="453" w:name="_Toc465293840"/>
      <w:r>
        <w:t>Gràfic</w:t>
      </w:r>
      <w:r w:rsidR="004D7A4B">
        <w:t xml:space="preserve"> </w:t>
      </w:r>
      <w:r w:rsidR="00DB496B">
        <w:fldChar w:fldCharType="begin"/>
      </w:r>
      <w:r w:rsidR="00DB496B">
        <w:instrText xml:space="preserve"> SEQ Il·lustració \* ARABIC </w:instrText>
      </w:r>
      <w:r w:rsidR="00DB496B">
        <w:fldChar w:fldCharType="separate"/>
      </w:r>
      <w:r w:rsidR="00C952DF">
        <w:rPr>
          <w:noProof/>
        </w:rPr>
        <w:t>34</w:t>
      </w:r>
      <w:r w:rsidR="00DB496B">
        <w:rPr>
          <w:noProof/>
        </w:rPr>
        <w:fldChar w:fldCharType="end"/>
      </w:r>
      <w:r w:rsidR="004D7A4B">
        <w:t xml:space="preserve">. </w:t>
      </w:r>
      <w:r w:rsidR="004D7A4B" w:rsidRPr="00F34B2D">
        <w:t>Personal dels centres penitenciaris 2013-2016 per àmbit d’actuació</w:t>
      </w:r>
      <w:bookmarkEnd w:id="453"/>
    </w:p>
    <w:p w:rsidR="00AD76E0" w:rsidRPr="00EE7913" w:rsidRDefault="00AD76E0" w:rsidP="00AD76E0">
      <w:pPr>
        <w:spacing w:before="0" w:after="0" w:line="276" w:lineRule="auto"/>
      </w:pPr>
    </w:p>
    <w:p w:rsidR="00AD76E0" w:rsidRPr="00EE7913" w:rsidRDefault="00AD76E0" w:rsidP="00B517F7">
      <w:r w:rsidRPr="00EE7913">
        <w:t>Actualment (31/08/2016), la plantilla de personal adscrit als centres penitenciaris de Catalunya és de 4.644 persones (65 equips directius, 759 tractament i rehabilitació; 3.299 servei interior i àrea mixta; 450 àrea administrativa i tècnica i 71 personal de servei).</w:t>
      </w:r>
    </w:p>
    <w:p w:rsidR="00AD76E0" w:rsidRPr="00EE7913" w:rsidRDefault="00AD76E0" w:rsidP="00AD76E0">
      <w:pPr>
        <w:spacing w:before="0" w:after="0" w:line="276" w:lineRule="auto"/>
      </w:pPr>
    </w:p>
    <w:p w:rsidR="004D7A4B" w:rsidRDefault="00AD76E0" w:rsidP="004D7A4B">
      <w:pPr>
        <w:keepNext/>
        <w:spacing w:before="0" w:after="0" w:line="276" w:lineRule="auto"/>
        <w:jc w:val="center"/>
      </w:pPr>
      <w:r w:rsidRPr="00EE7913">
        <w:rPr>
          <w:noProof/>
          <w:lang w:eastAsia="ca-ES"/>
        </w:rPr>
        <w:lastRenderedPageBreak/>
        <w:drawing>
          <wp:inline distT="0" distB="0" distL="0" distR="0" wp14:anchorId="654C686E" wp14:editId="3F4F4044">
            <wp:extent cx="4731488" cy="2892758"/>
            <wp:effectExtent l="0" t="0" r="0" b="3175"/>
            <wp:docPr id="102"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734512" cy="2894607"/>
                    </a:xfrm>
                    <a:prstGeom prst="rect">
                      <a:avLst/>
                    </a:prstGeom>
                    <a:noFill/>
                    <a:ln>
                      <a:noFill/>
                    </a:ln>
                  </pic:spPr>
                </pic:pic>
              </a:graphicData>
            </a:graphic>
          </wp:inline>
        </w:drawing>
      </w:r>
    </w:p>
    <w:p w:rsidR="00AD76E0" w:rsidRPr="00EE7913" w:rsidRDefault="009A1F67" w:rsidP="004D7A4B">
      <w:pPr>
        <w:pStyle w:val="Llegenda"/>
        <w:jc w:val="center"/>
      </w:pPr>
      <w:bookmarkStart w:id="454" w:name="_Toc465293841"/>
      <w:r>
        <w:t>Gràfic</w:t>
      </w:r>
      <w:r w:rsidR="004D7A4B">
        <w:t xml:space="preserve"> </w:t>
      </w:r>
      <w:r w:rsidR="00DB496B">
        <w:fldChar w:fldCharType="begin"/>
      </w:r>
      <w:r w:rsidR="00DB496B">
        <w:instrText xml:space="preserve"> SEQ Il·lustració \* ARABIC </w:instrText>
      </w:r>
      <w:r w:rsidR="00DB496B">
        <w:fldChar w:fldCharType="separate"/>
      </w:r>
      <w:r w:rsidR="00C952DF">
        <w:rPr>
          <w:noProof/>
        </w:rPr>
        <w:t>35</w:t>
      </w:r>
      <w:r w:rsidR="00DB496B">
        <w:rPr>
          <w:noProof/>
        </w:rPr>
        <w:fldChar w:fldCharType="end"/>
      </w:r>
      <w:r w:rsidR="004D7A4B">
        <w:t xml:space="preserve">. </w:t>
      </w:r>
      <w:r w:rsidR="004D7A4B" w:rsidRPr="00974692">
        <w:t>Persones internes / Plantilla de personal centres penitenciaris 1990-2016</w:t>
      </w:r>
      <w:bookmarkEnd w:id="454"/>
    </w:p>
    <w:p w:rsidR="00AD76E0" w:rsidRPr="00EE7913" w:rsidRDefault="00AD76E0" w:rsidP="00AD76E0"/>
    <w:p w:rsidR="004D7A4B" w:rsidRDefault="00AD76E0" w:rsidP="004D7A4B">
      <w:pPr>
        <w:keepNext/>
        <w:jc w:val="center"/>
      </w:pPr>
      <w:r w:rsidRPr="00EE7913">
        <w:rPr>
          <w:noProof/>
          <w:lang w:eastAsia="ca-ES"/>
        </w:rPr>
        <w:drawing>
          <wp:inline distT="0" distB="0" distL="0" distR="0" wp14:anchorId="53AE369D" wp14:editId="5D7218DF">
            <wp:extent cx="4958528" cy="3157870"/>
            <wp:effectExtent l="0" t="0" r="0" b="4445"/>
            <wp:docPr id="103"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958682" cy="3157968"/>
                    </a:xfrm>
                    <a:prstGeom prst="rect">
                      <a:avLst/>
                    </a:prstGeom>
                    <a:noFill/>
                    <a:ln>
                      <a:noFill/>
                    </a:ln>
                  </pic:spPr>
                </pic:pic>
              </a:graphicData>
            </a:graphic>
          </wp:inline>
        </w:drawing>
      </w:r>
    </w:p>
    <w:p w:rsidR="00AD76E0" w:rsidRPr="00EE7913" w:rsidRDefault="009A1F67" w:rsidP="004D7A4B">
      <w:pPr>
        <w:pStyle w:val="Llegenda"/>
        <w:jc w:val="center"/>
      </w:pPr>
      <w:bookmarkStart w:id="455" w:name="_Toc465293842"/>
      <w:r>
        <w:t>Gràfic</w:t>
      </w:r>
      <w:r w:rsidR="004D7A4B">
        <w:t xml:space="preserve"> </w:t>
      </w:r>
      <w:r w:rsidR="00DB496B">
        <w:fldChar w:fldCharType="begin"/>
      </w:r>
      <w:r w:rsidR="00DB496B">
        <w:instrText xml:space="preserve"> SEQ Il·lustració \* ARABIC </w:instrText>
      </w:r>
      <w:r w:rsidR="00DB496B">
        <w:fldChar w:fldCharType="separate"/>
      </w:r>
      <w:r w:rsidR="00C952DF">
        <w:rPr>
          <w:noProof/>
        </w:rPr>
        <w:t>36</w:t>
      </w:r>
      <w:r w:rsidR="00DB496B">
        <w:rPr>
          <w:noProof/>
        </w:rPr>
        <w:fldChar w:fldCharType="end"/>
      </w:r>
      <w:r w:rsidR="004D7A4B">
        <w:t xml:space="preserve">. </w:t>
      </w:r>
      <w:r w:rsidR="004D7A4B" w:rsidRPr="001C3D08">
        <w:t>Persones internes / Plantilla de personal centres penitenciaris 1990-2016</w:t>
      </w:r>
      <w:bookmarkEnd w:id="455"/>
    </w:p>
    <w:p w:rsidR="00AD76E0" w:rsidRDefault="00AD76E0" w:rsidP="00AD76E0"/>
    <w:p w:rsidR="00AD76E0" w:rsidRPr="007B65CD" w:rsidRDefault="00AD76E0" w:rsidP="0070401F">
      <w:pPr>
        <w:pStyle w:val="Ttol3"/>
      </w:pPr>
      <w:bookmarkStart w:id="456" w:name="_Toc464726380"/>
      <w:bookmarkStart w:id="457" w:name="_Toc465293441"/>
      <w:r w:rsidRPr="007B65CD">
        <w:t>La selecció de personal i la provisió de llocs de treball</w:t>
      </w:r>
      <w:bookmarkEnd w:id="456"/>
      <w:bookmarkEnd w:id="457"/>
    </w:p>
    <w:p w:rsidR="00AD76E0" w:rsidRPr="00EE7913" w:rsidRDefault="00AD76E0" w:rsidP="00AD76E0">
      <w:pPr>
        <w:spacing w:before="0" w:after="0" w:line="276" w:lineRule="auto"/>
      </w:pPr>
    </w:p>
    <w:p w:rsidR="00AD76E0" w:rsidRPr="00EE7913" w:rsidRDefault="00AD76E0" w:rsidP="00B517F7">
      <w:r>
        <w:t>Habitualment, diferents òrgans administratius del Departament de Justícia s’han encarregat de l</w:t>
      </w:r>
      <w:r w:rsidRPr="00EE7913">
        <w:t xml:space="preserve">a selecció i provisió del personal de l’àmbit d’execució penal, mitjançant l’atribució de competències atorgada pel Govern a proposta del departament competent en matèria de funció pública. En la gestió dels primers processos que </w:t>
      </w:r>
      <w:r>
        <w:t>va dur a terme el</w:t>
      </w:r>
      <w:r w:rsidRPr="00EE7913">
        <w:t xml:space="preserve"> Departament de Justícia</w:t>
      </w:r>
      <w:r>
        <w:t>,</w:t>
      </w:r>
      <w:r w:rsidRPr="00EE7913">
        <w:t xml:space="preserve"> es va</w:t>
      </w:r>
      <w:r>
        <w:t>n</w:t>
      </w:r>
      <w:r w:rsidRPr="00EE7913">
        <w:t xml:space="preserve"> prendre com a model </w:t>
      </w:r>
      <w:r>
        <w:t>els de</w:t>
      </w:r>
      <w:r w:rsidRPr="00EE7913">
        <w:t xml:space="preserve"> l’Administració de l’Estat. A mesura que es va anar desenvolupant el model penitenciari català</w:t>
      </w:r>
      <w:r>
        <w:t>,</w:t>
      </w:r>
      <w:r w:rsidRPr="00EE7913">
        <w:t xml:space="preserve"> es va anar ajustant la selecció i la provisió </w:t>
      </w:r>
      <w:r w:rsidRPr="00EE7913">
        <w:lastRenderedPageBreak/>
        <w:t>d’aquest personal a les necessitats específiques de l’Administració de la Generalitat de Catalunya.</w:t>
      </w:r>
    </w:p>
    <w:p w:rsidR="00AD76E0" w:rsidRPr="00EE7913" w:rsidRDefault="00AD76E0" w:rsidP="00B517F7"/>
    <w:p w:rsidR="00AD76E0" w:rsidRPr="00EE7913" w:rsidRDefault="00AD76E0" w:rsidP="00B517F7">
      <w:r w:rsidRPr="00EE7913">
        <w:t>Des del Departament de Justícia s’han planificat, organitzat i gestionat, d’una banda, els processos de selecció d’accés a cossos de serveis penitenciaris i, d’altra banda, els diferents processos</w:t>
      </w:r>
      <w:r>
        <w:t xml:space="preserve"> de</w:t>
      </w:r>
      <w:r w:rsidRPr="00EE7913">
        <w:t xml:space="preserve"> provisió, com els concursos generals de trasllats, els concursos específics, els concursos de lliure designació, així com altres processos de desenvolupament professional.</w:t>
      </w:r>
    </w:p>
    <w:p w:rsidR="00AD76E0" w:rsidRPr="00EE7913" w:rsidRDefault="00AD76E0" w:rsidP="00B517F7"/>
    <w:p w:rsidR="00AD76E0" w:rsidRDefault="00AD76E0" w:rsidP="00B517F7">
      <w:r w:rsidRPr="00EE7913">
        <w:t>Cal destacar la importància</w:t>
      </w:r>
      <w:r>
        <w:t xml:space="preserve"> que,</w:t>
      </w:r>
      <w:r w:rsidRPr="00EE7913">
        <w:t xml:space="preserve"> en matèria de selecció i provisió</w:t>
      </w:r>
      <w:r>
        <w:t>,</w:t>
      </w:r>
      <w:r w:rsidRPr="00EE7913">
        <w:t xml:space="preserve"> té la regulació dels àmbits funcionals de l’Administració de la Generalitat de Catalunya, mitjançant el Decret 202/2008, i la posterior creació de l’àmbit funcional d’execució penal de l’Administració de la Generalitat de Catalunya, que agrupa llocs de treball de personal funcionari del cos </w:t>
      </w:r>
      <w:r>
        <w:t>superior d’a</w:t>
      </w:r>
      <w:r w:rsidRPr="00EE7913">
        <w:t xml:space="preserve">dministració, </w:t>
      </w:r>
      <w:r>
        <w:t>titulació de dret; cos de titulació superior, psicologia; cos de titulació s</w:t>
      </w:r>
      <w:r w:rsidRPr="00EE7913">
        <w:t>uperior, grup de</w:t>
      </w:r>
      <w:r>
        <w:t xml:space="preserve"> serveis penitenciaris; cos de d</w:t>
      </w:r>
      <w:r w:rsidRPr="00EE7913">
        <w:t>iploma</w:t>
      </w:r>
      <w:r>
        <w:t>tura, educació social; cos de diplomatura, treball social; cos de d</w:t>
      </w:r>
      <w:r w:rsidRPr="00EE7913">
        <w:t>iplomatura, grup d</w:t>
      </w:r>
      <w:r>
        <w:t>e serveis penitenciaris, i cos tècnic d’e</w:t>
      </w:r>
      <w:r w:rsidRPr="00EE7913">
        <w:t>specialistes, grup de serveis penitenciaris. La creació de l’àmbit funcional d’execució penal reconeix l’especificitat dels llocs de treball d’aquest àmbit atès que l’exercici de les funcions que tenen encomanades implica el desenvolupament de competències professionals concretes i coneixements específics dins de cada cos i especialitat vinculats a la matèria penal i criminològica.</w:t>
      </w:r>
    </w:p>
    <w:p w:rsidR="00AD76E0" w:rsidRDefault="00AD76E0" w:rsidP="00AD76E0">
      <w:pPr>
        <w:spacing w:before="0" w:after="0" w:line="276" w:lineRule="auto"/>
      </w:pPr>
    </w:p>
    <w:p w:rsidR="004D7A4B" w:rsidRDefault="00AD76E0" w:rsidP="004D7A4B">
      <w:pPr>
        <w:keepNext/>
        <w:spacing w:before="0" w:after="0"/>
        <w:jc w:val="center"/>
      </w:pPr>
      <w:r w:rsidRPr="00EE7913">
        <w:rPr>
          <w:noProof/>
          <w:lang w:eastAsia="ca-ES"/>
        </w:rPr>
        <w:drawing>
          <wp:inline distT="0" distB="0" distL="0" distR="0" wp14:anchorId="44D26D64" wp14:editId="57BB5F95">
            <wp:extent cx="4447509" cy="2301281"/>
            <wp:effectExtent l="0" t="0" r="0" b="3810"/>
            <wp:docPr id="104"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466349" cy="2311029"/>
                    </a:xfrm>
                    <a:prstGeom prst="rect">
                      <a:avLst/>
                    </a:prstGeom>
                    <a:noFill/>
                    <a:ln>
                      <a:noFill/>
                    </a:ln>
                  </pic:spPr>
                </pic:pic>
              </a:graphicData>
            </a:graphic>
          </wp:inline>
        </w:drawing>
      </w:r>
    </w:p>
    <w:p w:rsidR="00AD76E0" w:rsidRPr="00EE7913" w:rsidRDefault="009A1F67" w:rsidP="004D7A4B">
      <w:pPr>
        <w:pStyle w:val="Llegenda"/>
        <w:jc w:val="center"/>
      </w:pPr>
      <w:bookmarkStart w:id="458" w:name="_Toc465293843"/>
      <w:r>
        <w:t>Gràfic</w:t>
      </w:r>
      <w:r w:rsidR="004D7A4B">
        <w:t xml:space="preserve"> </w:t>
      </w:r>
      <w:r w:rsidR="00DB496B">
        <w:fldChar w:fldCharType="begin"/>
      </w:r>
      <w:r w:rsidR="00DB496B">
        <w:instrText xml:space="preserve"> SEQ Il·lustració \* ARABIC </w:instrText>
      </w:r>
      <w:r w:rsidR="00DB496B">
        <w:fldChar w:fldCharType="separate"/>
      </w:r>
      <w:r w:rsidR="00C952DF">
        <w:rPr>
          <w:noProof/>
        </w:rPr>
        <w:t>37</w:t>
      </w:r>
      <w:r w:rsidR="00DB496B">
        <w:rPr>
          <w:noProof/>
        </w:rPr>
        <w:fldChar w:fldCharType="end"/>
      </w:r>
      <w:r w:rsidR="004D7A4B">
        <w:t xml:space="preserve">. </w:t>
      </w:r>
      <w:r w:rsidR="004D7A4B" w:rsidRPr="00770340">
        <w:t>Personal dels centres penitenciaris a 31.8.2016 per tipus de lloc i tipus de vinculació</w:t>
      </w:r>
      <w:bookmarkEnd w:id="458"/>
    </w:p>
    <w:p w:rsidR="00AD76E0" w:rsidRPr="00EE7913" w:rsidRDefault="00AD76E0" w:rsidP="00AD76E0">
      <w:pPr>
        <w:spacing w:before="0" w:after="0" w:line="276" w:lineRule="auto"/>
      </w:pPr>
    </w:p>
    <w:p w:rsidR="00AD76E0" w:rsidRPr="00EE7913" w:rsidRDefault="00AD76E0" w:rsidP="00AD76E0">
      <w:pPr>
        <w:spacing w:before="0" w:after="0" w:line="276" w:lineRule="auto"/>
      </w:pPr>
    </w:p>
    <w:p w:rsidR="00AD76E0" w:rsidRPr="00EE7913" w:rsidRDefault="00AD76E0" w:rsidP="0070401F">
      <w:pPr>
        <w:pStyle w:val="Ttol4"/>
      </w:pPr>
      <w:bookmarkStart w:id="459" w:name="_Toc464726381"/>
      <w:r w:rsidRPr="00EE7913">
        <w:t>La selecció i la promoció interna</w:t>
      </w:r>
      <w:bookmarkEnd w:id="459"/>
    </w:p>
    <w:p w:rsidR="00AD76E0" w:rsidRPr="00EE7913" w:rsidRDefault="00AD76E0" w:rsidP="00B517F7"/>
    <w:p w:rsidR="00AD76E0" w:rsidRPr="00EE7913" w:rsidRDefault="00AD76E0" w:rsidP="00B517F7">
      <w:r w:rsidRPr="00EE7913">
        <w:t xml:space="preserve">Des de l’any 1987, el Departament de Justícia, mitjançant la Direcció General de Serveis Penitenciaris, ha convocat 24 processos d’accés lliure als cossos de </w:t>
      </w:r>
      <w:r>
        <w:t>t</w:t>
      </w:r>
      <w:r w:rsidRPr="00EE7913">
        <w:t xml:space="preserve">itulació </w:t>
      </w:r>
      <w:r>
        <w:t>s</w:t>
      </w:r>
      <w:r w:rsidRPr="00EE7913">
        <w:t xml:space="preserve">uperior, </w:t>
      </w:r>
      <w:r>
        <w:t>d</w:t>
      </w:r>
      <w:r w:rsidRPr="00EE7913">
        <w:t xml:space="preserve">iplomatura, </w:t>
      </w:r>
      <w:r>
        <w:t>t</w:t>
      </w:r>
      <w:r w:rsidRPr="00EE7913">
        <w:t>ècnic d’</w:t>
      </w:r>
      <w:r>
        <w:t>e</w:t>
      </w:r>
      <w:r w:rsidRPr="00EE7913">
        <w:t xml:space="preserve">specialistes i </w:t>
      </w:r>
      <w:r>
        <w:t>a</w:t>
      </w:r>
      <w:r w:rsidRPr="00EE7913">
        <w:t xml:space="preserve">uxiliar </w:t>
      </w:r>
      <w:r>
        <w:t>t</w:t>
      </w:r>
      <w:r w:rsidRPr="00EE7913">
        <w:t>ècnic, del grup de serveis penitenciaris.</w:t>
      </w:r>
    </w:p>
    <w:p w:rsidR="00AD76E0" w:rsidRPr="00EE7913" w:rsidRDefault="00AD76E0" w:rsidP="00B517F7"/>
    <w:p w:rsidR="00AD76E0" w:rsidRPr="00EE7913" w:rsidRDefault="00AD76E0" w:rsidP="00B517F7">
      <w:r w:rsidRPr="00EE7913">
        <w:t>Els processos selectius d’accés són els que més han evolucionat en la seva gestió i execució.</w:t>
      </w:r>
    </w:p>
    <w:p w:rsidR="00AD76E0" w:rsidRPr="00EE7913" w:rsidRDefault="00AD76E0" w:rsidP="00B517F7"/>
    <w:p w:rsidR="00AD76E0" w:rsidRPr="00EE7913" w:rsidRDefault="00AD76E0" w:rsidP="00B517F7">
      <w:r w:rsidRPr="00EE7913">
        <w:t>En els processos de selecció realitzats fins a l’any 1990, seguint el model estatal, l’oferta de llocs estava diferenciada per sexe. El procés de selecció consistia en la realització de proves psicotècniques d’intel·ligència, aptituds i personalitat i proves de coneixements (qüestionari i casos pràctics). El curs de formació tenia una durada màxima de 50 hores</w:t>
      </w:r>
      <w:r>
        <w:t>,</w:t>
      </w:r>
      <w:r w:rsidRPr="00EE7913">
        <w:t xml:space="preserve"> i l’acreditació de la capacitat física de les persones candidates es realitzava mitjançant la presentació d’un certificat mèdic.</w:t>
      </w:r>
    </w:p>
    <w:p w:rsidR="00AD76E0" w:rsidRPr="00EE7913" w:rsidRDefault="00AD76E0" w:rsidP="00B517F7"/>
    <w:p w:rsidR="00AD76E0" w:rsidRPr="00EE7913" w:rsidRDefault="00AD76E0" w:rsidP="00B517F7">
      <w:r w:rsidRPr="00EE7913">
        <w:t>A partir de l’any 1991 es va eliminar la distinció dels llocs oferts per sexe</w:t>
      </w:r>
      <w:r>
        <w:t>,</w:t>
      </w:r>
      <w:r w:rsidRPr="00EE7913">
        <w:t xml:space="preserve"> i en els processos de selecció s’introdueixen altres proves:</w:t>
      </w:r>
      <w:r>
        <w:t xml:space="preserve"> proves físiques, mèdiques, etc.</w:t>
      </w:r>
      <w:r w:rsidRPr="00EE7913">
        <w:t>,</w:t>
      </w:r>
      <w:r>
        <w:t xml:space="preserve"> i</w:t>
      </w:r>
      <w:r w:rsidRPr="00EE7913">
        <w:t xml:space="preserve"> s’incrementa la durada dels cursos selectius de formació</w:t>
      </w:r>
      <w:r>
        <w:t>,</w:t>
      </w:r>
      <w:r w:rsidRPr="00EE7913">
        <w:t xml:space="preserve"> que en els darrers anys també inclou la realització d’una part pràctica.</w:t>
      </w:r>
    </w:p>
    <w:p w:rsidR="00AD76E0" w:rsidRPr="00EE7913" w:rsidRDefault="00AD76E0" w:rsidP="00B517F7"/>
    <w:p w:rsidR="00AD76E0" w:rsidRPr="00EE7913" w:rsidRDefault="00AD76E0" w:rsidP="00B517F7">
      <w:r w:rsidRPr="00EE7913">
        <w:t>A partir de l’any 2008, es deixen d’oferir places per al torn de discapacitats i es realitza un avanç important en matèria tecnològica</w:t>
      </w:r>
      <w:r>
        <w:t>,</w:t>
      </w:r>
      <w:r w:rsidRPr="00EE7913">
        <w:t xml:space="preserve"> habilitant la presentació de sol·licituds per via telemàtica.</w:t>
      </w:r>
    </w:p>
    <w:p w:rsidR="00AD76E0" w:rsidRPr="00EE7913" w:rsidRDefault="00AD76E0" w:rsidP="00AD76E0">
      <w:pPr>
        <w:spacing w:before="0" w:after="0" w:line="276" w:lineRule="auto"/>
      </w:pPr>
    </w:p>
    <w:p w:rsidR="00AD76E0" w:rsidRPr="00EE7913" w:rsidRDefault="00AD76E0" w:rsidP="00AD76E0">
      <w:pPr>
        <w:spacing w:before="0" w:after="0" w:line="276" w:lineRule="auto"/>
        <w:rPr>
          <w:i/>
          <w:sz w:val="12"/>
          <w:szCs w:val="12"/>
        </w:rPr>
      </w:pPr>
    </w:p>
    <w:p w:rsidR="004D7A4B" w:rsidRDefault="00AD76E0" w:rsidP="004D7A4B">
      <w:pPr>
        <w:keepNext/>
        <w:spacing w:before="0" w:after="0" w:line="276" w:lineRule="auto"/>
        <w:jc w:val="center"/>
      </w:pPr>
      <w:r w:rsidRPr="00EE7913">
        <w:rPr>
          <w:noProof/>
          <w:lang w:eastAsia="ca-ES"/>
        </w:rPr>
        <w:drawing>
          <wp:inline distT="0" distB="0" distL="0" distR="0" wp14:anchorId="6290EC64" wp14:editId="6CC9A007">
            <wp:extent cx="3798925" cy="666750"/>
            <wp:effectExtent l="0" t="0" r="0" b="0"/>
            <wp:docPr id="105" name="Imatg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837006" cy="673434"/>
                    </a:xfrm>
                    <a:prstGeom prst="rect">
                      <a:avLst/>
                    </a:prstGeom>
                    <a:noFill/>
                    <a:ln>
                      <a:noFill/>
                    </a:ln>
                  </pic:spPr>
                </pic:pic>
              </a:graphicData>
            </a:graphic>
          </wp:inline>
        </w:drawing>
      </w:r>
    </w:p>
    <w:p w:rsidR="00AD76E0" w:rsidRPr="00EE7913" w:rsidRDefault="009A1F67" w:rsidP="004D7A4B">
      <w:pPr>
        <w:pStyle w:val="Llegenda"/>
        <w:jc w:val="center"/>
        <w:rPr>
          <w:i/>
        </w:rPr>
      </w:pPr>
      <w:bookmarkStart w:id="460" w:name="_Toc465293844"/>
      <w:r>
        <w:t>Gràfic</w:t>
      </w:r>
      <w:r w:rsidR="004D7A4B">
        <w:t xml:space="preserve"> </w:t>
      </w:r>
      <w:r w:rsidR="00DB496B">
        <w:fldChar w:fldCharType="begin"/>
      </w:r>
      <w:r w:rsidR="00DB496B">
        <w:instrText xml:space="preserve"> SEQ Il·lustració \* ARABIC </w:instrText>
      </w:r>
      <w:r w:rsidR="00DB496B">
        <w:fldChar w:fldCharType="separate"/>
      </w:r>
      <w:r w:rsidR="00C952DF">
        <w:rPr>
          <w:noProof/>
        </w:rPr>
        <w:t>38</w:t>
      </w:r>
      <w:r w:rsidR="00DB496B">
        <w:rPr>
          <w:noProof/>
        </w:rPr>
        <w:fldChar w:fldCharType="end"/>
      </w:r>
      <w:r w:rsidR="004D7A4B">
        <w:t xml:space="preserve">. </w:t>
      </w:r>
      <w:r w:rsidR="004D7A4B" w:rsidRPr="001F0734">
        <w:t>Places ofertes en concurs-oposició lliure</w:t>
      </w:r>
      <w:bookmarkEnd w:id="460"/>
    </w:p>
    <w:p w:rsidR="00AD76E0" w:rsidRPr="00EE7913" w:rsidRDefault="00AD76E0" w:rsidP="00AD76E0">
      <w:pPr>
        <w:spacing w:before="0" w:after="0" w:line="276" w:lineRule="auto"/>
      </w:pPr>
    </w:p>
    <w:p w:rsidR="00AD76E0" w:rsidRPr="00EE7913" w:rsidRDefault="00AD76E0" w:rsidP="00AD76E0">
      <w:pPr>
        <w:spacing w:before="0" w:after="0" w:line="276" w:lineRule="auto"/>
      </w:pPr>
      <w:r w:rsidRPr="00EE7913">
        <w:t xml:space="preserve">Pel que fa a la promoció interna del cos </w:t>
      </w:r>
      <w:r>
        <w:t>a</w:t>
      </w:r>
      <w:r w:rsidRPr="00EE7913">
        <w:t xml:space="preserve">uxiliar </w:t>
      </w:r>
      <w:r>
        <w:t>t</w:t>
      </w:r>
      <w:r w:rsidRPr="00EE7913">
        <w:t xml:space="preserve">ècnic (actualment a extingir) al cos </w:t>
      </w:r>
      <w:r>
        <w:t>t</w:t>
      </w:r>
      <w:r w:rsidRPr="00EE7913">
        <w:t>ècnic d’</w:t>
      </w:r>
      <w:r>
        <w:t>e</w:t>
      </w:r>
      <w:r w:rsidRPr="00EE7913">
        <w:t>specialistes, grup de serveis penitenciaris, l’any 2009 es va convocar un procés en què es van oferir 181 places</w:t>
      </w:r>
      <w:r>
        <w:t>,</w:t>
      </w:r>
      <w:r w:rsidRPr="00EE7913">
        <w:t xml:space="preserve"> i resta pendent la realització d’un segon procés selectiu especial.</w:t>
      </w:r>
    </w:p>
    <w:p w:rsidR="00AD76E0" w:rsidRPr="00EE7913" w:rsidRDefault="00AD76E0" w:rsidP="00AD76E0">
      <w:pPr>
        <w:spacing w:before="0" w:after="0" w:line="276" w:lineRule="auto"/>
      </w:pPr>
    </w:p>
    <w:p w:rsidR="00AD76E0" w:rsidRDefault="00AD76E0" w:rsidP="00AD76E0">
      <w:pPr>
        <w:spacing w:before="0" w:after="0" w:line="276" w:lineRule="auto"/>
      </w:pPr>
      <w:r w:rsidRPr="00EE7913">
        <w:t>Finalment</w:t>
      </w:r>
      <w:r>
        <w:t>,</w:t>
      </w:r>
      <w:r w:rsidRPr="00EE7913">
        <w:t xml:space="preserve"> i pel que fa a la selecció i provisió provisional de llocs de treball, des de l’any 2014 s’està realitzant la cobertura provisional dels llocs de treball de l’àmbit de rehabilitació i de l’àmbit d’interior mitjançant la publicació de les ofertes al portal ATRI, d’acord amb els  criteris establerts per  la Direcció General de Funció Pública.</w:t>
      </w:r>
    </w:p>
    <w:p w:rsidR="00AD76E0" w:rsidRPr="00EE7913" w:rsidRDefault="00AD76E0" w:rsidP="00AD76E0">
      <w:pPr>
        <w:spacing w:before="0" w:after="0" w:line="276" w:lineRule="auto"/>
      </w:pPr>
    </w:p>
    <w:p w:rsidR="00AD76E0" w:rsidRPr="00EE7913" w:rsidRDefault="00AD76E0" w:rsidP="0070401F">
      <w:pPr>
        <w:pStyle w:val="Ttol4"/>
      </w:pPr>
      <w:bookmarkStart w:id="461" w:name="_Toc464726382"/>
      <w:r w:rsidRPr="00EE7913">
        <w:t>La provisió de llocs de treball</w:t>
      </w:r>
      <w:bookmarkEnd w:id="461"/>
    </w:p>
    <w:p w:rsidR="00AD76E0" w:rsidRPr="00EE7913" w:rsidRDefault="00AD76E0" w:rsidP="00AD76E0">
      <w:pPr>
        <w:spacing w:before="0" w:after="0"/>
      </w:pPr>
    </w:p>
    <w:p w:rsidR="00AD76E0" w:rsidRPr="00EE7913" w:rsidRDefault="00AD76E0" w:rsidP="00AD76E0">
      <w:pPr>
        <w:spacing w:before="0" w:after="0" w:line="276" w:lineRule="auto"/>
      </w:pPr>
      <w:r w:rsidRPr="00EE7913">
        <w:t xml:space="preserve">En aquest apartat cal distingir, d’una banda, els concursos generals, anomenats </w:t>
      </w:r>
      <w:r w:rsidRPr="007C2ACB">
        <w:rPr>
          <w:i/>
        </w:rPr>
        <w:t>concursos</w:t>
      </w:r>
      <w:r w:rsidRPr="00EE7913">
        <w:t xml:space="preserve"> </w:t>
      </w:r>
      <w:r w:rsidRPr="007C2ACB">
        <w:rPr>
          <w:i/>
        </w:rPr>
        <w:t>de trasllats</w:t>
      </w:r>
      <w:r w:rsidRPr="00EE7913">
        <w:t>, en què es convoca la provisió de llocs de treball amb una descripció genèrica i similar de finalitats i funcions, que permeten la consolidació dels llocs ocupats i la mobilitat de persones funcionàries que ocupen aquests llocs base, i, d’altra banda, els concursos específics o de lliure designació, consistents en processos de provisió de llocs de treball que es realitzen en funció d’una descripció pròpia i individualitzada de cada lloc de treball i que normalment signifiquen una progressió en la carrera professional de la persona que guanya aquests llocs. Aquests processos es gestionen d’acord amb les previsions del Decret 123/1997, de 13 de maig, pel qual s’aprova el Reglament general de provisió de llocs de treball i promoció professional dels funcionaris de l’Administració de la Generalitat de Catalunya.</w:t>
      </w:r>
    </w:p>
    <w:p w:rsidR="00AD76E0" w:rsidRPr="00EE7913" w:rsidRDefault="00AD76E0" w:rsidP="00AD76E0">
      <w:pPr>
        <w:spacing w:before="0" w:after="0" w:line="276" w:lineRule="auto"/>
        <w:rPr>
          <w:sz w:val="18"/>
        </w:rPr>
      </w:pPr>
    </w:p>
    <w:p w:rsidR="00F70243" w:rsidRDefault="00AD76E0" w:rsidP="00F70243">
      <w:pPr>
        <w:keepNext/>
        <w:spacing w:before="0" w:after="0" w:line="276" w:lineRule="auto"/>
      </w:pPr>
      <w:r w:rsidRPr="00EE7913">
        <w:rPr>
          <w:noProof/>
          <w:lang w:eastAsia="ca-ES"/>
        </w:rPr>
        <w:drawing>
          <wp:inline distT="0" distB="0" distL="0" distR="0" wp14:anchorId="22A30D72" wp14:editId="6447A2DB">
            <wp:extent cx="5760085" cy="2499802"/>
            <wp:effectExtent l="0" t="0" r="0" b="0"/>
            <wp:docPr id="74" name="Imatg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60085" cy="2499802"/>
                    </a:xfrm>
                    <a:prstGeom prst="rect">
                      <a:avLst/>
                    </a:prstGeom>
                    <a:noFill/>
                    <a:ln>
                      <a:noFill/>
                    </a:ln>
                  </pic:spPr>
                </pic:pic>
              </a:graphicData>
            </a:graphic>
          </wp:inline>
        </w:drawing>
      </w:r>
    </w:p>
    <w:p w:rsidR="00AD76E0" w:rsidRPr="00EE7913" w:rsidRDefault="009A1F67" w:rsidP="00F70243">
      <w:pPr>
        <w:pStyle w:val="Llegenda"/>
      </w:pPr>
      <w:bookmarkStart w:id="462" w:name="_Toc465293845"/>
      <w:r>
        <w:t>Gràfic</w:t>
      </w:r>
      <w:r w:rsidR="00F70243">
        <w:t xml:space="preserve"> </w:t>
      </w:r>
      <w:r w:rsidR="00DB496B">
        <w:fldChar w:fldCharType="begin"/>
      </w:r>
      <w:r w:rsidR="00DB496B">
        <w:instrText xml:space="preserve"> SEQ Il·lustració \* ARABIC </w:instrText>
      </w:r>
      <w:r w:rsidR="00DB496B">
        <w:fldChar w:fldCharType="separate"/>
      </w:r>
      <w:r w:rsidR="00C952DF">
        <w:rPr>
          <w:noProof/>
        </w:rPr>
        <w:t>39</w:t>
      </w:r>
      <w:r w:rsidR="00DB496B">
        <w:rPr>
          <w:noProof/>
        </w:rPr>
        <w:fldChar w:fldCharType="end"/>
      </w:r>
      <w:r w:rsidR="00F70243">
        <w:t xml:space="preserve">. </w:t>
      </w:r>
      <w:r w:rsidR="00F70243" w:rsidRPr="001D0727">
        <w:t>Concursos generals de mèrits i capacitats</w:t>
      </w:r>
      <w:r w:rsidR="00F70243">
        <w:t xml:space="preserve"> (</w:t>
      </w:r>
      <w:r w:rsidR="00F70243" w:rsidRPr="00EE7913">
        <w:rPr>
          <w:sz w:val="16"/>
        </w:rPr>
        <w:t>No es detallen els processos restringits</w:t>
      </w:r>
      <w:r w:rsidR="00F70243">
        <w:rPr>
          <w:sz w:val="16"/>
        </w:rPr>
        <w:t>)</w:t>
      </w:r>
      <w:bookmarkEnd w:id="462"/>
    </w:p>
    <w:p w:rsidR="00AD76E0" w:rsidRPr="00EE7913" w:rsidRDefault="00AD76E0" w:rsidP="00AD76E0">
      <w:pPr>
        <w:spacing w:before="0" w:after="0" w:line="276" w:lineRule="auto"/>
        <w:rPr>
          <w:sz w:val="16"/>
        </w:rPr>
      </w:pPr>
      <w:r w:rsidRPr="00EE7913">
        <w:rPr>
          <w:sz w:val="16"/>
        </w:rPr>
        <w:t xml:space="preserve"> </w:t>
      </w:r>
    </w:p>
    <w:p w:rsidR="00AD76E0" w:rsidRPr="00EE7913" w:rsidRDefault="00AD76E0" w:rsidP="00AD76E0">
      <w:pPr>
        <w:spacing w:before="0" w:after="0" w:line="276" w:lineRule="auto"/>
      </w:pPr>
    </w:p>
    <w:p w:rsidR="00AD76E0" w:rsidRPr="007C2ACB" w:rsidRDefault="00AD76E0" w:rsidP="00AD76E0">
      <w:pPr>
        <w:spacing w:before="0" w:after="0" w:line="276" w:lineRule="auto"/>
      </w:pPr>
      <w:r>
        <w:t>Pel que fa</w:t>
      </w:r>
      <w:r w:rsidRPr="00EE7913">
        <w:t xml:space="preserve"> a aquests processos</w:t>
      </w:r>
      <w:r>
        <w:t>,</w:t>
      </w:r>
      <w:r w:rsidRPr="00EE7913">
        <w:t xml:space="preserve"> </w:t>
      </w:r>
      <w:r w:rsidRPr="007C2ACB">
        <w:t>cal destacar:</w:t>
      </w:r>
    </w:p>
    <w:p w:rsidR="00AD76E0" w:rsidRPr="00EE7913" w:rsidRDefault="00AD76E0" w:rsidP="00B517F7"/>
    <w:p w:rsidR="00AD76E0" w:rsidRPr="00EE7913" w:rsidRDefault="00AD76E0" w:rsidP="00B517F7">
      <w:r w:rsidRPr="00EE7913">
        <w:t>La utilització dels processos de concursos de trasllats restringits (es determina el centre/s on han d’estar adscrites les persones que hi poden participar) com a eina de racionalització i organització dels serveis públics en els diferents plans directors d’equipaments penitenciaris.</w:t>
      </w:r>
    </w:p>
    <w:p w:rsidR="00AD76E0" w:rsidRPr="00EE7913" w:rsidRDefault="00AD76E0" w:rsidP="00B517F7"/>
    <w:p w:rsidR="00AD76E0" w:rsidRPr="00EE7913" w:rsidRDefault="00AD76E0" w:rsidP="00B517F7">
      <w:r w:rsidRPr="00EE7913">
        <w:t>L’existència d’un conveni entre el Ministeri d’Interior i el Departament de Justícia per facilitar la mobilitat interadministrativa entre funcionaris de les dues administracions penitenciàries.</w:t>
      </w:r>
    </w:p>
    <w:p w:rsidR="00AD76E0" w:rsidRPr="00EE7913" w:rsidRDefault="00AD76E0" w:rsidP="00B517F7"/>
    <w:p w:rsidR="00AD76E0" w:rsidRPr="00EE7913" w:rsidRDefault="00AD76E0" w:rsidP="00B517F7">
      <w:r w:rsidRPr="00EE7913">
        <w:t>Finalment</w:t>
      </w:r>
      <w:r>
        <w:t>,</w:t>
      </w:r>
      <w:r w:rsidRPr="00EE7913">
        <w:t xml:space="preserve"> i respecte a la valoració dels mèrits i capacitats, en la darrera convocatòria publicada l’any 2015 s’han realitzat modificacions en els factors de valoració amb l’objectiu de adaptar-los al contingut competencial dels llocs de treball.</w:t>
      </w:r>
    </w:p>
    <w:p w:rsidR="00AD76E0" w:rsidRPr="00EE7913" w:rsidRDefault="00AD76E0" w:rsidP="00AD76E0">
      <w:pPr>
        <w:spacing w:before="0"/>
        <w:jc w:val="left"/>
      </w:pPr>
    </w:p>
    <w:p w:rsidR="00F70243" w:rsidRDefault="00AD76E0" w:rsidP="00F70243">
      <w:pPr>
        <w:keepNext/>
        <w:spacing w:before="0" w:after="0" w:line="276" w:lineRule="auto"/>
      </w:pPr>
      <w:r w:rsidRPr="00EE7913">
        <w:rPr>
          <w:noProof/>
          <w:lang w:eastAsia="ca-ES"/>
        </w:rPr>
        <w:lastRenderedPageBreak/>
        <w:drawing>
          <wp:inline distT="0" distB="0" distL="0" distR="0" wp14:anchorId="57822D99" wp14:editId="381C1C13">
            <wp:extent cx="5760085" cy="3282872"/>
            <wp:effectExtent l="0" t="0" r="0" b="0"/>
            <wp:docPr id="73" name="Imatg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60085" cy="3282872"/>
                    </a:xfrm>
                    <a:prstGeom prst="rect">
                      <a:avLst/>
                    </a:prstGeom>
                    <a:noFill/>
                    <a:ln>
                      <a:noFill/>
                    </a:ln>
                  </pic:spPr>
                </pic:pic>
              </a:graphicData>
            </a:graphic>
          </wp:inline>
        </w:drawing>
      </w:r>
    </w:p>
    <w:p w:rsidR="00AD76E0" w:rsidRPr="00EE7913" w:rsidRDefault="009A1F67" w:rsidP="00F70243">
      <w:pPr>
        <w:pStyle w:val="Llegenda"/>
      </w:pPr>
      <w:bookmarkStart w:id="463" w:name="_Toc465293846"/>
      <w:r>
        <w:t>Gràfic</w:t>
      </w:r>
      <w:r w:rsidR="00F70243">
        <w:t xml:space="preserve"> </w:t>
      </w:r>
      <w:r w:rsidR="00DB496B">
        <w:fldChar w:fldCharType="begin"/>
      </w:r>
      <w:r w:rsidR="00DB496B">
        <w:instrText xml:space="preserve"> S</w:instrText>
      </w:r>
      <w:r w:rsidR="00DB496B">
        <w:instrText xml:space="preserve">EQ Il·lustració \* ARABIC </w:instrText>
      </w:r>
      <w:r w:rsidR="00DB496B">
        <w:fldChar w:fldCharType="separate"/>
      </w:r>
      <w:r w:rsidR="00C952DF">
        <w:rPr>
          <w:noProof/>
        </w:rPr>
        <w:t>40</w:t>
      </w:r>
      <w:r w:rsidR="00DB496B">
        <w:rPr>
          <w:noProof/>
        </w:rPr>
        <w:fldChar w:fldCharType="end"/>
      </w:r>
      <w:r w:rsidR="00F70243">
        <w:t xml:space="preserve">. </w:t>
      </w:r>
      <w:r w:rsidR="00F70243" w:rsidRPr="004E2502">
        <w:t>Concursos específics de mèrits i capacitats</w:t>
      </w:r>
      <w:bookmarkEnd w:id="463"/>
    </w:p>
    <w:p w:rsidR="00AD76E0" w:rsidRPr="00EE7913" w:rsidRDefault="00AD76E0" w:rsidP="00AD76E0">
      <w:pPr>
        <w:spacing w:before="0" w:after="0" w:line="276" w:lineRule="auto"/>
        <w:rPr>
          <w:sz w:val="16"/>
        </w:rPr>
      </w:pPr>
      <w:r w:rsidRPr="00EE7913">
        <w:rPr>
          <w:sz w:val="16"/>
        </w:rPr>
        <w:t>(1) processos en execució de sentències que poden modificar dades</w:t>
      </w:r>
    </w:p>
    <w:p w:rsidR="00AD76E0" w:rsidRPr="00EE7913" w:rsidRDefault="00AD76E0" w:rsidP="00AD76E0">
      <w:pPr>
        <w:spacing w:before="0" w:after="0" w:line="276" w:lineRule="auto"/>
      </w:pPr>
    </w:p>
    <w:p w:rsidR="00AD76E0" w:rsidRPr="007C2ACB" w:rsidRDefault="00AD76E0" w:rsidP="00AD76E0">
      <w:pPr>
        <w:spacing w:before="0" w:after="0" w:line="276" w:lineRule="auto"/>
      </w:pPr>
      <w:r>
        <w:t>Pel que fa</w:t>
      </w:r>
      <w:r w:rsidRPr="00EE7913">
        <w:t xml:space="preserve"> a aquests processos</w:t>
      </w:r>
      <w:r>
        <w:t>,</w:t>
      </w:r>
      <w:r w:rsidRPr="00EE7913">
        <w:t xml:space="preserve"> </w:t>
      </w:r>
      <w:r w:rsidRPr="007C2ACB">
        <w:t>cal destacar:</w:t>
      </w:r>
    </w:p>
    <w:p w:rsidR="00AD76E0" w:rsidRPr="00EE7913" w:rsidRDefault="00AD76E0" w:rsidP="00AD76E0">
      <w:pPr>
        <w:spacing w:before="0" w:after="0" w:line="276" w:lineRule="auto"/>
      </w:pPr>
    </w:p>
    <w:p w:rsidR="00AD76E0" w:rsidRPr="00EE7913" w:rsidRDefault="00AD76E0" w:rsidP="00AD76E0">
      <w:pPr>
        <w:spacing w:before="0" w:after="0" w:line="276" w:lineRule="auto"/>
      </w:pPr>
      <w:r w:rsidRPr="00EE7913">
        <w:t>La utilització dels processos de concursos restringits (es determina el centre/s on han d’estar adscrites les persones que hi poden participar) com a eina de racionalització i organització dels serveis públics en els  diferents plans directors d’equipaments penitenciaris.</w:t>
      </w:r>
    </w:p>
    <w:p w:rsidR="00AD76E0" w:rsidRPr="00EE7913" w:rsidRDefault="00AD76E0" w:rsidP="00AD76E0">
      <w:pPr>
        <w:spacing w:before="0" w:after="0" w:line="276" w:lineRule="auto"/>
      </w:pPr>
    </w:p>
    <w:p w:rsidR="00AD76E0" w:rsidRPr="00EE7913" w:rsidRDefault="00AD76E0" w:rsidP="00AD76E0">
      <w:pPr>
        <w:spacing w:before="0" w:after="0" w:line="276" w:lineRule="auto"/>
      </w:pPr>
      <w:r w:rsidRPr="00EE7913">
        <w:t>La realització de concursos de d</w:t>
      </w:r>
      <w:r>
        <w:t>ue</w:t>
      </w:r>
      <w:r w:rsidRPr="00EE7913">
        <w:t xml:space="preserve">s fases, excepte en el cas dels concursos restringits. La segona fase consta d’un programa </w:t>
      </w:r>
      <w:r>
        <w:t>d’avaluació pràctic.</w:t>
      </w:r>
    </w:p>
    <w:p w:rsidR="00AD76E0" w:rsidRPr="00EE7913" w:rsidRDefault="00AD76E0" w:rsidP="00AD76E0">
      <w:pPr>
        <w:spacing w:before="0" w:after="0" w:line="276" w:lineRule="auto"/>
      </w:pPr>
      <w:r w:rsidRPr="00EE7913">
        <w:t>El format de convocatòria ha estat modificat</w:t>
      </w:r>
      <w:r>
        <w:t>,</w:t>
      </w:r>
      <w:r w:rsidRPr="00EE7913">
        <w:t xml:space="preserve"> </w:t>
      </w:r>
      <w:r>
        <w:t>i ha passat</w:t>
      </w:r>
      <w:r w:rsidRPr="00EE7913">
        <w:t xml:space="preserve"> d’una única convocatòria per a tot</w:t>
      </w:r>
      <w:r>
        <w:t>s</w:t>
      </w:r>
      <w:r w:rsidRPr="00EE7913">
        <w:t xml:space="preserve"> els llocs a convocatòries independents per </w:t>
      </w:r>
      <w:r>
        <w:t xml:space="preserve">a </w:t>
      </w:r>
      <w:r w:rsidRPr="00EE7913">
        <w:t>cada lloc</w:t>
      </w:r>
      <w:r>
        <w:t>,</w:t>
      </w:r>
      <w:r w:rsidRPr="00EE7913">
        <w:t xml:space="preserve"> però publicades al mateix temps.</w:t>
      </w:r>
    </w:p>
    <w:p w:rsidR="00AD76E0" w:rsidRPr="00EE7913" w:rsidRDefault="00AD76E0" w:rsidP="00AD76E0">
      <w:pPr>
        <w:spacing w:before="0" w:after="0" w:line="276" w:lineRule="auto"/>
      </w:pPr>
      <w:r w:rsidRPr="00EE7913">
        <w:t>La gestió d’aquests processos a la vegada gene</w:t>
      </w:r>
      <w:r>
        <w:t>ra un increment de participació:</w:t>
      </w:r>
      <w:r w:rsidRPr="00EE7913">
        <w:t xml:space="preserve"> tothom participa </w:t>
      </w:r>
      <w:r>
        <w:t>en</w:t>
      </w:r>
      <w:r w:rsidRPr="00EE7913">
        <w:t xml:space="preserve"> tot, la qual cosa incideix directament en el temps de resolució dels processos</w:t>
      </w:r>
      <w:r>
        <w:t>,</w:t>
      </w:r>
      <w:r w:rsidRPr="00EE7913">
        <w:t xml:space="preserve"> que s’allarga més del que f</w:t>
      </w:r>
      <w:r>
        <w:t>ó</w:t>
      </w:r>
      <w:r w:rsidRPr="00EE7913">
        <w:t>ra desitjable i finalment incideix en</w:t>
      </w:r>
      <w:r>
        <w:t xml:space="preserve"> la cobertura dels llocs oferts.</w:t>
      </w:r>
    </w:p>
    <w:p w:rsidR="00AD76E0" w:rsidRPr="00EE7913" w:rsidRDefault="00AD76E0" w:rsidP="00AD76E0">
      <w:pPr>
        <w:spacing w:before="0" w:after="0" w:line="276" w:lineRule="auto"/>
      </w:pPr>
    </w:p>
    <w:p w:rsidR="00AD76E0" w:rsidRPr="00EE7913" w:rsidRDefault="00AD76E0" w:rsidP="00AD76E0">
      <w:pPr>
        <w:spacing w:before="0" w:after="0" w:line="276" w:lineRule="auto"/>
      </w:pPr>
      <w:r w:rsidRPr="00EE7913">
        <w:t>Finalment</w:t>
      </w:r>
      <w:r>
        <w:t>,</w:t>
      </w:r>
      <w:r w:rsidRPr="00EE7913">
        <w:t xml:space="preserve"> també cal destacar que en el marc dels processos de provisió, el Departament de Justícia ha </w:t>
      </w:r>
      <w:r>
        <w:t>fet</w:t>
      </w:r>
      <w:r w:rsidRPr="00EE7913">
        <w:t xml:space="preserve"> tres convocatòries de promoció professional en el mateix lloc de treball per tal de possibilitar als professionals que presten serveis als centres penitenciaris de Catalunya progressar de manera individualitzada i en el mateix lloc de treball com a reconeixement al desenvolupament professional en termes de coneixements, habilitats, competències i compromís amb l’organització.</w:t>
      </w:r>
    </w:p>
    <w:p w:rsidR="00AD76E0" w:rsidRPr="00EE7913" w:rsidRDefault="00AD76E0" w:rsidP="00AD76E0">
      <w:pPr>
        <w:spacing w:before="0" w:after="0" w:line="276" w:lineRule="auto"/>
      </w:pPr>
    </w:p>
    <w:p w:rsidR="00F70243" w:rsidRDefault="00AD76E0" w:rsidP="00F70243">
      <w:pPr>
        <w:keepNext/>
        <w:spacing w:before="0" w:after="0" w:line="276" w:lineRule="auto"/>
        <w:jc w:val="center"/>
      </w:pPr>
      <w:r w:rsidRPr="00EE7913">
        <w:rPr>
          <w:noProof/>
          <w:lang w:eastAsia="ca-ES"/>
        </w:rPr>
        <w:drawing>
          <wp:inline distT="0" distB="0" distL="0" distR="0" wp14:anchorId="38D1714C" wp14:editId="55F43D1C">
            <wp:extent cx="3564000" cy="629372"/>
            <wp:effectExtent l="0" t="0" r="0" b="0"/>
            <wp:docPr id="72" name="Imatg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564000" cy="629372"/>
                    </a:xfrm>
                    <a:prstGeom prst="rect">
                      <a:avLst/>
                    </a:prstGeom>
                    <a:noFill/>
                    <a:ln>
                      <a:noFill/>
                    </a:ln>
                  </pic:spPr>
                </pic:pic>
              </a:graphicData>
            </a:graphic>
          </wp:inline>
        </w:drawing>
      </w:r>
    </w:p>
    <w:p w:rsidR="00AD76E0" w:rsidRPr="00EE7913" w:rsidRDefault="009A1F67" w:rsidP="00F70243">
      <w:pPr>
        <w:pStyle w:val="Llegenda"/>
        <w:jc w:val="center"/>
      </w:pPr>
      <w:bookmarkStart w:id="464" w:name="_Toc465293847"/>
      <w:r>
        <w:t>Gràfic</w:t>
      </w:r>
      <w:r w:rsidR="00F70243">
        <w:t xml:space="preserve"> </w:t>
      </w:r>
      <w:r w:rsidR="00DB496B">
        <w:fldChar w:fldCharType="begin"/>
      </w:r>
      <w:r w:rsidR="00DB496B">
        <w:instrText xml:space="preserve"> SEQ Il·lustració \* ARABIC </w:instrText>
      </w:r>
      <w:r w:rsidR="00DB496B">
        <w:fldChar w:fldCharType="separate"/>
      </w:r>
      <w:r w:rsidR="00C952DF">
        <w:rPr>
          <w:noProof/>
        </w:rPr>
        <w:t>41</w:t>
      </w:r>
      <w:r w:rsidR="00DB496B">
        <w:rPr>
          <w:noProof/>
        </w:rPr>
        <w:fldChar w:fldCharType="end"/>
      </w:r>
      <w:r w:rsidR="00F70243">
        <w:t xml:space="preserve">. </w:t>
      </w:r>
      <w:r w:rsidR="00F70243" w:rsidRPr="00EF55B5">
        <w:t>Convocatòries de promoció professional en el mateix lloc</w:t>
      </w:r>
      <w:bookmarkEnd w:id="464"/>
    </w:p>
    <w:p w:rsidR="00AD76E0" w:rsidRPr="00EE7913" w:rsidRDefault="00AD76E0" w:rsidP="00AD76E0">
      <w:pPr>
        <w:spacing w:before="0" w:after="0" w:line="276" w:lineRule="auto"/>
        <w:jc w:val="center"/>
      </w:pPr>
    </w:p>
    <w:p w:rsidR="00AD76E0" w:rsidRPr="00EE7913" w:rsidRDefault="00AD76E0" w:rsidP="00AD76E0">
      <w:pPr>
        <w:spacing w:before="0"/>
        <w:jc w:val="left"/>
      </w:pPr>
    </w:p>
    <w:p w:rsidR="00AD76E0" w:rsidRDefault="00AD76E0" w:rsidP="0070401F">
      <w:pPr>
        <w:pStyle w:val="Ttol3"/>
      </w:pPr>
      <w:bookmarkStart w:id="465" w:name="_Toc464726383"/>
      <w:bookmarkStart w:id="466" w:name="_Toc465293442"/>
      <w:r w:rsidRPr="007B65CD">
        <w:t>La formació en l’àmbit de l’execució penal</w:t>
      </w:r>
      <w:bookmarkEnd w:id="465"/>
      <w:bookmarkEnd w:id="466"/>
    </w:p>
    <w:p w:rsidR="00AD76E0" w:rsidRPr="00AD76E0" w:rsidRDefault="00AD76E0" w:rsidP="00AD76E0"/>
    <w:p w:rsidR="00AD76E0" w:rsidRPr="00EE7913" w:rsidRDefault="00AD76E0" w:rsidP="0070401F">
      <w:pPr>
        <w:pStyle w:val="Ttol4"/>
      </w:pPr>
      <w:bookmarkStart w:id="467" w:name="_Toc464726384"/>
      <w:r w:rsidRPr="00EE7913">
        <w:t>Els orígens de la formació especialitzada en l’àmbit d’execució penal</w:t>
      </w:r>
      <w:bookmarkEnd w:id="467"/>
    </w:p>
    <w:p w:rsidR="00AD76E0" w:rsidRPr="00EE7913" w:rsidRDefault="00AD76E0" w:rsidP="00B517F7"/>
    <w:p w:rsidR="00AD76E0" w:rsidRPr="00EE7913" w:rsidRDefault="00AD76E0" w:rsidP="00B517F7">
      <w:r w:rsidRPr="00EE7913">
        <w:t>La formació dels professionals i la recerca aplicada a la millora de l’organització han tingut un paper rellevant en la història dels serveis del Departament de Justícia i</w:t>
      </w:r>
      <w:r>
        <w:t>,</w:t>
      </w:r>
      <w:r w:rsidRPr="00EE7913">
        <w:t xml:space="preserve"> en concret, com veurem, dels serveis d’execució penal.</w:t>
      </w:r>
    </w:p>
    <w:p w:rsidR="00AD76E0" w:rsidRPr="00EE7913" w:rsidRDefault="00AD76E0" w:rsidP="00B517F7"/>
    <w:p w:rsidR="00AD76E0" w:rsidRPr="00EE7913" w:rsidRDefault="00AD76E0" w:rsidP="00B517F7">
      <w:r w:rsidRPr="00EE7913">
        <w:t xml:space="preserve">L’any 1980 es va constituir el primer </w:t>
      </w:r>
      <w:r>
        <w:t>G</w:t>
      </w:r>
      <w:r w:rsidRPr="00EE7913">
        <w:t>overn de la Generalitat de l’actual etapa democràtica i</w:t>
      </w:r>
      <w:r>
        <w:t>,</w:t>
      </w:r>
      <w:r w:rsidRPr="00EE7913">
        <w:t xml:space="preserve"> només tres anys després, es </w:t>
      </w:r>
      <w:r>
        <w:t>va crear</w:t>
      </w:r>
      <w:r w:rsidRPr="00EE7913">
        <w:t xml:space="preserve"> el Centre d’Estudis i Formació (Decret 540/83, de 6 de desembre) com a òrgan d'aquest Departament destinat a oferir investigació, estudis i formació especialitzats que servissin de suport als seus diferents serveis. Aquest va ser l’origen de l’actual Centre d’Estudis Jurídics i Formació Especialitzada, que va rebre aquesta denominació a partir de 1990 (Llei 18/1990, de 15 de novembre).</w:t>
      </w:r>
    </w:p>
    <w:p w:rsidR="00AD76E0" w:rsidRPr="00EE7913" w:rsidRDefault="00AD76E0" w:rsidP="00B517F7"/>
    <w:p w:rsidR="00AD76E0" w:rsidRPr="00EE7913" w:rsidRDefault="00AD76E0" w:rsidP="00B517F7">
      <w:r w:rsidRPr="00EE7913">
        <w:t>Inicialment, el Centre va contribuir al desenvolupament i modernització d’una de les primeres competències traspassad</w:t>
      </w:r>
      <w:r>
        <w:t>es</w:t>
      </w:r>
      <w:r w:rsidRPr="00EE7913">
        <w:t xml:space="preserve"> per l’Estat a la Generalitat: la </w:t>
      </w:r>
      <w:r>
        <w:t>p</w:t>
      </w:r>
      <w:r w:rsidRPr="00EE7913">
        <w:t xml:space="preserve">rotecció i </w:t>
      </w:r>
      <w:r>
        <w:t>t</w:t>
      </w:r>
      <w:r w:rsidRPr="00EE7913">
        <w:t xml:space="preserve">utela de </w:t>
      </w:r>
      <w:r>
        <w:t>m</w:t>
      </w:r>
      <w:r w:rsidRPr="00EE7913">
        <w:t xml:space="preserve">enors, necessitat que va ser recollida per la Llei 11/85, de 13 de juny, de </w:t>
      </w:r>
      <w:r>
        <w:t>p</w:t>
      </w:r>
      <w:r w:rsidRPr="00EE7913">
        <w:t xml:space="preserve">rotecció de </w:t>
      </w:r>
      <w:r>
        <w:t>m</w:t>
      </w:r>
      <w:r w:rsidRPr="00EE7913">
        <w:t xml:space="preserve">enors. En aquell moment aquesta competència aplegava la protecció de menors (facultat protectora dels tribunals de menors) i també el que s’anomenava la </w:t>
      </w:r>
      <w:r w:rsidRPr="00285D91">
        <w:rPr>
          <w:i/>
        </w:rPr>
        <w:t>facultat reformadora</w:t>
      </w:r>
      <w:r>
        <w:t>,</w:t>
      </w:r>
      <w:r w:rsidRPr="00EE7913">
        <w:t xml:space="preserve"> que, anys després, constituiria l’àmbit específic de justícia juvenil.</w:t>
      </w:r>
    </w:p>
    <w:p w:rsidR="00AD76E0" w:rsidRPr="00EE7913" w:rsidRDefault="00AD76E0" w:rsidP="00B517F7"/>
    <w:p w:rsidR="00AD76E0" w:rsidRPr="00EE7913" w:rsidRDefault="00AD76E0" w:rsidP="00B517F7">
      <w:r w:rsidRPr="00EE7913">
        <w:t>Amb el traspàs de competències a Catalunya en matèria penitenciària, les activitats de formació inicial i contínua del Centre es van ampliar per donar cabuda al personal penitenciari. I</w:t>
      </w:r>
      <w:r>
        <w:t>,</w:t>
      </w:r>
      <w:r w:rsidRPr="00EE7913">
        <w:t xml:space="preserve"> a partir del Decret 320/1985, de 17 d'octubre, sobre atribució de competències a diferents departaments de la Generalitat de Catalunya pel que fa als cossos especials, el Centre es va convertir en l'instrument necessari per possibilitar l'exercici de les competències atribuïdes en aquest Decret al Departament de Justícia, pel que fa a la selecció i formació d’aquest personal.</w:t>
      </w:r>
    </w:p>
    <w:p w:rsidR="00AD76E0" w:rsidRPr="00EE7913" w:rsidRDefault="00AD76E0" w:rsidP="00AD76E0">
      <w:pPr>
        <w:spacing w:before="0" w:after="0" w:line="276" w:lineRule="auto"/>
      </w:pPr>
    </w:p>
    <w:p w:rsidR="00AD76E0" w:rsidRPr="00EE7913" w:rsidRDefault="00AD76E0" w:rsidP="00B517F7">
      <w:r w:rsidRPr="00EE7913">
        <w:t>Paral·lelament al desenvolupament progressiu dels serveis d’execució penal, mediació penal i atenció a la víctima, l’activitat formativa del CEJFE s’ha anat ampliant per donar resposta a la formació de professionals que han de fer-se càrrec de tots aquests àmbits de treball que impliquen tasques complexes, altament especialitzades i d’important valor social.</w:t>
      </w:r>
    </w:p>
    <w:p w:rsidR="00AD76E0" w:rsidRPr="00EE7913" w:rsidRDefault="00AD76E0" w:rsidP="00AD76E0">
      <w:pPr>
        <w:spacing w:before="0" w:after="0" w:line="276" w:lineRule="auto"/>
      </w:pPr>
    </w:p>
    <w:p w:rsidR="00AD76E0" w:rsidRPr="00EE7913" w:rsidRDefault="00AD76E0" w:rsidP="0070401F">
      <w:pPr>
        <w:pStyle w:val="Ttol4"/>
      </w:pPr>
      <w:bookmarkStart w:id="468" w:name="_Toc464726385"/>
      <w:r w:rsidRPr="00EE7913">
        <w:t>L’evolució de la formació en l’àmbit d’execució penal: fets i moments rellevants</w:t>
      </w:r>
      <w:bookmarkEnd w:id="468"/>
    </w:p>
    <w:p w:rsidR="00AD76E0" w:rsidRPr="00EE7913" w:rsidRDefault="00AD76E0" w:rsidP="00B517F7"/>
    <w:p w:rsidR="00AD76E0" w:rsidRDefault="00AD76E0" w:rsidP="00B517F7">
      <w:r w:rsidRPr="00EE7913">
        <w:t>Els anys 80 i 90 van ser anys d’expansió del Departament de Justícia i</w:t>
      </w:r>
      <w:r>
        <w:t>,</w:t>
      </w:r>
      <w:r w:rsidRPr="00EE7913">
        <w:t xml:space="preserve"> en concret</w:t>
      </w:r>
      <w:r>
        <w:t>,</w:t>
      </w:r>
      <w:r w:rsidRPr="00EE7913">
        <w:t xml:space="preserve"> del sistema d’execució penal, i de creació d’un model d’intervenció propi en l’àmbit de justícia juvenil i dels serveis penitenciaris catalans. La formació va anar acompanyant aquests </w:t>
      </w:r>
      <w:r w:rsidRPr="00EE7913">
        <w:lastRenderedPageBreak/>
        <w:t>processos i el CEJFE (durant alguns anys Centre d’Estudis i Formació) va organitzar i gestionar els primers cursos de formació inicial i contínua.</w:t>
      </w:r>
    </w:p>
    <w:p w:rsidR="00AD76E0" w:rsidRPr="00EE7913" w:rsidRDefault="00AD76E0" w:rsidP="00B517F7"/>
    <w:p w:rsidR="00AD76E0" w:rsidRPr="00EE7913" w:rsidRDefault="00AD76E0" w:rsidP="00B517F7">
      <w:r w:rsidRPr="00EE7913">
        <w:t>Pel que fa a la primera dècada del segle actual</w:t>
      </w:r>
      <w:r>
        <w:t>,</w:t>
      </w:r>
      <w:r w:rsidRPr="00EE7913">
        <w:t xml:space="preserve"> la formació contínua es va afermar; la formació inicial i selectiva dels cossos específics penitenciaris es va desenvolupar, i </w:t>
      </w:r>
      <w:r>
        <w:t xml:space="preserve">també va </w:t>
      </w:r>
      <w:r w:rsidRPr="00EE7913">
        <w:t>pren</w:t>
      </w:r>
      <w:r>
        <w:t>dre</w:t>
      </w:r>
      <w:r w:rsidRPr="00EE7913">
        <w:t xml:space="preserve"> rellevància la formació estratègica vinculada estretament a processos de millora i/o de creació d’un discurs institucional compartit. En la formació selectiva de tècnics especialistes i en la formació contínua té molta importància la incorporació de programes formatius basats en una anàlisi i descripció de les competències associades a cada lloc de treball. Cal destacar també durant aquests anys, pel seu impacte futur en els processos de selecció i d</w:t>
      </w:r>
      <w:r>
        <w:t>e formació inicial, l’acord de g</w:t>
      </w:r>
      <w:r w:rsidRPr="00EE7913">
        <w:t>overn 54/2009</w:t>
      </w:r>
      <w:r>
        <w:t>,</w:t>
      </w:r>
      <w:r w:rsidRPr="00EE7913">
        <w:t xml:space="preserve"> pel qual es va crear l’àmbit funcional d’execució penal.</w:t>
      </w:r>
    </w:p>
    <w:p w:rsidR="00AD76E0" w:rsidRPr="00EE7913" w:rsidRDefault="00AD76E0" w:rsidP="00B517F7"/>
    <w:p w:rsidR="00AD76E0" w:rsidRPr="00EE7913" w:rsidRDefault="00AD76E0" w:rsidP="00B517F7">
      <w:r w:rsidRPr="00EE7913">
        <w:t xml:space="preserve">Finalment, els darrers anys es caracteritzen per la consolidació dels processos de formació contínua per competències i de formació estratègica. La formació inicial i selectiva porta actualment uns anys en </w:t>
      </w:r>
      <w:r w:rsidRPr="00EE7913">
        <w:rPr>
          <w:i/>
        </w:rPr>
        <w:t>stand by</w:t>
      </w:r>
      <w:r w:rsidRPr="00285D91">
        <w:t>,</w:t>
      </w:r>
      <w:r w:rsidRPr="00EE7913">
        <w:t xml:space="preserve"> però cal destacar la nova perspectiva que dóna a aquest tipus de formació la creació ja esmentada de l’àmbit d’execució penal que preveu processos selectius específics per a l’àmbit i permet que des del Departament es modeli el tipus de selecció i de formació selectiva a vincular-hi.</w:t>
      </w:r>
    </w:p>
    <w:p w:rsidR="00AD76E0" w:rsidRPr="00EE7913" w:rsidRDefault="00AD76E0" w:rsidP="00B517F7"/>
    <w:p w:rsidR="00AD76E0" w:rsidRPr="00EE7913" w:rsidRDefault="00AD76E0" w:rsidP="00B517F7">
      <w:r w:rsidRPr="00EE7913">
        <w:t>Pel que fa a la formació inicial de comandaments intermedis i de directius de centres penitenciaris, la història és molt desigual. Destacaríem l’escassetat de convocatòries i la manca d’un model clar de selecció i formació inicial per a aquests col·lectius.</w:t>
      </w:r>
    </w:p>
    <w:p w:rsidR="00AD76E0" w:rsidRPr="00EE7913" w:rsidRDefault="00AD76E0" w:rsidP="00AD76E0">
      <w:pPr>
        <w:spacing w:before="0" w:after="0" w:line="276" w:lineRule="auto"/>
      </w:pPr>
    </w:p>
    <w:p w:rsidR="00F70243" w:rsidRDefault="00AD76E0" w:rsidP="00F70243">
      <w:pPr>
        <w:keepNext/>
        <w:spacing w:before="0" w:after="0" w:line="276" w:lineRule="auto"/>
        <w:jc w:val="center"/>
      </w:pPr>
      <w:r w:rsidRPr="00EE7913">
        <w:rPr>
          <w:noProof/>
          <w:lang w:eastAsia="ca-ES"/>
        </w:rPr>
        <w:drawing>
          <wp:inline distT="0" distB="0" distL="0" distR="0" wp14:anchorId="42E9CCB0" wp14:editId="1E5E62D1">
            <wp:extent cx="5760085" cy="2055560"/>
            <wp:effectExtent l="0" t="0" r="0" b="1905"/>
            <wp:docPr id="76" name="Imatg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60085" cy="2055560"/>
                    </a:xfrm>
                    <a:prstGeom prst="rect">
                      <a:avLst/>
                    </a:prstGeom>
                    <a:noFill/>
                    <a:ln>
                      <a:noFill/>
                    </a:ln>
                  </pic:spPr>
                </pic:pic>
              </a:graphicData>
            </a:graphic>
          </wp:inline>
        </w:drawing>
      </w:r>
    </w:p>
    <w:p w:rsidR="00AD76E0" w:rsidRPr="00EE7913" w:rsidRDefault="009A1F67" w:rsidP="00F70243">
      <w:pPr>
        <w:pStyle w:val="Llegenda"/>
        <w:jc w:val="center"/>
      </w:pPr>
      <w:bookmarkStart w:id="469" w:name="_Toc465293848"/>
      <w:r>
        <w:t>Gràfic</w:t>
      </w:r>
      <w:r w:rsidR="00F70243">
        <w:t xml:space="preserve"> </w:t>
      </w:r>
      <w:r w:rsidR="00DB496B">
        <w:fldChar w:fldCharType="begin"/>
      </w:r>
      <w:r w:rsidR="00DB496B">
        <w:instrText xml:space="preserve"> SEQ Il·lustració \* ARABIC </w:instrText>
      </w:r>
      <w:r w:rsidR="00DB496B">
        <w:fldChar w:fldCharType="separate"/>
      </w:r>
      <w:r w:rsidR="00C952DF">
        <w:rPr>
          <w:noProof/>
        </w:rPr>
        <w:t>42</w:t>
      </w:r>
      <w:r w:rsidR="00DB496B">
        <w:rPr>
          <w:noProof/>
        </w:rPr>
        <w:fldChar w:fldCharType="end"/>
      </w:r>
      <w:r w:rsidR="00F70243">
        <w:t xml:space="preserve">. </w:t>
      </w:r>
      <w:r w:rsidR="00F70243" w:rsidRPr="007B4ABB">
        <w:t>Activitats formatives organitzades pel CEJFE en l’àmbit d’execució penal</w:t>
      </w:r>
      <w:bookmarkEnd w:id="469"/>
    </w:p>
    <w:p w:rsidR="00AD76E0" w:rsidRPr="00EE7913" w:rsidRDefault="00AD76E0" w:rsidP="00AD76E0">
      <w:pPr>
        <w:spacing w:before="0" w:after="0" w:line="276" w:lineRule="auto"/>
        <w:jc w:val="left"/>
      </w:pPr>
    </w:p>
    <w:p w:rsidR="00AD76E0" w:rsidRPr="00EE7913" w:rsidRDefault="00AD76E0" w:rsidP="0070401F">
      <w:pPr>
        <w:pStyle w:val="Ttol3"/>
      </w:pPr>
      <w:bookmarkStart w:id="470" w:name="_Toc464726386"/>
      <w:bookmarkStart w:id="471" w:name="_Toc465293443"/>
      <w:r w:rsidRPr="00EE7913">
        <w:t>La carrera professional</w:t>
      </w:r>
      <w:bookmarkEnd w:id="470"/>
      <w:bookmarkEnd w:id="471"/>
    </w:p>
    <w:p w:rsidR="00AD76E0" w:rsidRPr="00EE7913" w:rsidRDefault="00AD76E0" w:rsidP="00AD76E0">
      <w:pPr>
        <w:spacing w:before="0" w:after="0" w:line="276" w:lineRule="auto"/>
      </w:pPr>
    </w:p>
    <w:p w:rsidR="00AD76E0" w:rsidRPr="00EE7913" w:rsidRDefault="00AD76E0" w:rsidP="00B517F7">
      <w:r w:rsidRPr="00EE7913">
        <w:t>La carrera professional, entesa com un element emmarcat en el subsistema de gestió del desenvolupament, té la finalitat principal d’estimular el creixement professional de les persones, d’acord amb el seu potencial, fomentant els aprenentatges necessaris i definint itineraris de carrera que conjuguin les necessitats organitzatives amb els diferents perfils, expectatives i preferències individuals.</w:t>
      </w:r>
    </w:p>
    <w:p w:rsidR="00AD76E0" w:rsidRPr="00EE7913" w:rsidRDefault="00AD76E0" w:rsidP="00B517F7"/>
    <w:p w:rsidR="00AD76E0" w:rsidRPr="00EE7913" w:rsidRDefault="00AD76E0" w:rsidP="00B517F7">
      <w:r>
        <w:lastRenderedPageBreak/>
        <w:t>L’A</w:t>
      </w:r>
      <w:r w:rsidRPr="00EE7913">
        <w:t>dministració penitenciària, per desenvolupar la missió que té assignada i assolir l’objectiu de la reeducació i de la reinserció social de les persones sotmeses a penes o mesures privatives de llibertat</w:t>
      </w:r>
      <w:r>
        <w:t>,</w:t>
      </w:r>
      <w:r w:rsidRPr="00EE7913">
        <w:t xml:space="preserve"> necessita disposar d’equips de professionals altament qualificats, que comparteixin els principis i valors del servei públic.</w:t>
      </w:r>
    </w:p>
    <w:p w:rsidR="00AD76E0" w:rsidRPr="00EE7913" w:rsidRDefault="00AD76E0" w:rsidP="00B517F7"/>
    <w:p w:rsidR="00AD76E0" w:rsidRPr="00EE7913" w:rsidRDefault="00AD76E0" w:rsidP="00B517F7">
      <w:r w:rsidRPr="00EE7913">
        <w:t xml:space="preserve">Conscients del valor estratègic i de la potencialitat que pot aportar a l’organització disposar d’un pla de carrera professional, l’any 2013 es va constituir el Grup de </w:t>
      </w:r>
      <w:r>
        <w:t>t</w:t>
      </w:r>
      <w:r w:rsidRPr="00EE7913">
        <w:t xml:space="preserve">reball del </w:t>
      </w:r>
      <w:r>
        <w:t>p</w:t>
      </w:r>
      <w:r w:rsidRPr="00EE7913">
        <w:t xml:space="preserve">la de </w:t>
      </w:r>
      <w:r>
        <w:t>c</w:t>
      </w:r>
      <w:r w:rsidRPr="00EE7913">
        <w:t xml:space="preserve">arrera i </w:t>
      </w:r>
      <w:r>
        <w:t>f</w:t>
      </w:r>
      <w:r w:rsidRPr="00EE7913">
        <w:t xml:space="preserve">ormació dels </w:t>
      </w:r>
      <w:r>
        <w:t>s</w:t>
      </w:r>
      <w:r w:rsidRPr="00EE7913">
        <w:t xml:space="preserve">erveis </w:t>
      </w:r>
      <w:r>
        <w:t>p</w:t>
      </w:r>
      <w:r w:rsidRPr="00EE7913">
        <w:t>enitenciaris, amb la participació de persones designades per les diferents unitats de la Direcció General de Serveis Penitenciaris, membres dels equips directius i comandaments dels centres penitenciaris i el Centre d’Estudis Jurídics i Formació Especialitzada.</w:t>
      </w:r>
    </w:p>
    <w:p w:rsidR="00AD76E0" w:rsidRPr="00EE7913" w:rsidRDefault="00AD76E0" w:rsidP="00AD76E0">
      <w:pPr>
        <w:spacing w:before="0" w:after="0" w:line="276" w:lineRule="auto"/>
      </w:pPr>
    </w:p>
    <w:p w:rsidR="00AD76E0" w:rsidRPr="00EE7913" w:rsidRDefault="00AD76E0" w:rsidP="00AD76E0">
      <w:pPr>
        <w:spacing w:before="0" w:after="0" w:line="276" w:lineRule="auto"/>
      </w:pPr>
      <w:r w:rsidRPr="00EE7913">
        <w:t xml:space="preserve">Els objectius d’aquest </w:t>
      </w:r>
      <w:r>
        <w:t>g</w:t>
      </w:r>
      <w:r w:rsidRPr="00EE7913">
        <w:t xml:space="preserve">rup de </w:t>
      </w:r>
      <w:r>
        <w:t>t</w:t>
      </w:r>
      <w:r w:rsidRPr="00EE7913">
        <w:t>reball eren:</w:t>
      </w:r>
    </w:p>
    <w:p w:rsidR="00AD76E0" w:rsidRPr="00EE7913" w:rsidRDefault="00AD76E0" w:rsidP="00AD76E0">
      <w:pPr>
        <w:spacing w:before="0" w:after="0" w:line="276" w:lineRule="auto"/>
        <w:rPr>
          <w:sz w:val="12"/>
          <w:szCs w:val="12"/>
        </w:rPr>
      </w:pPr>
    </w:p>
    <w:p w:rsidR="00AD76E0" w:rsidRPr="00EE7913" w:rsidRDefault="00AD76E0" w:rsidP="00AD76E0">
      <w:pPr>
        <w:spacing w:before="0" w:after="0" w:line="276" w:lineRule="auto"/>
        <w:ind w:left="284" w:hanging="284"/>
      </w:pPr>
      <w:r w:rsidRPr="00EE7913">
        <w:t>.</w:t>
      </w:r>
      <w:r w:rsidRPr="00EE7913">
        <w:tab/>
        <w:t xml:space="preserve">Definir les competències professionals dels treballadors penitenciaris, per </w:t>
      </w:r>
      <w:r>
        <w:t xml:space="preserve">a </w:t>
      </w:r>
      <w:r w:rsidRPr="00EE7913">
        <w:t>cada lloc de treball (a partir de la feina feta pel CEJFE).</w:t>
      </w:r>
    </w:p>
    <w:p w:rsidR="00AD76E0" w:rsidRPr="00EE7913" w:rsidRDefault="00AD76E0" w:rsidP="00AD76E0">
      <w:pPr>
        <w:spacing w:before="0" w:after="0" w:line="276" w:lineRule="auto"/>
        <w:ind w:left="284" w:hanging="284"/>
      </w:pPr>
      <w:r w:rsidRPr="00EE7913">
        <w:t>.</w:t>
      </w:r>
      <w:r w:rsidRPr="00EE7913">
        <w:tab/>
        <w:t>Adequar la selecció i la provisió de llocs de treball a les necessitats del sistema penitenciari.</w:t>
      </w:r>
    </w:p>
    <w:p w:rsidR="00AD76E0" w:rsidRPr="00EE7913" w:rsidRDefault="00AD76E0" w:rsidP="00AD76E0">
      <w:pPr>
        <w:spacing w:before="0" w:after="0" w:line="276" w:lineRule="auto"/>
        <w:ind w:left="284" w:hanging="284"/>
      </w:pPr>
      <w:r w:rsidRPr="00EE7913">
        <w:t>.</w:t>
      </w:r>
      <w:r w:rsidRPr="00EE7913">
        <w:tab/>
        <w:t>Millorar les expectatives dels empleats penitenciaris, pel que fa al seu desenvolupament professional i reconeixement de la seva expertesa.</w:t>
      </w:r>
    </w:p>
    <w:p w:rsidR="00AD76E0" w:rsidRPr="00EE7913" w:rsidRDefault="00AD76E0" w:rsidP="00AD76E0">
      <w:pPr>
        <w:spacing w:before="0" w:after="0" w:line="276" w:lineRule="auto"/>
      </w:pPr>
      <w:r w:rsidRPr="00EE7913">
        <w:t>.</w:t>
      </w:r>
      <w:r w:rsidRPr="00EE7913">
        <w:tab/>
        <w:t>Comptar amb professionals més qualificats, valorats i motivats.</w:t>
      </w:r>
    </w:p>
    <w:p w:rsidR="00AD76E0" w:rsidRPr="00EE7913" w:rsidRDefault="00AD76E0" w:rsidP="00AD76E0">
      <w:pPr>
        <w:spacing w:before="0" w:after="0" w:line="276" w:lineRule="auto"/>
      </w:pPr>
      <w:r w:rsidRPr="00EE7913">
        <w:t>.</w:t>
      </w:r>
      <w:r w:rsidRPr="00EE7913">
        <w:tab/>
        <w:t>Gestionar de manera més eficaç els recursos humans del sistema penitenciari.</w:t>
      </w:r>
    </w:p>
    <w:p w:rsidR="00AD76E0" w:rsidRPr="00EE7913" w:rsidRDefault="00AD76E0" w:rsidP="00AD76E0">
      <w:pPr>
        <w:spacing w:before="0" w:after="0" w:line="276" w:lineRule="auto"/>
      </w:pPr>
      <w:r w:rsidRPr="00EE7913">
        <w:t>.</w:t>
      </w:r>
      <w:r w:rsidRPr="00EE7913">
        <w:tab/>
        <w:t>Exercir la funció penitenciària sota criteris de màxima qualitat i eficiència.</w:t>
      </w:r>
    </w:p>
    <w:p w:rsidR="00AD76E0" w:rsidRPr="00EE7913" w:rsidRDefault="00AD76E0" w:rsidP="00AD76E0">
      <w:pPr>
        <w:spacing w:before="0" w:after="0" w:line="276" w:lineRule="auto"/>
        <w:rPr>
          <w:sz w:val="12"/>
          <w:szCs w:val="12"/>
        </w:rPr>
      </w:pPr>
    </w:p>
    <w:p w:rsidR="00AD76E0" w:rsidRPr="00EE7913" w:rsidRDefault="00AD76E0" w:rsidP="00B517F7">
      <w:r w:rsidRPr="00EE7913">
        <w:t>L’any 2015, continuant la tasca realitzada per aquest grup de treball</w:t>
      </w:r>
      <w:r>
        <w:t>,</w:t>
      </w:r>
      <w:r w:rsidRPr="00EE7913">
        <w:t xml:space="preserve"> es va constituir un nou grup de treball que tenia per objecte l’elaboració d’un document de bases del Pla de carrera professional del personal dels centres penitenciaris.</w:t>
      </w:r>
    </w:p>
    <w:p w:rsidR="00AD76E0" w:rsidRPr="00EE7913" w:rsidRDefault="00AD76E0" w:rsidP="00AD76E0">
      <w:pPr>
        <w:spacing w:before="0" w:after="0" w:line="276" w:lineRule="auto"/>
      </w:pPr>
    </w:p>
    <w:p w:rsidR="00AD76E0" w:rsidRDefault="00AD76E0" w:rsidP="00B517F7">
      <w:r w:rsidRPr="00EE7913">
        <w:t xml:space="preserve">Al document de bases del Pla de carrera professional del personal dels centres penitenciaris, entès com un document d’estudi, anàlisi, reflexió i proposta, s’analitza el marc legal i conceptual de la carrera professional; es descriu el marc organitzatiu actual i futur dels serveis penitenciaris de Catalunya; es defineixen les formes d’accés i l’estructura bàsica dels processos selectius d’accés als cossos que intervenen en els serveis penitenciaris; es defineixen els diferents processos selectius de promoció interna que, </w:t>
      </w:r>
      <w:r>
        <w:t>depenent de</w:t>
      </w:r>
      <w:r w:rsidRPr="00EE7913">
        <w:t xml:space="preserve"> les necessitats de l’organització i les disponibilitats pressupostàries, es podrien portar a terme; es defineixen les línies d’un model de carrera professional horitzontal, </w:t>
      </w:r>
      <w:r>
        <w:t>d’acord amb</w:t>
      </w:r>
      <w:r w:rsidRPr="00EE7913">
        <w:t xml:space="preserve"> la normativa vigent (carrera de grau) i </w:t>
      </w:r>
      <w:r>
        <w:t>e</w:t>
      </w:r>
      <w:r w:rsidRPr="00EE7913">
        <w:t>l model de carrera professional horitzontal que preveu l’Estatut bàsic de l’empleat públic; es recullen les definicions dels perfils competencials dels llocs base dels centres penitenciaris adscrits a l’àmbit funcional d’execució penal; es recullen les definicions dels perfils competencials dels llocs de comandament i singulars dels serveis penitenciaris; es formula una definició del paper de la formació en les diferents fases de la vida professional del personal dels centres penitenciaris (accés, desenvolupament, avaluació i promoció); s’estudia la situació de segona activitat i la carrera professional.</w:t>
      </w:r>
    </w:p>
    <w:p w:rsidR="00AD76E0" w:rsidRDefault="00AD76E0" w:rsidP="00AD76E0">
      <w:pPr>
        <w:spacing w:before="0" w:after="0" w:line="276" w:lineRule="auto"/>
      </w:pPr>
    </w:p>
    <w:p w:rsidR="00AD76E0" w:rsidRDefault="00AD76E0" w:rsidP="00AD76E0">
      <w:pPr>
        <w:spacing w:before="0" w:after="0" w:line="276" w:lineRule="auto"/>
      </w:pPr>
    </w:p>
    <w:p w:rsidR="00F70243" w:rsidRDefault="00AD76E0" w:rsidP="00F70243">
      <w:pPr>
        <w:keepNext/>
        <w:jc w:val="center"/>
      </w:pPr>
      <w:r w:rsidRPr="00EE7913">
        <w:rPr>
          <w:noProof/>
          <w:lang w:eastAsia="ca-ES"/>
        </w:rPr>
        <w:lastRenderedPageBreak/>
        <w:drawing>
          <wp:inline distT="0" distB="0" distL="0" distR="0" wp14:anchorId="2826089D" wp14:editId="56253458">
            <wp:extent cx="5050465" cy="2899627"/>
            <wp:effectExtent l="0" t="0" r="0" b="0"/>
            <wp:docPr id="106"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050946" cy="2899903"/>
                    </a:xfrm>
                    <a:prstGeom prst="rect">
                      <a:avLst/>
                    </a:prstGeom>
                    <a:noFill/>
                    <a:ln>
                      <a:noFill/>
                    </a:ln>
                  </pic:spPr>
                </pic:pic>
              </a:graphicData>
            </a:graphic>
          </wp:inline>
        </w:drawing>
      </w:r>
    </w:p>
    <w:p w:rsidR="00AD76E0" w:rsidRPr="00EE7913" w:rsidRDefault="009A1F67" w:rsidP="00F70243">
      <w:pPr>
        <w:pStyle w:val="Llegenda"/>
        <w:jc w:val="center"/>
      </w:pPr>
      <w:bookmarkStart w:id="472" w:name="_Toc465293849"/>
      <w:r>
        <w:t>Gràfic</w:t>
      </w:r>
      <w:r w:rsidR="00F70243">
        <w:t xml:space="preserve"> </w:t>
      </w:r>
      <w:r w:rsidR="00DB496B">
        <w:fldChar w:fldCharType="begin"/>
      </w:r>
      <w:r w:rsidR="00DB496B">
        <w:instrText xml:space="preserve"> SEQ Il·lustració \* ARABIC </w:instrText>
      </w:r>
      <w:r w:rsidR="00DB496B">
        <w:fldChar w:fldCharType="separate"/>
      </w:r>
      <w:r w:rsidR="00C952DF">
        <w:rPr>
          <w:noProof/>
        </w:rPr>
        <w:t>43</w:t>
      </w:r>
      <w:r w:rsidR="00DB496B">
        <w:rPr>
          <w:noProof/>
        </w:rPr>
        <w:fldChar w:fldCharType="end"/>
      </w:r>
      <w:r w:rsidR="00F70243">
        <w:t xml:space="preserve">. </w:t>
      </w:r>
      <w:r w:rsidR="00F70243" w:rsidRPr="0000789B">
        <w:t>Personal funcionari dels centres penitenciaris a 31.8.2016 per grup de titulació</w:t>
      </w:r>
      <w:bookmarkEnd w:id="472"/>
    </w:p>
    <w:p w:rsidR="00AD76E0" w:rsidRDefault="00AD76E0" w:rsidP="00AD76E0">
      <w:pPr>
        <w:spacing w:before="0" w:after="0" w:line="276" w:lineRule="auto"/>
      </w:pPr>
    </w:p>
    <w:p w:rsidR="00F70243" w:rsidRDefault="00AD76E0" w:rsidP="00F70243">
      <w:pPr>
        <w:keepNext/>
        <w:spacing w:before="0" w:after="0"/>
        <w:jc w:val="center"/>
      </w:pPr>
      <w:r w:rsidRPr="00EE7913">
        <w:rPr>
          <w:noProof/>
          <w:lang w:eastAsia="ca-ES"/>
        </w:rPr>
        <w:drawing>
          <wp:inline distT="0" distB="0" distL="0" distR="0" wp14:anchorId="5D999FE6" wp14:editId="6998269A">
            <wp:extent cx="4608000" cy="3325276"/>
            <wp:effectExtent l="0" t="0" r="2540" b="8890"/>
            <wp:docPr id="107"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608000" cy="3325276"/>
                    </a:xfrm>
                    <a:prstGeom prst="rect">
                      <a:avLst/>
                    </a:prstGeom>
                    <a:noFill/>
                    <a:ln>
                      <a:noFill/>
                    </a:ln>
                  </pic:spPr>
                </pic:pic>
              </a:graphicData>
            </a:graphic>
          </wp:inline>
        </w:drawing>
      </w:r>
    </w:p>
    <w:p w:rsidR="00AD76E0" w:rsidRPr="00EE7913" w:rsidRDefault="009A1F67" w:rsidP="00F70243">
      <w:pPr>
        <w:pStyle w:val="Llegenda"/>
        <w:jc w:val="center"/>
      </w:pPr>
      <w:bookmarkStart w:id="473" w:name="_Toc465293850"/>
      <w:r>
        <w:t>Gràfic</w:t>
      </w:r>
      <w:r w:rsidR="00F70243">
        <w:t xml:space="preserve"> </w:t>
      </w:r>
      <w:r w:rsidR="00DB496B">
        <w:fldChar w:fldCharType="begin"/>
      </w:r>
      <w:r w:rsidR="00DB496B">
        <w:instrText xml:space="preserve"> SEQ Il·lustració \* ARABIC </w:instrText>
      </w:r>
      <w:r w:rsidR="00DB496B">
        <w:fldChar w:fldCharType="separate"/>
      </w:r>
      <w:r w:rsidR="00C952DF">
        <w:rPr>
          <w:noProof/>
        </w:rPr>
        <w:t>44</w:t>
      </w:r>
      <w:r w:rsidR="00DB496B">
        <w:rPr>
          <w:noProof/>
        </w:rPr>
        <w:fldChar w:fldCharType="end"/>
      </w:r>
      <w:r w:rsidR="00F70243">
        <w:t xml:space="preserve">. </w:t>
      </w:r>
      <w:r w:rsidR="00F70243" w:rsidRPr="00663D6F">
        <w:t>Personal funcionari dels centres penitenciaris a 31.8.2016 per grup de titulació</w:t>
      </w:r>
      <w:bookmarkEnd w:id="473"/>
    </w:p>
    <w:p w:rsidR="00AD76E0" w:rsidRDefault="00AD76E0" w:rsidP="00AD76E0">
      <w:pPr>
        <w:spacing w:before="0" w:after="0" w:line="276" w:lineRule="auto"/>
      </w:pPr>
    </w:p>
    <w:p w:rsidR="00AD76E0" w:rsidRDefault="00AD76E0" w:rsidP="00AD76E0">
      <w:pPr>
        <w:spacing w:before="0" w:after="0" w:line="276" w:lineRule="auto"/>
      </w:pPr>
    </w:p>
    <w:p w:rsidR="00AD76E0" w:rsidRDefault="00AD76E0" w:rsidP="00AD76E0">
      <w:pPr>
        <w:spacing w:before="0" w:after="0" w:line="276" w:lineRule="auto"/>
      </w:pPr>
    </w:p>
    <w:p w:rsidR="00F70243" w:rsidRDefault="00AD76E0" w:rsidP="00F70243">
      <w:pPr>
        <w:keepNext/>
        <w:spacing w:before="0" w:after="0" w:line="276" w:lineRule="auto"/>
        <w:jc w:val="center"/>
      </w:pPr>
      <w:r w:rsidRPr="00EE7913">
        <w:rPr>
          <w:noProof/>
          <w:lang w:eastAsia="ca-ES"/>
        </w:rPr>
        <w:lastRenderedPageBreak/>
        <w:drawing>
          <wp:inline distT="0" distB="0" distL="0" distR="0" wp14:anchorId="2B2167DF" wp14:editId="3B9A982D">
            <wp:extent cx="5240992" cy="3009014"/>
            <wp:effectExtent l="0" t="0" r="0" b="1270"/>
            <wp:docPr id="10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241491" cy="3009301"/>
                    </a:xfrm>
                    <a:prstGeom prst="rect">
                      <a:avLst/>
                    </a:prstGeom>
                    <a:noFill/>
                    <a:ln>
                      <a:noFill/>
                    </a:ln>
                  </pic:spPr>
                </pic:pic>
              </a:graphicData>
            </a:graphic>
          </wp:inline>
        </w:drawing>
      </w:r>
    </w:p>
    <w:p w:rsidR="00AD76E0" w:rsidRPr="00EE7913" w:rsidRDefault="009A1F67" w:rsidP="00F70243">
      <w:pPr>
        <w:pStyle w:val="Llegenda"/>
        <w:jc w:val="center"/>
      </w:pPr>
      <w:bookmarkStart w:id="474" w:name="_Toc465293851"/>
      <w:r>
        <w:t>Gràfic</w:t>
      </w:r>
      <w:r w:rsidR="00F70243">
        <w:t xml:space="preserve"> </w:t>
      </w:r>
      <w:r w:rsidR="00DB496B">
        <w:fldChar w:fldCharType="begin"/>
      </w:r>
      <w:r w:rsidR="00DB496B">
        <w:instrText xml:space="preserve"> SEQ Il·lustració \* ARABIC </w:instrText>
      </w:r>
      <w:r w:rsidR="00DB496B">
        <w:fldChar w:fldCharType="separate"/>
      </w:r>
      <w:r w:rsidR="00C952DF">
        <w:rPr>
          <w:noProof/>
        </w:rPr>
        <w:t>45</w:t>
      </w:r>
      <w:r w:rsidR="00DB496B">
        <w:rPr>
          <w:noProof/>
        </w:rPr>
        <w:fldChar w:fldCharType="end"/>
      </w:r>
      <w:r w:rsidR="00F70243">
        <w:t xml:space="preserve">. </w:t>
      </w:r>
      <w:r w:rsidR="00F70243" w:rsidRPr="00146300">
        <w:t>Personal laboral dels centres penitenciaris a 31.8.2016 per grup de titulació</w:t>
      </w:r>
      <w:bookmarkEnd w:id="474"/>
    </w:p>
    <w:p w:rsidR="00AD76E0" w:rsidRPr="00EE7913" w:rsidRDefault="00AD76E0" w:rsidP="00AD76E0">
      <w:pPr>
        <w:spacing w:before="0" w:after="0"/>
      </w:pPr>
    </w:p>
    <w:p w:rsidR="00AD76E0" w:rsidRPr="00EE7913" w:rsidRDefault="00AD76E0" w:rsidP="00AD76E0">
      <w:pPr>
        <w:spacing w:before="0" w:after="0"/>
      </w:pPr>
    </w:p>
    <w:p w:rsidR="00F70243" w:rsidRDefault="00AD76E0" w:rsidP="00F70243">
      <w:pPr>
        <w:keepNext/>
        <w:spacing w:before="0" w:after="0"/>
        <w:jc w:val="center"/>
      </w:pPr>
      <w:r w:rsidRPr="00EE7913">
        <w:rPr>
          <w:noProof/>
          <w:lang w:eastAsia="ca-ES"/>
        </w:rPr>
        <w:drawing>
          <wp:inline distT="0" distB="0" distL="0" distR="0" wp14:anchorId="120B4240" wp14:editId="54F945A0">
            <wp:extent cx="4608000" cy="3461120"/>
            <wp:effectExtent l="0" t="0" r="2540" b="6350"/>
            <wp:docPr id="109"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608000" cy="3461120"/>
                    </a:xfrm>
                    <a:prstGeom prst="rect">
                      <a:avLst/>
                    </a:prstGeom>
                    <a:noFill/>
                    <a:ln>
                      <a:noFill/>
                    </a:ln>
                  </pic:spPr>
                </pic:pic>
              </a:graphicData>
            </a:graphic>
          </wp:inline>
        </w:drawing>
      </w:r>
    </w:p>
    <w:p w:rsidR="00AD76E0" w:rsidRPr="00EE7913" w:rsidRDefault="009A1F67" w:rsidP="00F70243">
      <w:pPr>
        <w:pStyle w:val="Llegenda"/>
        <w:jc w:val="center"/>
      </w:pPr>
      <w:bookmarkStart w:id="475" w:name="_Toc465293852"/>
      <w:r>
        <w:t>Gràfic</w:t>
      </w:r>
      <w:r w:rsidR="00F70243">
        <w:t xml:space="preserve"> </w:t>
      </w:r>
      <w:r w:rsidR="00DB496B">
        <w:fldChar w:fldCharType="begin"/>
      </w:r>
      <w:r w:rsidR="00DB496B">
        <w:instrText xml:space="preserve"> SEQ Il·lustració \* ARABIC </w:instrText>
      </w:r>
      <w:r w:rsidR="00DB496B">
        <w:fldChar w:fldCharType="separate"/>
      </w:r>
      <w:r w:rsidR="00C952DF">
        <w:rPr>
          <w:noProof/>
        </w:rPr>
        <w:t>46</w:t>
      </w:r>
      <w:r w:rsidR="00DB496B">
        <w:rPr>
          <w:noProof/>
        </w:rPr>
        <w:fldChar w:fldCharType="end"/>
      </w:r>
      <w:r w:rsidR="00F70243">
        <w:t xml:space="preserve">. </w:t>
      </w:r>
      <w:r w:rsidR="00F70243" w:rsidRPr="00C61BD5">
        <w:t>Personal laboral dels centres penitenciaris a 31.8.2016 per grup de titulació</w:t>
      </w:r>
      <w:bookmarkEnd w:id="475"/>
    </w:p>
    <w:p w:rsidR="00AD76E0" w:rsidRDefault="00AD76E0" w:rsidP="00AD76E0">
      <w:pPr>
        <w:spacing w:before="0" w:after="0" w:line="276" w:lineRule="auto"/>
      </w:pPr>
    </w:p>
    <w:p w:rsidR="00AD76E0" w:rsidRPr="00EE7913" w:rsidRDefault="00AD76E0" w:rsidP="0070401F">
      <w:pPr>
        <w:pStyle w:val="Ttol3"/>
      </w:pPr>
      <w:bookmarkStart w:id="476" w:name="_Toc464726387"/>
      <w:bookmarkStart w:id="477" w:name="_Toc465293444"/>
      <w:r w:rsidRPr="00EE7913">
        <w:t>La funció directiva penitenciària</w:t>
      </w:r>
      <w:bookmarkEnd w:id="476"/>
      <w:bookmarkEnd w:id="477"/>
    </w:p>
    <w:p w:rsidR="00AD76E0" w:rsidRPr="00EE7913" w:rsidRDefault="00AD76E0" w:rsidP="00AD76E0">
      <w:pPr>
        <w:spacing w:before="0" w:after="0" w:line="276" w:lineRule="auto"/>
      </w:pPr>
    </w:p>
    <w:p w:rsidR="00AD76E0" w:rsidRPr="00EE7913" w:rsidRDefault="00AD76E0" w:rsidP="00F70243">
      <w:r w:rsidRPr="00EE7913">
        <w:t>Els òrgans unipersonals i col·legiats dels centres penitenciaris són els responsables d’orientar totes les actuacions de la institució cap a l’assoliment de les finalitats que la normativa atribueix a l’administració competent en matèria d’execució penal.</w:t>
      </w:r>
    </w:p>
    <w:p w:rsidR="00AD76E0" w:rsidRPr="00EE7913" w:rsidRDefault="00AD76E0" w:rsidP="00F70243"/>
    <w:p w:rsidR="00AD76E0" w:rsidRPr="00EE7913" w:rsidRDefault="00AD76E0" w:rsidP="00F70243">
      <w:r w:rsidRPr="00EE7913">
        <w:t>Els equips directius dels centres penitenciaris també són responsables de la seguretat dels establiments i de l’organització i de la correcta prestació dels serveis i prestacions que cal dispensar a les persones privades de llibertat (assistència sanitària, higiene, alimentació, educació, assistència social).</w:t>
      </w:r>
    </w:p>
    <w:p w:rsidR="00AD76E0" w:rsidRPr="00EE7913" w:rsidRDefault="00AD76E0" w:rsidP="00F70243"/>
    <w:p w:rsidR="00AD76E0" w:rsidRPr="00EE7913" w:rsidRDefault="00AD76E0" w:rsidP="00F70243">
      <w:r w:rsidRPr="00EE7913">
        <w:t>La funció directiva penitenciària és una funció directiva altament especialitzada, que comparteix molts dels requeriments generals</w:t>
      </w:r>
      <w:r>
        <w:t xml:space="preserve"> necessaris</w:t>
      </w:r>
      <w:r w:rsidRPr="00EE7913">
        <w:t xml:space="preserve"> per accedir als llocs amb funcions directives (coneixements de </w:t>
      </w:r>
      <w:r>
        <w:t>direcció</w:t>
      </w:r>
      <w:r w:rsidRPr="00EE7913">
        <w:t xml:space="preserve"> i de gestió pública, aptituds o capacitats, habilitats o destreses, personalitat), però que, per raó de les missions, principis i objectius que la llei atribueix al sistema penitenciari, l’especificitat del medi, dels clients o usuaris finals del servei, del sistema organitzatiu, del marc de condicions de treball i de la naturalesa pluridisciplinària del personal que hi presta servei, del marc de relacions amb els diferents agents i actors del sistema, </w:t>
      </w:r>
      <w:r>
        <w:t>necessita</w:t>
      </w:r>
      <w:r w:rsidRPr="00EE7913">
        <w:t xml:space="preserve"> requeriments addicionals (coneixements de dret penal, processal penal, penitenciari, dret administratiu, funció pública i gestió de personal, gestió econòmica i patrimonial; aptituds com la capacitat analítica, l’expressió verbal, la capacitat de resolució de problemes o conflictes; habilitat en l’elaboració de quadres de comandament, gestió de projectes; avaluació de l’acompliment, direcció per objectius i control de gestió, direcció de reunions; característiques de la personalitat com el rigor, l’ordre, la responsabilitat, la competència, control de les emocions i resistència a la pressió, assertivitat, activitat, optimisme i energia).</w:t>
      </w:r>
    </w:p>
    <w:p w:rsidR="00AD76E0" w:rsidRPr="00EE7913" w:rsidRDefault="00AD76E0" w:rsidP="00AD76E0">
      <w:pPr>
        <w:spacing w:before="0" w:after="0" w:line="276" w:lineRule="auto"/>
      </w:pPr>
    </w:p>
    <w:p w:rsidR="00AD76E0" w:rsidRPr="00EE7913" w:rsidRDefault="00AD76E0" w:rsidP="00F70243">
      <w:r w:rsidRPr="00EE7913">
        <w:t xml:space="preserve">Per tal d’analitzar els problemes dels equips directius dels centres penitenciaris, formular propostes de solució i aprofundir en la definició del model </w:t>
      </w:r>
      <w:r>
        <w:t xml:space="preserve">de </w:t>
      </w:r>
      <w:r w:rsidRPr="00EE7913">
        <w:t>funció directiva penitenciària, l’any 2016 es constitueix el ”Grup de treball per a l’estudi de la funció directiva penitenciària”, en què hi participen persones designades per les diferents unitats de la Direcció General de Serveis Penitenciaris i directors/</w:t>
      </w:r>
      <w:r>
        <w:t>or</w:t>
      </w:r>
      <w:r w:rsidRPr="00EE7913">
        <w:t>es dels centres penitenciaris.</w:t>
      </w:r>
    </w:p>
    <w:p w:rsidR="00AD76E0" w:rsidRPr="00EE7913" w:rsidRDefault="00AD76E0" w:rsidP="00AD76E0">
      <w:pPr>
        <w:spacing w:before="0" w:after="0" w:line="276" w:lineRule="auto"/>
      </w:pPr>
    </w:p>
    <w:p w:rsidR="00AD76E0" w:rsidRPr="00EE7913" w:rsidRDefault="00AD76E0" w:rsidP="00F70243">
      <w:r w:rsidRPr="00EE7913">
        <w:t>L’informe, que recull les consideracions i propostes dels membres del grup de treball, parteix de la definició del marc conceptual de la funció pública directiva professional (models de direcció pública; marc normatiu de la funció pública directiva professional; definició de directiu públic professional i elements de la direcció pública professional; criteris per a la identificació dels llocs de direcció pública professional; funcions del directiu públic professional; requeriments i competències necessaris per desenvolupar llocs de directiu públic professional; professionalització de l’accés; professionalització de l’exercici de la funció directiva professional; professionalització del cessament), recull reflexions sobre els requeriments i competències necessaris per desenvolupar la funció directiva penitenciària, identifica alguns dels problemes actuals de la funció directiva penitenciària (la manca de persones funcionàries dels cossos dels grups de classificació A1 i A2 idònies per desenvolupar llocs de treball dels equips directius dels centres penitenciaris, les necessitats formatives dels equips directius,</w:t>
      </w:r>
      <w:r>
        <w:t xml:space="preserve"> etc.</w:t>
      </w:r>
      <w:r w:rsidRPr="00EE7913">
        <w:t>) i formula propostes de solució.</w:t>
      </w:r>
    </w:p>
    <w:p w:rsidR="00AD76E0" w:rsidRPr="00EE7913" w:rsidRDefault="00AD76E0" w:rsidP="00B517F7">
      <w:r w:rsidRPr="00EE7913">
        <w:t xml:space="preserve">L’informe conclou que és necessari establir programes de formació especialitzada, inicial i d’actualització, </w:t>
      </w:r>
      <w:r>
        <w:t>per als</w:t>
      </w:r>
      <w:r w:rsidRPr="00EE7913">
        <w:t xml:space="preserve"> equips directius dels centres penitenciaris (desenvolupament d’habilitats directives i relacionals, jurídica, econòmica,</w:t>
      </w:r>
      <w:r>
        <w:t xml:space="preserve"> etc</w:t>
      </w:r>
      <w:r w:rsidRPr="00EE7913">
        <w:t>.); és necessària l’elaboració d’una regulació específica de la funció directiva penitenciària (que reguli els sistemes d’accés, l’exercici de la funció, el cessament, els períodes de desconnexió,</w:t>
      </w:r>
      <w:r>
        <w:t xml:space="preserve"> etc.</w:t>
      </w:r>
      <w:r w:rsidRPr="00EE7913">
        <w:t>).</w:t>
      </w:r>
    </w:p>
    <w:p w:rsidR="00AD76E0" w:rsidRPr="00EE7913" w:rsidRDefault="00AD76E0" w:rsidP="00AD76E0">
      <w:pPr>
        <w:spacing w:before="0" w:after="0" w:line="276" w:lineRule="auto"/>
      </w:pPr>
    </w:p>
    <w:p w:rsidR="00AD76E0" w:rsidRPr="00EE7913" w:rsidRDefault="00AD76E0" w:rsidP="0070401F">
      <w:pPr>
        <w:pStyle w:val="Ttol3"/>
      </w:pPr>
      <w:bookmarkStart w:id="478" w:name="_Toc464726388"/>
      <w:bookmarkStart w:id="479" w:name="_Toc465293445"/>
      <w:r w:rsidRPr="00EE7913">
        <w:lastRenderedPageBreak/>
        <w:t>Les condicions de treball</w:t>
      </w:r>
      <w:bookmarkEnd w:id="478"/>
      <w:bookmarkEnd w:id="479"/>
    </w:p>
    <w:p w:rsidR="00AD76E0" w:rsidRDefault="00AD76E0" w:rsidP="00B517F7">
      <w:r w:rsidRPr="00EE7913">
        <w:t>El marc normatiu regulador de les condicions de treball del personal penitenciari o del personal que presta servei als centres penitenciaris és el mateix que el de la resta de personal funcionari o laboral de l’Administració de la Generalitat de Catalunya que presta serveis en règim de dret administratiu o laboral als departaments (</w:t>
      </w:r>
      <w:r w:rsidRPr="00ED1ACC">
        <w:t>Reial decret legislatiu 5/2015, de 30 d’octubre, pel qual s’aprova el text refós de la Llei de l’Estatut bàsic de l’empleat públic (EBEP)</w:t>
      </w:r>
      <w:r w:rsidRPr="00EE7913">
        <w:t xml:space="preserve">; Llei 30/1984; Decret legislatiu 1/1997, </w:t>
      </w:r>
      <w:r>
        <w:t>R</w:t>
      </w:r>
      <w:r w:rsidRPr="00EE7913">
        <w:t xml:space="preserve">eglament de selecció, </w:t>
      </w:r>
      <w:r>
        <w:t>R</w:t>
      </w:r>
      <w:r w:rsidRPr="00EE7913">
        <w:t xml:space="preserve">eglament general de provisió i promoció professional; </w:t>
      </w:r>
      <w:r>
        <w:t>R</w:t>
      </w:r>
      <w:r w:rsidRPr="00EE7913">
        <w:t xml:space="preserve">eglament de règim disciplinari; III Acord general de condicions de treball; capítol 6, permís per assumptes personals i reducció de jornada, i capítol 7, control horari i justificació d’absències, del Decret 56/2012, de 29 de maig, sobre jornada i horaris de treball del personal funcionari al servei de l'Administració de </w:t>
      </w:r>
      <w:r>
        <w:t>la Generalitat; Llei 8/2006, etc</w:t>
      </w:r>
      <w:r w:rsidRPr="00EE7913">
        <w:t>.), amb algunes excepcions i diferències</w:t>
      </w:r>
      <w:r>
        <w:t xml:space="preserve"> importants</w:t>
      </w:r>
      <w:r w:rsidRPr="00EE7913">
        <w:t>, com, per exemple, les funcions dels cossos i dels llocs de treball de l’àmbit penitenciari; la regulació de la jornada i dels horaris, que es regirà per les normes, pactes o acords específics i unes retribucions diferenciades.</w:t>
      </w:r>
    </w:p>
    <w:p w:rsidR="00B517F7" w:rsidRDefault="00B517F7">
      <w:pPr>
        <w:spacing w:before="0"/>
        <w:jc w:val="left"/>
      </w:pPr>
      <w:r>
        <w:br w:type="page"/>
      </w:r>
    </w:p>
    <w:p w:rsidR="00AD76E0" w:rsidRDefault="00AD76E0" w:rsidP="00AD76E0">
      <w:pPr>
        <w:spacing w:before="0" w:after="0" w:line="276" w:lineRule="auto"/>
      </w:pPr>
    </w:p>
    <w:p w:rsidR="00AD76E0" w:rsidRPr="00EE7913" w:rsidRDefault="00AD76E0" w:rsidP="0070401F">
      <w:pPr>
        <w:pStyle w:val="Ttol4"/>
      </w:pPr>
      <w:bookmarkStart w:id="480" w:name="_Toc464726389"/>
      <w:r w:rsidRPr="00EE7913">
        <w:t>La negociació col·lectiva en l’àmbit penitenciari</w:t>
      </w:r>
      <w:bookmarkEnd w:id="480"/>
    </w:p>
    <w:p w:rsidR="00AD76E0" w:rsidRPr="00EE7913" w:rsidRDefault="00AD76E0" w:rsidP="00AD76E0">
      <w:pPr>
        <w:pStyle w:val="Ttol5"/>
      </w:pPr>
      <w:r w:rsidRPr="00EE7913">
        <w:t>Acord de condicions de treball de personal de l’àmbit penitenciari per a l’any 1990</w:t>
      </w:r>
    </w:p>
    <w:p w:rsidR="00AD76E0" w:rsidRPr="00EE7913" w:rsidRDefault="00AD76E0" w:rsidP="00AD76E0">
      <w:pPr>
        <w:spacing w:before="0" w:after="0" w:line="276" w:lineRule="auto"/>
      </w:pPr>
    </w:p>
    <w:p w:rsidR="00AD76E0" w:rsidRPr="00EE7913" w:rsidRDefault="00AD76E0" w:rsidP="00AD76E0">
      <w:pPr>
        <w:spacing w:before="0" w:after="0" w:line="276" w:lineRule="auto"/>
      </w:pPr>
      <w:r w:rsidRPr="00EE7913">
        <w:t>L’Acord de condicions de treball de personal de l’àmbit penitenciari per a l’any 1990 contenia i desenvolupava els punts següents:</w:t>
      </w:r>
    </w:p>
    <w:p w:rsidR="00AD76E0" w:rsidRPr="00EE7913" w:rsidRDefault="00AD76E0" w:rsidP="00AD76E0">
      <w:pPr>
        <w:spacing w:before="0" w:after="0" w:line="276" w:lineRule="auto"/>
        <w:rPr>
          <w:sz w:val="12"/>
          <w:szCs w:val="12"/>
        </w:rPr>
      </w:pPr>
    </w:p>
    <w:p w:rsidR="00AD76E0" w:rsidRPr="00EE7913" w:rsidRDefault="00AD76E0" w:rsidP="00AD76E0">
      <w:pPr>
        <w:pStyle w:val="Pargrafdellista"/>
        <w:numPr>
          <w:ilvl w:val="0"/>
          <w:numId w:val="75"/>
        </w:numPr>
        <w:spacing w:before="0" w:after="0" w:line="276" w:lineRule="auto"/>
        <w:ind w:left="284" w:hanging="284"/>
      </w:pPr>
      <w:r>
        <w:t>S</w:t>
      </w:r>
      <w:r w:rsidRPr="00EE7913">
        <w:t>istema de provisió definitiva i provisional de llocs de treball.</w:t>
      </w:r>
    </w:p>
    <w:p w:rsidR="00AD76E0" w:rsidRPr="00EE7913" w:rsidRDefault="00AD76E0" w:rsidP="00AD76E0">
      <w:pPr>
        <w:pStyle w:val="Pargrafdellista"/>
        <w:numPr>
          <w:ilvl w:val="0"/>
          <w:numId w:val="74"/>
        </w:numPr>
        <w:spacing w:before="0" w:after="0" w:line="276" w:lineRule="auto"/>
        <w:ind w:left="284" w:hanging="284"/>
      </w:pPr>
      <w:r w:rsidRPr="00EE7913">
        <w:t>Uniforme.</w:t>
      </w:r>
    </w:p>
    <w:p w:rsidR="00AD76E0" w:rsidRPr="00EE7913" w:rsidRDefault="00AD76E0" w:rsidP="00AD76E0">
      <w:pPr>
        <w:pStyle w:val="Pargrafdellista"/>
        <w:numPr>
          <w:ilvl w:val="0"/>
          <w:numId w:val="74"/>
        </w:numPr>
        <w:spacing w:before="0" w:after="0" w:line="276" w:lineRule="auto"/>
        <w:ind w:left="284" w:hanging="284"/>
      </w:pPr>
      <w:r w:rsidRPr="00EE7913">
        <w:t>Mobilitat interdepartamental.</w:t>
      </w:r>
    </w:p>
    <w:p w:rsidR="00AD76E0" w:rsidRPr="002548DD" w:rsidRDefault="00AD76E0" w:rsidP="00AD76E0">
      <w:pPr>
        <w:pStyle w:val="Pargrafdellista"/>
        <w:numPr>
          <w:ilvl w:val="0"/>
          <w:numId w:val="74"/>
        </w:numPr>
        <w:spacing w:before="0" w:after="0" w:line="276" w:lineRule="auto"/>
        <w:ind w:left="284" w:hanging="284"/>
      </w:pPr>
      <w:r w:rsidRPr="002548DD">
        <w:t>Dies de compensació de festius: 11 dies l’any 1990; 14 dies l’any 1991.</w:t>
      </w:r>
    </w:p>
    <w:p w:rsidR="00AD76E0" w:rsidRPr="002548DD" w:rsidRDefault="00AD76E0" w:rsidP="00AD76E0">
      <w:pPr>
        <w:pStyle w:val="Pargrafdellista"/>
        <w:numPr>
          <w:ilvl w:val="0"/>
          <w:numId w:val="74"/>
        </w:numPr>
        <w:spacing w:before="0" w:after="0" w:line="276" w:lineRule="auto"/>
        <w:ind w:left="284" w:hanging="284"/>
      </w:pPr>
      <w:r w:rsidRPr="002548DD">
        <w:t xml:space="preserve">Creació de l’especialitat de serveis penitenciaris dins del cos </w:t>
      </w:r>
      <w:r>
        <w:t>a</w:t>
      </w:r>
      <w:r w:rsidRPr="002548DD">
        <w:t xml:space="preserve">uxiliar </w:t>
      </w:r>
      <w:r>
        <w:t>t</w:t>
      </w:r>
      <w:r w:rsidRPr="002548DD">
        <w:t>ècnic i dels llocs d’</w:t>
      </w:r>
      <w:r>
        <w:t>a</w:t>
      </w:r>
      <w:r w:rsidRPr="002548DD">
        <w:t xml:space="preserve">uxiliar </w:t>
      </w:r>
      <w:r>
        <w:t>t</w:t>
      </w:r>
      <w:r w:rsidRPr="002548DD">
        <w:t>ècnic</w:t>
      </w:r>
      <w:r>
        <w:t xml:space="preserve"> de</w:t>
      </w:r>
      <w:r w:rsidRPr="002548DD">
        <w:t xml:space="preserve"> </w:t>
      </w:r>
      <w:r>
        <w:t>s</w:t>
      </w:r>
      <w:r w:rsidRPr="002548DD">
        <w:t xml:space="preserve">ervei </w:t>
      </w:r>
      <w:r>
        <w:t>i</w:t>
      </w:r>
      <w:r w:rsidRPr="002548DD">
        <w:t xml:space="preserve">nterior i </w:t>
      </w:r>
      <w:r>
        <w:t>a</w:t>
      </w:r>
      <w:r w:rsidRPr="002548DD">
        <w:t xml:space="preserve">uxiliar </w:t>
      </w:r>
      <w:r>
        <w:t>t</w:t>
      </w:r>
      <w:r w:rsidRPr="002548DD">
        <w:t>ècnic</w:t>
      </w:r>
      <w:r>
        <w:t xml:space="preserve"> d’à</w:t>
      </w:r>
      <w:r w:rsidRPr="002548DD">
        <w:t xml:space="preserve">rea </w:t>
      </w:r>
      <w:r>
        <w:t>m</w:t>
      </w:r>
      <w:r w:rsidRPr="002548DD">
        <w:t>ixta.</w:t>
      </w:r>
    </w:p>
    <w:p w:rsidR="00AD76E0" w:rsidRPr="002548DD" w:rsidRDefault="00AD76E0" w:rsidP="00AD76E0">
      <w:pPr>
        <w:pStyle w:val="Pargrafdellista"/>
        <w:numPr>
          <w:ilvl w:val="0"/>
          <w:numId w:val="74"/>
        </w:numPr>
        <w:spacing w:before="0" w:after="0" w:line="276" w:lineRule="auto"/>
        <w:ind w:left="284" w:hanging="284"/>
      </w:pPr>
      <w:r w:rsidRPr="002548DD">
        <w:t>Determinació de l’oferta d’ocupació pública de la Generalitat de Catalunya de 1990.</w:t>
      </w:r>
    </w:p>
    <w:p w:rsidR="00AD76E0" w:rsidRPr="002548DD" w:rsidRDefault="00AD76E0" w:rsidP="00AD76E0">
      <w:pPr>
        <w:pStyle w:val="Pargrafdellista"/>
        <w:numPr>
          <w:ilvl w:val="0"/>
          <w:numId w:val="74"/>
        </w:numPr>
        <w:spacing w:before="0" w:after="0" w:line="276" w:lineRule="auto"/>
        <w:ind w:left="284" w:hanging="284"/>
      </w:pPr>
      <w:r w:rsidRPr="002548DD">
        <w:t>Vacances: garantia del coeficient de simultaneïtat del 20</w:t>
      </w:r>
      <w:r>
        <w:t xml:space="preserve"> </w:t>
      </w:r>
      <w:r w:rsidRPr="002548DD">
        <w:t xml:space="preserve">% en el gaudiment de vacances, permisos i llicències dels funcionaris de servei interior i </w:t>
      </w:r>
      <w:r>
        <w:t>d’</w:t>
      </w:r>
      <w:r w:rsidRPr="002548DD">
        <w:t>àrea mixta.</w:t>
      </w:r>
    </w:p>
    <w:p w:rsidR="00AD76E0" w:rsidRPr="002548DD" w:rsidRDefault="00AD76E0" w:rsidP="00AD76E0">
      <w:pPr>
        <w:pStyle w:val="Pargrafdellista"/>
        <w:numPr>
          <w:ilvl w:val="0"/>
          <w:numId w:val="74"/>
        </w:numPr>
        <w:spacing w:before="0" w:after="0" w:line="276" w:lineRule="auto"/>
        <w:ind w:left="284" w:hanging="284"/>
      </w:pPr>
      <w:r w:rsidRPr="002548DD">
        <w:t>Descansos en la jornada laboral: 20</w:t>
      </w:r>
      <w:r>
        <w:t xml:space="preserve"> minuts en</w:t>
      </w:r>
      <w:r w:rsidRPr="002548DD">
        <w:t xml:space="preserve"> jornada partida, 30</w:t>
      </w:r>
      <w:r>
        <w:t xml:space="preserve"> minuts en</w:t>
      </w:r>
      <w:r w:rsidRPr="002548DD">
        <w:t xml:space="preserve"> jornada continuada</w:t>
      </w:r>
      <w:r>
        <w:t xml:space="preserve"> i</w:t>
      </w:r>
      <w:r w:rsidRPr="002548DD">
        <w:t xml:space="preserve"> 45</w:t>
      </w:r>
      <w:r>
        <w:t xml:space="preserve"> minuts en</w:t>
      </w:r>
      <w:r w:rsidRPr="002548DD">
        <w:t xml:space="preserve"> jornada nocturna.</w:t>
      </w:r>
    </w:p>
    <w:p w:rsidR="00AD76E0" w:rsidRPr="002548DD" w:rsidRDefault="00AD76E0" w:rsidP="00AD76E0">
      <w:pPr>
        <w:pStyle w:val="Pargrafdellista"/>
        <w:numPr>
          <w:ilvl w:val="0"/>
          <w:numId w:val="74"/>
        </w:numPr>
        <w:spacing w:before="0" w:after="0" w:line="276" w:lineRule="auto"/>
        <w:ind w:left="284" w:hanging="284"/>
      </w:pPr>
      <w:r w:rsidRPr="002548DD">
        <w:t>Assegurança d’accidents: contractació d’una pòlissa col·lectiva d’accidents en benefici dels funcionaris de la Direcció General de Serveis Penitenciaris i de Rehabilitació.</w:t>
      </w:r>
    </w:p>
    <w:p w:rsidR="00AD76E0" w:rsidRPr="002548DD" w:rsidRDefault="00AD76E0" w:rsidP="00AD76E0">
      <w:pPr>
        <w:pStyle w:val="Pargrafdellista"/>
        <w:numPr>
          <w:ilvl w:val="0"/>
          <w:numId w:val="74"/>
        </w:numPr>
        <w:spacing w:before="0" w:after="0" w:line="276" w:lineRule="auto"/>
        <w:ind w:left="284" w:hanging="284"/>
      </w:pPr>
      <w:r w:rsidRPr="002548DD">
        <w:t xml:space="preserve">Comitès de </w:t>
      </w:r>
      <w:r>
        <w:t>s</w:t>
      </w:r>
      <w:r w:rsidRPr="002548DD">
        <w:t xml:space="preserve">eguretat i </w:t>
      </w:r>
      <w:r>
        <w:t>h</w:t>
      </w:r>
      <w:r w:rsidRPr="002548DD">
        <w:t>igiene</w:t>
      </w:r>
      <w:r>
        <w:t>.</w:t>
      </w:r>
    </w:p>
    <w:p w:rsidR="00AD76E0" w:rsidRPr="002548DD" w:rsidRDefault="00AD76E0" w:rsidP="00AD76E0">
      <w:pPr>
        <w:pStyle w:val="Pargrafdellista"/>
        <w:numPr>
          <w:ilvl w:val="0"/>
          <w:numId w:val="74"/>
        </w:numPr>
        <w:spacing w:before="0" w:after="0" w:line="276" w:lineRule="auto"/>
        <w:ind w:left="284" w:hanging="284"/>
      </w:pPr>
      <w:r w:rsidRPr="002548DD">
        <w:t>Horaris de treball</w:t>
      </w:r>
      <w:r>
        <w:t>:</w:t>
      </w:r>
    </w:p>
    <w:p w:rsidR="00AD76E0" w:rsidRPr="002548DD" w:rsidRDefault="00AD76E0" w:rsidP="007A1E03">
      <w:pPr>
        <w:pStyle w:val="Pargrafdellista"/>
        <w:numPr>
          <w:ilvl w:val="0"/>
          <w:numId w:val="87"/>
        </w:numPr>
        <w:spacing w:before="0" w:after="0" w:line="276" w:lineRule="auto"/>
      </w:pPr>
      <w:r w:rsidRPr="002548DD">
        <w:t xml:space="preserve">Servei </w:t>
      </w:r>
      <w:r>
        <w:t>i</w:t>
      </w:r>
      <w:r w:rsidRPr="002548DD">
        <w:t>nterior</w:t>
      </w:r>
    </w:p>
    <w:p w:rsidR="00AD76E0" w:rsidRPr="002548DD" w:rsidRDefault="00AD76E0" w:rsidP="007A1E03">
      <w:pPr>
        <w:pStyle w:val="Pargrafdellista"/>
        <w:numPr>
          <w:ilvl w:val="0"/>
          <w:numId w:val="87"/>
        </w:numPr>
        <w:spacing w:before="0" w:after="0" w:line="276" w:lineRule="auto"/>
      </w:pPr>
      <w:r>
        <w:t>Àrea m</w:t>
      </w:r>
      <w:r w:rsidRPr="002548DD">
        <w:t>ixta</w:t>
      </w:r>
      <w:r>
        <w:t>:</w:t>
      </w:r>
      <w:r w:rsidRPr="002548DD">
        <w:t xml:space="preserve"> </w:t>
      </w:r>
    </w:p>
    <w:p w:rsidR="00AD76E0" w:rsidRPr="002548DD" w:rsidRDefault="00AD76E0" w:rsidP="007A1E03">
      <w:pPr>
        <w:pStyle w:val="Pargrafdellista"/>
        <w:numPr>
          <w:ilvl w:val="0"/>
          <w:numId w:val="88"/>
        </w:numPr>
        <w:spacing w:before="0" w:after="0" w:line="276" w:lineRule="auto"/>
      </w:pPr>
      <w:r w:rsidRPr="002548DD">
        <w:t xml:space="preserve">En mòduls, galeries, patis i </w:t>
      </w:r>
      <w:r>
        <w:t xml:space="preserve">espais </w:t>
      </w:r>
      <w:r w:rsidRPr="002548DD">
        <w:t>anàlegs</w:t>
      </w:r>
      <w:r>
        <w:t>.</w:t>
      </w:r>
    </w:p>
    <w:p w:rsidR="00AD76E0" w:rsidRPr="002548DD" w:rsidRDefault="00AD76E0" w:rsidP="007A1E03">
      <w:pPr>
        <w:pStyle w:val="Pargrafdellista"/>
        <w:numPr>
          <w:ilvl w:val="0"/>
          <w:numId w:val="88"/>
        </w:numPr>
        <w:spacing w:before="0" w:after="0" w:line="276" w:lineRule="auto"/>
      </w:pPr>
      <w:r w:rsidRPr="002548DD">
        <w:t>En altres serveis</w:t>
      </w:r>
      <w:r>
        <w:t>.</w:t>
      </w:r>
      <w:r w:rsidRPr="002548DD">
        <w:t xml:space="preserve"> </w:t>
      </w:r>
    </w:p>
    <w:p w:rsidR="00AD76E0" w:rsidRPr="002548DD" w:rsidRDefault="00AD76E0" w:rsidP="007A1E03">
      <w:pPr>
        <w:pStyle w:val="Pargrafdellista"/>
        <w:numPr>
          <w:ilvl w:val="0"/>
          <w:numId w:val="87"/>
        </w:numPr>
        <w:spacing w:before="0" w:after="0" w:line="276" w:lineRule="auto"/>
      </w:pPr>
      <w:r w:rsidRPr="002548DD">
        <w:t>Oficines</w:t>
      </w:r>
      <w:r>
        <w:t>.</w:t>
      </w:r>
      <w:r w:rsidRPr="002548DD">
        <w:t xml:space="preserve"> </w:t>
      </w:r>
    </w:p>
    <w:p w:rsidR="00AD76E0" w:rsidRPr="002548DD" w:rsidRDefault="00AD76E0" w:rsidP="007A1E03">
      <w:pPr>
        <w:pStyle w:val="Pargrafdellista"/>
        <w:numPr>
          <w:ilvl w:val="0"/>
          <w:numId w:val="87"/>
        </w:numPr>
        <w:spacing w:before="0" w:after="0" w:line="276" w:lineRule="auto"/>
      </w:pPr>
      <w:r w:rsidRPr="002548DD">
        <w:t>Tècnics</w:t>
      </w:r>
      <w:r>
        <w:t xml:space="preserve"> de l’e</w:t>
      </w:r>
      <w:r w:rsidRPr="002548DD">
        <w:t>quip d'</w:t>
      </w:r>
      <w:r>
        <w:t>o</w:t>
      </w:r>
      <w:r w:rsidRPr="002548DD">
        <w:t xml:space="preserve">bservació i </w:t>
      </w:r>
      <w:r>
        <w:t>t</w:t>
      </w:r>
      <w:r w:rsidRPr="002548DD">
        <w:t>ractament</w:t>
      </w:r>
      <w:r>
        <w:t>.</w:t>
      </w:r>
    </w:p>
    <w:p w:rsidR="00AD76E0" w:rsidRPr="002548DD" w:rsidRDefault="00AD76E0" w:rsidP="007A1E03">
      <w:pPr>
        <w:pStyle w:val="Pargrafdellista"/>
        <w:numPr>
          <w:ilvl w:val="0"/>
          <w:numId w:val="87"/>
        </w:numPr>
        <w:spacing w:before="0" w:after="0" w:line="276" w:lineRule="auto"/>
      </w:pPr>
      <w:r w:rsidRPr="002548DD">
        <w:t>Educadors</w:t>
      </w:r>
      <w:r>
        <w:t>.</w:t>
      </w:r>
      <w:r w:rsidRPr="002548DD">
        <w:t xml:space="preserve"> </w:t>
      </w:r>
    </w:p>
    <w:p w:rsidR="00AD76E0" w:rsidRPr="002548DD" w:rsidRDefault="00AD76E0" w:rsidP="007A1E03">
      <w:pPr>
        <w:pStyle w:val="Pargrafdellista"/>
        <w:numPr>
          <w:ilvl w:val="0"/>
          <w:numId w:val="87"/>
        </w:numPr>
        <w:spacing w:before="0" w:after="0" w:line="276" w:lineRule="auto"/>
      </w:pPr>
      <w:r w:rsidRPr="002548DD">
        <w:t xml:space="preserve">Professors d'EGB. </w:t>
      </w:r>
    </w:p>
    <w:p w:rsidR="00AD76E0" w:rsidRPr="002548DD" w:rsidRDefault="00AD76E0" w:rsidP="007A1E03">
      <w:pPr>
        <w:pStyle w:val="Pargrafdellista"/>
        <w:numPr>
          <w:ilvl w:val="0"/>
          <w:numId w:val="87"/>
        </w:numPr>
        <w:spacing w:before="0" w:after="0" w:line="276" w:lineRule="auto"/>
      </w:pPr>
      <w:r w:rsidRPr="002548DD">
        <w:t xml:space="preserve">Assistents </w:t>
      </w:r>
      <w:r>
        <w:t>s</w:t>
      </w:r>
      <w:r w:rsidRPr="002548DD">
        <w:t xml:space="preserve">ocials. </w:t>
      </w:r>
    </w:p>
    <w:p w:rsidR="00AD76E0" w:rsidRPr="002548DD" w:rsidRDefault="00AD76E0" w:rsidP="007A1E03">
      <w:pPr>
        <w:pStyle w:val="Pargrafdellista"/>
        <w:numPr>
          <w:ilvl w:val="0"/>
          <w:numId w:val="87"/>
        </w:numPr>
        <w:spacing w:before="0" w:after="0" w:line="276" w:lineRule="auto"/>
      </w:pPr>
      <w:r w:rsidRPr="002548DD">
        <w:t xml:space="preserve">Bibliotecaris. </w:t>
      </w:r>
    </w:p>
    <w:p w:rsidR="00AD76E0" w:rsidRPr="002548DD" w:rsidRDefault="00AD76E0" w:rsidP="007A1E03">
      <w:pPr>
        <w:pStyle w:val="Pargrafdellista"/>
        <w:numPr>
          <w:ilvl w:val="0"/>
          <w:numId w:val="87"/>
        </w:numPr>
        <w:spacing w:before="0" w:after="0" w:line="276" w:lineRule="auto"/>
      </w:pPr>
      <w:r w:rsidRPr="002548DD">
        <w:t>Cap</w:t>
      </w:r>
      <w:r>
        <w:t xml:space="preserve"> d’u</w:t>
      </w:r>
      <w:r w:rsidRPr="002548DD">
        <w:t>nitat</w:t>
      </w:r>
      <w:r>
        <w:t xml:space="preserve"> de</w:t>
      </w:r>
      <w:r w:rsidRPr="002548DD">
        <w:t xml:space="preserve"> </w:t>
      </w:r>
      <w:r>
        <w:t>s</w:t>
      </w:r>
      <w:r w:rsidRPr="002548DD">
        <w:t xml:space="preserve">ervei </w:t>
      </w:r>
      <w:r>
        <w:t>i</w:t>
      </w:r>
      <w:r w:rsidRPr="002548DD">
        <w:t xml:space="preserve">nterior. </w:t>
      </w:r>
    </w:p>
    <w:p w:rsidR="00AD76E0" w:rsidRPr="002548DD" w:rsidRDefault="00AD76E0" w:rsidP="007A1E03">
      <w:pPr>
        <w:pStyle w:val="Pargrafdellista"/>
        <w:numPr>
          <w:ilvl w:val="0"/>
          <w:numId w:val="87"/>
        </w:numPr>
        <w:spacing w:before="0" w:after="0" w:line="276" w:lineRule="auto"/>
      </w:pPr>
      <w:r w:rsidRPr="002548DD">
        <w:t>Cap</w:t>
      </w:r>
      <w:r>
        <w:t xml:space="preserve"> d’u</w:t>
      </w:r>
      <w:r w:rsidRPr="002548DD">
        <w:t xml:space="preserve">nitat </w:t>
      </w:r>
      <w:r>
        <w:t>d’à</w:t>
      </w:r>
      <w:r w:rsidRPr="002548DD">
        <w:t xml:space="preserve">rea </w:t>
      </w:r>
      <w:r>
        <w:t>m</w:t>
      </w:r>
      <w:r w:rsidRPr="002548DD">
        <w:t>ixta</w:t>
      </w:r>
      <w:r>
        <w:t>.</w:t>
      </w:r>
      <w:r w:rsidRPr="002548DD">
        <w:t xml:space="preserve"> </w:t>
      </w:r>
    </w:p>
    <w:p w:rsidR="00AD76E0" w:rsidRPr="002548DD" w:rsidRDefault="00AD76E0" w:rsidP="007A1E03">
      <w:pPr>
        <w:pStyle w:val="Pargrafdellista"/>
        <w:numPr>
          <w:ilvl w:val="0"/>
          <w:numId w:val="87"/>
        </w:numPr>
        <w:spacing w:before="0" w:after="0" w:line="276" w:lineRule="auto"/>
      </w:pPr>
      <w:r>
        <w:t>Cap d'o</w:t>
      </w:r>
      <w:r w:rsidRPr="002548DD">
        <w:t xml:space="preserve">ficina. </w:t>
      </w:r>
    </w:p>
    <w:p w:rsidR="00AD76E0" w:rsidRPr="002548DD" w:rsidRDefault="00AD76E0" w:rsidP="007A1E03">
      <w:pPr>
        <w:pStyle w:val="Pargrafdellista"/>
        <w:numPr>
          <w:ilvl w:val="0"/>
          <w:numId w:val="87"/>
        </w:numPr>
        <w:spacing w:before="0" w:after="0" w:line="276" w:lineRule="auto"/>
      </w:pPr>
      <w:r w:rsidRPr="002548DD">
        <w:t xml:space="preserve">Encarregat </w:t>
      </w:r>
      <w:r>
        <w:t>d’à</w:t>
      </w:r>
      <w:r w:rsidRPr="002548DD">
        <w:t xml:space="preserve">rea </w:t>
      </w:r>
      <w:r>
        <w:t>a</w:t>
      </w:r>
      <w:r w:rsidRPr="002548DD">
        <w:t xml:space="preserve">dministrativa, </w:t>
      </w:r>
      <w:r>
        <w:t>c</w:t>
      </w:r>
      <w:r w:rsidRPr="002548DD">
        <w:t>oordinador</w:t>
      </w:r>
      <w:r>
        <w:t xml:space="preserve"> de</w:t>
      </w:r>
      <w:r w:rsidRPr="002548DD">
        <w:t xml:space="preserve"> </w:t>
      </w:r>
      <w:r>
        <w:t>s</w:t>
      </w:r>
      <w:r w:rsidRPr="002548DD">
        <w:t xml:space="preserve">erveis </w:t>
      </w:r>
      <w:r>
        <w:t>s</w:t>
      </w:r>
      <w:r w:rsidRPr="002548DD">
        <w:t xml:space="preserve">ocials, </w:t>
      </w:r>
      <w:r>
        <w:t>c</w:t>
      </w:r>
      <w:r w:rsidRPr="002548DD">
        <w:t xml:space="preserve">oordinador </w:t>
      </w:r>
      <w:r>
        <w:t>d’e</w:t>
      </w:r>
      <w:r w:rsidRPr="002548DD">
        <w:t xml:space="preserve">ducadors, </w:t>
      </w:r>
      <w:r>
        <w:t>d</w:t>
      </w:r>
      <w:r w:rsidRPr="002548DD">
        <w:t xml:space="preserve">irector </w:t>
      </w:r>
      <w:r>
        <w:t>d</w:t>
      </w:r>
      <w:r w:rsidRPr="002548DD">
        <w:t xml:space="preserve">ocent, </w:t>
      </w:r>
      <w:r>
        <w:t>c</w:t>
      </w:r>
      <w:r w:rsidRPr="002548DD">
        <w:t xml:space="preserve">ap </w:t>
      </w:r>
      <w:r>
        <w:t>d’e</w:t>
      </w:r>
      <w:r w:rsidRPr="002548DD">
        <w:t xml:space="preserve">quip </w:t>
      </w:r>
      <w:r>
        <w:t>d’o</w:t>
      </w:r>
      <w:r w:rsidRPr="002548DD">
        <w:t xml:space="preserve">bservació i </w:t>
      </w:r>
      <w:r>
        <w:t>t</w:t>
      </w:r>
      <w:r w:rsidRPr="002548DD">
        <w:t xml:space="preserve">ractament, </w:t>
      </w:r>
      <w:r>
        <w:t>c</w:t>
      </w:r>
      <w:r w:rsidRPr="002548DD">
        <w:t>ap</w:t>
      </w:r>
      <w:r>
        <w:t xml:space="preserve"> de</w:t>
      </w:r>
      <w:r w:rsidRPr="002548DD">
        <w:t xml:space="preserve"> </w:t>
      </w:r>
      <w:r>
        <w:t>d</w:t>
      </w:r>
      <w:r w:rsidRPr="002548DD">
        <w:t xml:space="preserve">epartament </w:t>
      </w:r>
      <w:r>
        <w:t>e</w:t>
      </w:r>
      <w:r w:rsidRPr="002548DD">
        <w:t>special.</w:t>
      </w:r>
    </w:p>
    <w:p w:rsidR="00AD76E0" w:rsidRPr="002548DD" w:rsidRDefault="00AD76E0" w:rsidP="007A1E03">
      <w:pPr>
        <w:pStyle w:val="Pargrafdellista"/>
        <w:numPr>
          <w:ilvl w:val="0"/>
          <w:numId w:val="87"/>
        </w:numPr>
        <w:spacing w:before="0" w:after="0" w:line="276" w:lineRule="auto"/>
      </w:pPr>
      <w:r>
        <w:t>Responsables i e</w:t>
      </w:r>
      <w:r w:rsidRPr="002548DD">
        <w:t>specialistes d'</w:t>
      </w:r>
      <w:r>
        <w:t>i</w:t>
      </w:r>
      <w:r w:rsidRPr="002548DD">
        <w:t xml:space="preserve">nstal·lacions i </w:t>
      </w:r>
      <w:r>
        <w:t>e</w:t>
      </w:r>
      <w:r w:rsidRPr="002548DD">
        <w:t xml:space="preserve">quips </w:t>
      </w:r>
      <w:r>
        <w:t>t</w:t>
      </w:r>
      <w:r w:rsidRPr="002548DD">
        <w:t>ècnics.</w:t>
      </w:r>
    </w:p>
    <w:p w:rsidR="00AD76E0" w:rsidRPr="002548DD" w:rsidRDefault="00AD76E0" w:rsidP="007A1E03">
      <w:pPr>
        <w:pStyle w:val="Pargrafdellista"/>
        <w:numPr>
          <w:ilvl w:val="0"/>
          <w:numId w:val="87"/>
        </w:numPr>
        <w:spacing w:before="0" w:after="0" w:line="276" w:lineRule="auto"/>
      </w:pPr>
      <w:r>
        <w:t>Caps de c</w:t>
      </w:r>
      <w:r w:rsidRPr="002548DD">
        <w:t xml:space="preserve">entre. </w:t>
      </w:r>
    </w:p>
    <w:p w:rsidR="00AD76E0" w:rsidRPr="002548DD" w:rsidRDefault="00AD76E0" w:rsidP="007A1E03">
      <w:pPr>
        <w:pStyle w:val="Pargrafdellista"/>
        <w:numPr>
          <w:ilvl w:val="0"/>
          <w:numId w:val="87"/>
        </w:numPr>
        <w:spacing w:before="0" w:after="0" w:line="276" w:lineRule="auto"/>
      </w:pPr>
      <w:r w:rsidRPr="002548DD">
        <w:t xml:space="preserve">Caps de </w:t>
      </w:r>
      <w:r>
        <w:t>s</w:t>
      </w:r>
      <w:r w:rsidRPr="002548DD">
        <w:t xml:space="preserve">ervei. </w:t>
      </w:r>
    </w:p>
    <w:p w:rsidR="00AD76E0" w:rsidRPr="002548DD" w:rsidRDefault="00AD76E0" w:rsidP="00AD76E0">
      <w:pPr>
        <w:pStyle w:val="Pargrafdellista"/>
        <w:numPr>
          <w:ilvl w:val="0"/>
          <w:numId w:val="74"/>
        </w:numPr>
        <w:spacing w:before="0" w:after="0" w:line="276" w:lineRule="auto"/>
        <w:ind w:left="284" w:hanging="284"/>
      </w:pPr>
      <w:r w:rsidRPr="002548DD">
        <w:t>Personal sanitari penitenciari de naturalesa funcionarial.</w:t>
      </w:r>
    </w:p>
    <w:p w:rsidR="00AD76E0" w:rsidRPr="002548DD" w:rsidRDefault="00AD76E0" w:rsidP="00AD76E0">
      <w:pPr>
        <w:pStyle w:val="Pargrafdellista"/>
        <w:numPr>
          <w:ilvl w:val="0"/>
          <w:numId w:val="74"/>
        </w:numPr>
        <w:spacing w:before="0" w:after="0" w:line="276" w:lineRule="auto"/>
        <w:ind w:left="284" w:hanging="284"/>
      </w:pPr>
      <w:r w:rsidRPr="002548DD">
        <w:t>Millora de retribucions</w:t>
      </w:r>
      <w:r>
        <w:t>.</w:t>
      </w:r>
    </w:p>
    <w:p w:rsidR="00B517F7" w:rsidRDefault="00B517F7">
      <w:pPr>
        <w:spacing w:before="0"/>
        <w:jc w:val="left"/>
      </w:pPr>
      <w:r>
        <w:br w:type="page"/>
      </w:r>
    </w:p>
    <w:p w:rsidR="00AD76E0" w:rsidRPr="002548DD" w:rsidRDefault="00AD76E0" w:rsidP="00AD76E0">
      <w:pPr>
        <w:spacing w:before="0" w:after="0" w:line="276" w:lineRule="auto"/>
      </w:pPr>
    </w:p>
    <w:p w:rsidR="00AD76E0" w:rsidRPr="00EE7913" w:rsidRDefault="00AD76E0" w:rsidP="00AD76E0">
      <w:pPr>
        <w:pStyle w:val="Ttol5"/>
      </w:pPr>
      <w:r w:rsidRPr="00EE7913">
        <w:t>Acord de Govern de 9 de novembre de 1992</w:t>
      </w:r>
    </w:p>
    <w:p w:rsidR="00AD76E0" w:rsidRPr="00EE7913" w:rsidRDefault="00AD76E0" w:rsidP="00AD76E0">
      <w:pPr>
        <w:spacing w:before="0" w:after="0" w:line="276" w:lineRule="auto"/>
      </w:pPr>
    </w:p>
    <w:p w:rsidR="00AD76E0" w:rsidRPr="00EE7913" w:rsidRDefault="00AD76E0" w:rsidP="00AD76E0">
      <w:pPr>
        <w:pStyle w:val="Pargrafdellista"/>
        <w:numPr>
          <w:ilvl w:val="0"/>
          <w:numId w:val="74"/>
        </w:numPr>
        <w:spacing w:before="0" w:after="0" w:line="276" w:lineRule="auto"/>
        <w:ind w:left="284" w:hanging="284"/>
        <w:rPr>
          <w:color w:val="000000" w:themeColor="text1"/>
        </w:rPr>
      </w:pPr>
      <w:r w:rsidRPr="00EE7913">
        <w:rPr>
          <w:color w:val="000000" w:themeColor="text1"/>
        </w:rPr>
        <w:t>Sistema d’ajut per a</w:t>
      </w:r>
      <w:r>
        <w:rPr>
          <w:color w:val="000000" w:themeColor="text1"/>
        </w:rPr>
        <w:t>l menjar per als funcionaris d’a</w:t>
      </w:r>
      <w:r w:rsidRPr="00EE7913">
        <w:rPr>
          <w:color w:val="000000" w:themeColor="text1"/>
        </w:rPr>
        <w:t xml:space="preserve">dministració i </w:t>
      </w:r>
      <w:r>
        <w:rPr>
          <w:color w:val="000000" w:themeColor="text1"/>
        </w:rPr>
        <w:t>t</w:t>
      </w:r>
      <w:r w:rsidRPr="00EE7913">
        <w:rPr>
          <w:color w:val="000000" w:themeColor="text1"/>
        </w:rPr>
        <w:t>ècnic</w:t>
      </w:r>
      <w:r>
        <w:rPr>
          <w:color w:val="000000" w:themeColor="text1"/>
        </w:rPr>
        <w:t>s.</w:t>
      </w:r>
    </w:p>
    <w:p w:rsidR="00AD76E0" w:rsidRDefault="00AD76E0" w:rsidP="00AD76E0"/>
    <w:p w:rsidR="00AD76E0" w:rsidRPr="00EE7913" w:rsidRDefault="00AD76E0" w:rsidP="00AD76E0">
      <w:pPr>
        <w:pStyle w:val="Ttol5"/>
      </w:pPr>
      <w:r w:rsidRPr="00EE7913">
        <w:t>Acord de condicions de treball de personal de l’àmbit penitenciari per als anys 1998-1999</w:t>
      </w:r>
    </w:p>
    <w:p w:rsidR="00AD76E0" w:rsidRPr="00EE7913" w:rsidRDefault="00AD76E0" w:rsidP="00AD76E0">
      <w:pPr>
        <w:spacing w:before="0" w:after="0" w:line="276" w:lineRule="auto"/>
      </w:pPr>
    </w:p>
    <w:p w:rsidR="00AD76E0" w:rsidRPr="00EE7913" w:rsidRDefault="00AD76E0" w:rsidP="00AD76E0">
      <w:pPr>
        <w:spacing w:before="0" w:after="0" w:line="276" w:lineRule="auto"/>
      </w:pPr>
      <w:r w:rsidRPr="00EE7913">
        <w:t>L’Acord de condicions de treball de personal de l’àmbit penitenciari per als anys 1998-1999 contenia i desenvolupava els punts següents:</w:t>
      </w:r>
    </w:p>
    <w:p w:rsidR="00AD76E0" w:rsidRPr="00EE7913" w:rsidRDefault="00AD76E0" w:rsidP="00AD76E0">
      <w:pPr>
        <w:spacing w:before="0" w:after="0" w:line="276" w:lineRule="auto"/>
      </w:pPr>
    </w:p>
    <w:p w:rsidR="00AD76E0" w:rsidRPr="002548DD" w:rsidRDefault="00AD76E0" w:rsidP="00AD76E0">
      <w:pPr>
        <w:pStyle w:val="Pargrafdellista"/>
        <w:numPr>
          <w:ilvl w:val="0"/>
          <w:numId w:val="74"/>
        </w:numPr>
        <w:spacing w:before="0" w:after="0" w:line="276" w:lineRule="auto"/>
        <w:ind w:left="284" w:hanging="284"/>
      </w:pPr>
      <w:r w:rsidRPr="002548DD">
        <w:t xml:space="preserve">Canvis de serveis del personal funcionari de servei interior que treballa </w:t>
      </w:r>
      <w:r>
        <w:t>en</w:t>
      </w:r>
      <w:r w:rsidRPr="002548DD">
        <w:t xml:space="preserve"> torns horaris.</w:t>
      </w:r>
    </w:p>
    <w:p w:rsidR="00AD76E0" w:rsidRPr="002548DD" w:rsidRDefault="00AD76E0" w:rsidP="00AD76E0">
      <w:pPr>
        <w:pStyle w:val="Pargrafdellista"/>
        <w:numPr>
          <w:ilvl w:val="0"/>
          <w:numId w:val="74"/>
        </w:numPr>
        <w:spacing w:before="0" w:after="0" w:line="276" w:lineRule="auto"/>
        <w:ind w:left="284" w:hanging="284"/>
      </w:pPr>
      <w:r w:rsidRPr="002548DD">
        <w:t xml:space="preserve">Dies de compensació de festius: personal </w:t>
      </w:r>
      <w:r>
        <w:t>d’</w:t>
      </w:r>
      <w:r w:rsidRPr="002548DD">
        <w:t>àrea mixta i</w:t>
      </w:r>
      <w:r>
        <w:t xml:space="preserve"> de servei interior:</w:t>
      </w:r>
      <w:r w:rsidRPr="002548DD">
        <w:t xml:space="preserve"> 15 dies </w:t>
      </w:r>
      <w:r>
        <w:t>l’any 1998 i 16 dies l’any 1999.</w:t>
      </w:r>
      <w:r w:rsidRPr="002548DD">
        <w:t xml:space="preserve"> </w:t>
      </w:r>
      <w:r>
        <w:t>S</w:t>
      </w:r>
      <w:r w:rsidRPr="002548DD">
        <w:t xml:space="preserve">i es treballa més de </w:t>
      </w:r>
      <w:r>
        <w:t>nou</w:t>
      </w:r>
      <w:r w:rsidRPr="00F0584B">
        <w:t xml:space="preserve"> </w:t>
      </w:r>
      <w:r w:rsidRPr="002548DD">
        <w:t>festius intersetmanals</w:t>
      </w:r>
      <w:r>
        <w:t xml:space="preserve">, en el cas de </w:t>
      </w:r>
      <w:r w:rsidRPr="002548DD">
        <w:t>servei interior</w:t>
      </w:r>
      <w:r>
        <w:t>,</w:t>
      </w:r>
      <w:r w:rsidRPr="002548DD">
        <w:t xml:space="preserve"> </w:t>
      </w:r>
      <w:r>
        <w:t>o</w:t>
      </w:r>
      <w:r w:rsidRPr="002548DD">
        <w:t xml:space="preserve"> d’11</w:t>
      </w:r>
      <w:r>
        <w:t>,</w:t>
      </w:r>
      <w:r w:rsidRPr="002548DD">
        <w:t xml:space="preserve"> </w:t>
      </w:r>
      <w:r>
        <w:t>en el cas d’</w:t>
      </w:r>
      <w:r w:rsidRPr="002548DD">
        <w:t>àrea mixta, es compensaran a raó d’1,75 dies de descans per cada dia festiu intersetmanal treballat de més.</w:t>
      </w:r>
    </w:p>
    <w:p w:rsidR="00AD76E0" w:rsidRPr="002548DD" w:rsidRDefault="00AD76E0" w:rsidP="00AD76E0">
      <w:pPr>
        <w:pStyle w:val="Pargrafdellista"/>
        <w:numPr>
          <w:ilvl w:val="0"/>
          <w:numId w:val="74"/>
        </w:numPr>
        <w:spacing w:before="0" w:after="0" w:line="276" w:lineRule="auto"/>
        <w:ind w:left="284" w:hanging="284"/>
      </w:pPr>
      <w:r w:rsidRPr="002548DD">
        <w:t>Assistència a judicis</w:t>
      </w:r>
      <w:r>
        <w:t>.</w:t>
      </w:r>
    </w:p>
    <w:p w:rsidR="00AD76E0" w:rsidRPr="002548DD" w:rsidRDefault="00AD76E0" w:rsidP="00AD76E0">
      <w:pPr>
        <w:pStyle w:val="Pargrafdellista"/>
        <w:numPr>
          <w:ilvl w:val="0"/>
          <w:numId w:val="74"/>
        </w:numPr>
        <w:spacing w:before="0" w:after="0" w:line="276" w:lineRule="auto"/>
        <w:ind w:left="284" w:hanging="284"/>
      </w:pPr>
      <w:r w:rsidRPr="002548DD">
        <w:t>Funcionàries embarassades. Protecció de les funcionàries embarassades que ocupaven llocs de treball de servei interior i àrea mixta.</w:t>
      </w:r>
    </w:p>
    <w:p w:rsidR="00AD76E0" w:rsidRPr="002548DD" w:rsidRDefault="00AD76E0" w:rsidP="00AD76E0">
      <w:pPr>
        <w:pStyle w:val="Pargrafdellista"/>
        <w:numPr>
          <w:ilvl w:val="0"/>
          <w:numId w:val="74"/>
        </w:numPr>
        <w:spacing w:before="0" w:after="0" w:line="276" w:lineRule="auto"/>
        <w:ind w:left="284" w:hanging="284"/>
      </w:pPr>
      <w:r w:rsidRPr="002548DD">
        <w:t>Borsa de treball. Contractació de personal interí que vulgui accedir a llocs de treball dels grups C i D dels centres penitenciaris mitjançant una borsa gestionada pels serveis públics de col·locació.</w:t>
      </w:r>
    </w:p>
    <w:p w:rsidR="00AD76E0" w:rsidRPr="002548DD" w:rsidRDefault="00AD76E0" w:rsidP="00AD76E0">
      <w:pPr>
        <w:pStyle w:val="Pargrafdellista"/>
        <w:numPr>
          <w:ilvl w:val="0"/>
          <w:numId w:val="74"/>
        </w:numPr>
        <w:spacing w:before="0" w:after="0" w:line="276" w:lineRule="auto"/>
        <w:ind w:left="284" w:hanging="284"/>
      </w:pPr>
      <w:r w:rsidRPr="002548DD">
        <w:t>Concursos de trasllats. Compromís de convocatòria de concursos de trasllats</w:t>
      </w:r>
      <w:r>
        <w:t xml:space="preserve"> cada dos</w:t>
      </w:r>
      <w:r w:rsidRPr="002548DD">
        <w:t xml:space="preserve"> anys.</w:t>
      </w:r>
    </w:p>
    <w:p w:rsidR="00AD76E0" w:rsidRPr="002548DD" w:rsidRDefault="00AD76E0" w:rsidP="00AD76E0">
      <w:pPr>
        <w:pStyle w:val="Pargrafdellista"/>
        <w:numPr>
          <w:ilvl w:val="0"/>
          <w:numId w:val="74"/>
        </w:numPr>
        <w:spacing w:before="0" w:after="0" w:line="276" w:lineRule="auto"/>
        <w:ind w:left="284" w:hanging="284"/>
      </w:pPr>
      <w:r w:rsidRPr="002548DD">
        <w:t>Rotació. Compromís de facilitar la rotació anual de fins a un màxim de la tercera part de la plantilla.</w:t>
      </w:r>
    </w:p>
    <w:p w:rsidR="00AD76E0" w:rsidRPr="002548DD" w:rsidRDefault="00AD76E0" w:rsidP="00AD76E0">
      <w:pPr>
        <w:pStyle w:val="Pargrafdellista"/>
        <w:numPr>
          <w:ilvl w:val="0"/>
          <w:numId w:val="74"/>
        </w:numPr>
        <w:spacing w:before="0" w:after="0" w:line="276" w:lineRule="auto"/>
        <w:ind w:left="284" w:hanging="284"/>
      </w:pPr>
      <w:r w:rsidRPr="002548DD">
        <w:t>Assignació de serveis. Possibilitat dels funcionaris genèrics d’àrea mixta i genèrics d’oficina de canviar de servei o oficina.</w:t>
      </w:r>
    </w:p>
    <w:p w:rsidR="00AD76E0" w:rsidRPr="002548DD" w:rsidRDefault="00AD76E0" w:rsidP="00AD76E0">
      <w:pPr>
        <w:pStyle w:val="Pargrafdellista"/>
        <w:numPr>
          <w:ilvl w:val="0"/>
          <w:numId w:val="74"/>
        </w:numPr>
        <w:spacing w:before="0" w:after="0" w:line="276" w:lineRule="auto"/>
        <w:ind w:left="284" w:hanging="284"/>
      </w:pPr>
      <w:r w:rsidRPr="002548DD">
        <w:t>Formació. Dret a 40 hores anuals de formació.</w:t>
      </w:r>
    </w:p>
    <w:p w:rsidR="00AD76E0" w:rsidRPr="002548DD" w:rsidRDefault="00AD76E0" w:rsidP="00AD76E0">
      <w:pPr>
        <w:pStyle w:val="Pargrafdellista"/>
        <w:numPr>
          <w:ilvl w:val="0"/>
          <w:numId w:val="74"/>
        </w:numPr>
        <w:spacing w:before="0" w:after="0" w:line="276" w:lineRule="auto"/>
        <w:ind w:left="284" w:hanging="284"/>
      </w:pPr>
      <w:r w:rsidRPr="002548DD">
        <w:t>Horaris.</w:t>
      </w:r>
    </w:p>
    <w:p w:rsidR="00AD76E0" w:rsidRPr="002548DD" w:rsidRDefault="00AD76E0" w:rsidP="00AD76E0">
      <w:pPr>
        <w:pStyle w:val="Pargrafdellista"/>
        <w:numPr>
          <w:ilvl w:val="0"/>
          <w:numId w:val="76"/>
        </w:numPr>
        <w:spacing w:before="0" w:after="0" w:line="276" w:lineRule="auto"/>
      </w:pPr>
      <w:r w:rsidRPr="002548DD">
        <w:t xml:space="preserve">Genèric </w:t>
      </w:r>
      <w:r>
        <w:t xml:space="preserve">de </w:t>
      </w:r>
      <w:r w:rsidRPr="002548DD">
        <w:t xml:space="preserve">servei interior i auxiliar tècnic </w:t>
      </w:r>
      <w:r>
        <w:t xml:space="preserve">de </w:t>
      </w:r>
      <w:r w:rsidRPr="002548DD">
        <w:t>servei interior.</w:t>
      </w:r>
    </w:p>
    <w:p w:rsidR="00AD76E0" w:rsidRPr="002548DD" w:rsidRDefault="00AD76E0" w:rsidP="00AD76E0">
      <w:pPr>
        <w:pStyle w:val="Pargrafdellista"/>
        <w:numPr>
          <w:ilvl w:val="0"/>
          <w:numId w:val="76"/>
        </w:numPr>
        <w:spacing w:before="0" w:after="0" w:line="276" w:lineRule="auto"/>
      </w:pPr>
      <w:r w:rsidRPr="002548DD">
        <w:t>Genèric d’àrea mixta i auxiliar tècnic d’àrea mixta en horari de caps de setmana.</w:t>
      </w:r>
    </w:p>
    <w:p w:rsidR="00AD76E0" w:rsidRPr="002548DD" w:rsidRDefault="00AD76E0" w:rsidP="00AD76E0">
      <w:pPr>
        <w:pStyle w:val="Pargrafdellista"/>
        <w:numPr>
          <w:ilvl w:val="0"/>
          <w:numId w:val="76"/>
        </w:numPr>
        <w:spacing w:before="0" w:after="0" w:line="276" w:lineRule="auto"/>
      </w:pPr>
      <w:r w:rsidRPr="002548DD">
        <w:t>Genèric d’àrea mixta i auxiliar tècnic d’àrea mixta de dilluns a divendres.</w:t>
      </w:r>
    </w:p>
    <w:p w:rsidR="00AD76E0" w:rsidRPr="002548DD" w:rsidRDefault="00AD76E0" w:rsidP="00AD76E0">
      <w:pPr>
        <w:pStyle w:val="Pargrafdellista"/>
        <w:numPr>
          <w:ilvl w:val="0"/>
          <w:numId w:val="76"/>
        </w:numPr>
        <w:spacing w:before="0" w:after="0" w:line="276" w:lineRule="auto"/>
      </w:pPr>
      <w:r w:rsidRPr="002548DD">
        <w:t>Canvi de torn</w:t>
      </w:r>
      <w:r>
        <w:t>.</w:t>
      </w:r>
    </w:p>
    <w:p w:rsidR="00AD76E0" w:rsidRPr="002548DD" w:rsidRDefault="00AD76E0" w:rsidP="00AD76E0">
      <w:pPr>
        <w:pStyle w:val="Pargrafdellista"/>
        <w:numPr>
          <w:ilvl w:val="0"/>
          <w:numId w:val="76"/>
        </w:numPr>
        <w:spacing w:before="0" w:after="0" w:line="276" w:lineRule="auto"/>
      </w:pPr>
      <w:r w:rsidRPr="002548DD">
        <w:t>Oficines</w:t>
      </w:r>
      <w:r>
        <w:t>.</w:t>
      </w:r>
    </w:p>
    <w:p w:rsidR="00AD76E0" w:rsidRPr="002548DD" w:rsidRDefault="00AD76E0" w:rsidP="00AD76E0">
      <w:pPr>
        <w:pStyle w:val="Pargrafdellista"/>
        <w:numPr>
          <w:ilvl w:val="0"/>
          <w:numId w:val="76"/>
        </w:numPr>
        <w:spacing w:before="0" w:after="0" w:line="276" w:lineRule="auto"/>
      </w:pPr>
      <w:r w:rsidRPr="002548DD">
        <w:t>Educadors</w:t>
      </w:r>
      <w:r>
        <w:t>.</w:t>
      </w:r>
    </w:p>
    <w:p w:rsidR="00AD76E0" w:rsidRPr="002548DD" w:rsidRDefault="00AD76E0" w:rsidP="00AD76E0">
      <w:pPr>
        <w:pStyle w:val="Pargrafdellista"/>
        <w:numPr>
          <w:ilvl w:val="0"/>
          <w:numId w:val="76"/>
        </w:numPr>
        <w:spacing w:before="0" w:after="0" w:line="276" w:lineRule="auto"/>
      </w:pPr>
      <w:r w:rsidRPr="002548DD">
        <w:t>Mestres</w:t>
      </w:r>
      <w:r>
        <w:t>.</w:t>
      </w:r>
    </w:p>
    <w:p w:rsidR="00AD76E0" w:rsidRPr="002548DD" w:rsidRDefault="00AD76E0" w:rsidP="00AD76E0">
      <w:pPr>
        <w:pStyle w:val="Pargrafdellista"/>
        <w:numPr>
          <w:ilvl w:val="0"/>
          <w:numId w:val="76"/>
        </w:numPr>
        <w:spacing w:before="0" w:after="0" w:line="276" w:lineRule="auto"/>
      </w:pPr>
      <w:r w:rsidRPr="002548DD">
        <w:t>Tècnics dels equips d’observació i tractament i assistents socials.</w:t>
      </w:r>
    </w:p>
    <w:p w:rsidR="00AD76E0" w:rsidRPr="002548DD" w:rsidRDefault="00AD76E0" w:rsidP="00AD76E0">
      <w:pPr>
        <w:pStyle w:val="Pargrafdellista"/>
        <w:numPr>
          <w:ilvl w:val="0"/>
          <w:numId w:val="74"/>
        </w:numPr>
        <w:spacing w:before="0" w:after="0" w:line="276" w:lineRule="auto"/>
        <w:ind w:left="284" w:hanging="284"/>
      </w:pPr>
      <w:r w:rsidRPr="002548DD">
        <w:t>Assegurances. Increment de les pòlisses del personal penitenciari fins a equiparar-les a les de</w:t>
      </w:r>
      <w:r>
        <w:t>ls</w:t>
      </w:r>
      <w:r w:rsidRPr="002548DD">
        <w:t xml:space="preserve"> bombers.</w:t>
      </w:r>
    </w:p>
    <w:p w:rsidR="00AD76E0" w:rsidRPr="002548DD" w:rsidRDefault="00AD76E0" w:rsidP="00AD76E0">
      <w:pPr>
        <w:pStyle w:val="Pargrafdellista"/>
        <w:numPr>
          <w:ilvl w:val="0"/>
          <w:numId w:val="74"/>
        </w:numPr>
        <w:spacing w:before="0" w:after="0" w:line="276" w:lineRule="auto"/>
        <w:ind w:left="284" w:hanging="284"/>
      </w:pPr>
      <w:r w:rsidRPr="002548DD">
        <w:t>Instal·lacions. Pla d’actuacions de millora de determinades instal·lacions dels centres penitenciaris.</w:t>
      </w:r>
    </w:p>
    <w:p w:rsidR="00AD76E0" w:rsidRPr="002548DD" w:rsidRDefault="00AD76E0" w:rsidP="00AD76E0">
      <w:pPr>
        <w:pStyle w:val="Pargrafdellista"/>
        <w:numPr>
          <w:ilvl w:val="0"/>
          <w:numId w:val="74"/>
        </w:numPr>
        <w:spacing w:before="0" w:after="0" w:line="276" w:lineRule="auto"/>
        <w:ind w:left="284" w:hanging="284"/>
      </w:pPr>
      <w:r w:rsidRPr="002548DD">
        <w:t>Retribucions</w:t>
      </w:r>
      <w:r>
        <w:t>.</w:t>
      </w:r>
    </w:p>
    <w:p w:rsidR="00AD76E0" w:rsidRPr="002548DD" w:rsidRDefault="00AD76E0" w:rsidP="00AD76E0">
      <w:pPr>
        <w:pStyle w:val="Pargrafdellista"/>
        <w:numPr>
          <w:ilvl w:val="0"/>
          <w:numId w:val="74"/>
        </w:numPr>
        <w:spacing w:before="0" w:after="0" w:line="276" w:lineRule="auto"/>
        <w:ind w:left="284" w:hanging="284"/>
      </w:pPr>
      <w:r w:rsidRPr="002548DD">
        <w:t>Transport. Millora dels transports col·lectius des dels centres penitenciaris de Brians i Quatre Camins fins a les localitats de Martorell i Granollers. Reforç de les mesures de seguretat i preventives.</w:t>
      </w:r>
    </w:p>
    <w:p w:rsidR="00AD76E0" w:rsidRPr="00EE7913" w:rsidRDefault="00AD76E0" w:rsidP="00AD76E0">
      <w:pPr>
        <w:pStyle w:val="Ttol5"/>
      </w:pPr>
      <w:r w:rsidRPr="00EE7913">
        <w:lastRenderedPageBreak/>
        <w:t>Acord de condicions de treball de personal de l’àmbit penitenciari per als anys 2000-2002</w:t>
      </w:r>
    </w:p>
    <w:p w:rsidR="00AD76E0" w:rsidRPr="00EE7913" w:rsidRDefault="00AD76E0" w:rsidP="00AD76E0">
      <w:pPr>
        <w:spacing w:before="0" w:after="0" w:line="276" w:lineRule="auto"/>
      </w:pPr>
    </w:p>
    <w:p w:rsidR="00AD76E0" w:rsidRPr="00EE7913" w:rsidRDefault="00AD76E0" w:rsidP="00AD76E0">
      <w:pPr>
        <w:spacing w:before="0" w:after="0" w:line="276" w:lineRule="auto"/>
      </w:pPr>
      <w:r w:rsidRPr="00EE7913">
        <w:t>L’Acord de condicions de treball de personal de l’àmbit penitenciari per als anys 2000-2002 contenia i desenvolupava els punts següents:</w:t>
      </w:r>
    </w:p>
    <w:p w:rsidR="00AD76E0" w:rsidRPr="00EE7913" w:rsidRDefault="00AD76E0" w:rsidP="00AD76E0">
      <w:pPr>
        <w:spacing w:before="0" w:after="0" w:line="276" w:lineRule="auto"/>
      </w:pPr>
    </w:p>
    <w:p w:rsidR="00AD76E0" w:rsidRPr="002548DD" w:rsidRDefault="00AD76E0" w:rsidP="00AD76E0">
      <w:pPr>
        <w:pStyle w:val="Pargrafdellista"/>
        <w:numPr>
          <w:ilvl w:val="0"/>
          <w:numId w:val="77"/>
        </w:numPr>
        <w:spacing w:before="0" w:after="0" w:line="276" w:lineRule="auto"/>
        <w:ind w:left="284" w:hanging="284"/>
      </w:pPr>
      <w:r>
        <w:t>C</w:t>
      </w:r>
      <w:r w:rsidRPr="002548DD">
        <w:t>riteris per a la cobertura de baixes per malaltia.</w:t>
      </w:r>
    </w:p>
    <w:p w:rsidR="00AD76E0" w:rsidRPr="002548DD" w:rsidRDefault="00AD76E0" w:rsidP="00AD76E0">
      <w:pPr>
        <w:pStyle w:val="Pargrafdellista"/>
        <w:numPr>
          <w:ilvl w:val="0"/>
          <w:numId w:val="77"/>
        </w:numPr>
        <w:spacing w:before="0" w:after="0" w:line="276" w:lineRule="auto"/>
        <w:ind w:left="284" w:hanging="284"/>
      </w:pPr>
      <w:r w:rsidRPr="002548DD">
        <w:t>Increment de les plantilles dels centres penitenciaris. Atesa la posada en funcionament de nous serveis i noves unitats que han comportat noves tasques a desenvolupar pels diferents col·lectius que intervenen en l’àmbit penitenciari, s’acorda un increment progressiu de les plantilles dels centres penitenciaris en 165 llocs: 80 llocs l’any 2000</w:t>
      </w:r>
      <w:r>
        <w:t>,</w:t>
      </w:r>
      <w:r w:rsidRPr="002548DD">
        <w:t xml:space="preserve"> 55 llocs l’any 2001 i 30 llocs de tècnic mitjà de servei interior l’any 2002.</w:t>
      </w:r>
    </w:p>
    <w:p w:rsidR="00AD76E0" w:rsidRPr="002548DD" w:rsidRDefault="00AD76E0" w:rsidP="00AD76E0">
      <w:pPr>
        <w:pStyle w:val="Pargrafdellista"/>
        <w:numPr>
          <w:ilvl w:val="0"/>
          <w:numId w:val="77"/>
        </w:numPr>
        <w:spacing w:before="0" w:after="0" w:line="276" w:lineRule="auto"/>
        <w:ind w:left="284" w:hanging="284"/>
      </w:pPr>
      <w:r w:rsidRPr="002548DD">
        <w:t>Segona activitat dels cossos penitenciaris. Compromís de regulació de la situació de segona activitat del personal dels cossos penitenciaris.</w:t>
      </w:r>
    </w:p>
    <w:p w:rsidR="00AD76E0" w:rsidRPr="002548DD" w:rsidRDefault="00AD76E0" w:rsidP="00AD76E0">
      <w:pPr>
        <w:pStyle w:val="Pargrafdellista"/>
        <w:numPr>
          <w:ilvl w:val="0"/>
          <w:numId w:val="77"/>
        </w:numPr>
        <w:spacing w:before="0" w:after="0" w:line="276" w:lineRule="auto"/>
        <w:ind w:left="284" w:hanging="284"/>
      </w:pPr>
      <w:r w:rsidRPr="002548DD">
        <w:t xml:space="preserve">Mobilitat interdepartamental. Proposta </w:t>
      </w:r>
      <w:r>
        <w:t>de reserva</w:t>
      </w:r>
      <w:r w:rsidRPr="002548DD">
        <w:t xml:space="preserve"> </w:t>
      </w:r>
      <w:r>
        <w:t>d’</w:t>
      </w:r>
      <w:r w:rsidRPr="002548DD">
        <w:t>un mínim del 3</w:t>
      </w:r>
      <w:r>
        <w:t xml:space="preserve"> </w:t>
      </w:r>
      <w:r w:rsidRPr="002548DD">
        <w:t>% de les places dels concursos generals de mèrits i capacitats dels cossos d’administració general auxiliar administratiu, administratiu i de gestió</w:t>
      </w:r>
      <w:r>
        <w:t>,</w:t>
      </w:r>
      <w:r w:rsidRPr="002548DD">
        <w:t xml:space="preserve"> perqu</w:t>
      </w:r>
      <w:r>
        <w:t>è</w:t>
      </w:r>
      <w:r w:rsidRPr="002548DD">
        <w:t xml:space="preserve"> puguin ser cobertes per funcionaris dels cossos auxiliar tècnic, tècnic d’especialistes i de diplomatura, del grup de serveis penitenciaris.</w:t>
      </w:r>
    </w:p>
    <w:p w:rsidR="00AD76E0" w:rsidRPr="002548DD" w:rsidRDefault="00AD76E0" w:rsidP="00AD76E0">
      <w:pPr>
        <w:pStyle w:val="Pargrafdellista"/>
        <w:numPr>
          <w:ilvl w:val="0"/>
          <w:numId w:val="77"/>
        </w:numPr>
        <w:spacing w:before="0" w:after="0" w:line="276" w:lineRule="auto"/>
        <w:ind w:left="360"/>
      </w:pPr>
      <w:r w:rsidRPr="002548DD">
        <w:t>Mobilitat interadministrativa. Mobilitat entre les diferents administracions penitenciàries. En desplegament d’aquest punt</w:t>
      </w:r>
      <w:r>
        <w:t>,</w:t>
      </w:r>
      <w:r w:rsidRPr="002548DD">
        <w:t xml:space="preserve"> l’any 2002 es va signar el Conveni entre el Ministeri de l’Interior i el Departament de Justícia de la Generalitat de Catalunya sobre mobilitat interadministrativa dels funcionaris d’institucions penitenciàries.</w:t>
      </w:r>
    </w:p>
    <w:p w:rsidR="00AD76E0" w:rsidRPr="002548DD" w:rsidRDefault="00AD76E0" w:rsidP="00AD76E0">
      <w:pPr>
        <w:pStyle w:val="Pargrafdellista"/>
        <w:numPr>
          <w:ilvl w:val="0"/>
          <w:numId w:val="77"/>
        </w:numPr>
        <w:spacing w:before="0" w:after="0" w:line="276" w:lineRule="auto"/>
        <w:ind w:left="360"/>
      </w:pPr>
      <w:r w:rsidRPr="002548DD">
        <w:t>Promoció del grup D al grup C. Realització de cursos selectius per als funcionaris del cos auxiliar tècnic, grup de serveis penitenciaris, que no tinguin la titulació per a accedir al cos tècnic d’especialistes, grup de serveis penitenciaris.</w:t>
      </w:r>
    </w:p>
    <w:p w:rsidR="00AD76E0" w:rsidRPr="002548DD" w:rsidRDefault="00AD76E0" w:rsidP="00AD76E0">
      <w:pPr>
        <w:pStyle w:val="Pargrafdellista"/>
        <w:numPr>
          <w:ilvl w:val="0"/>
          <w:numId w:val="77"/>
        </w:numPr>
        <w:spacing w:before="0" w:after="0" w:line="276" w:lineRule="auto"/>
        <w:ind w:left="360"/>
      </w:pPr>
      <w:r w:rsidRPr="002548DD">
        <w:t>Creació de llocs de treball del grup B. Creació del lloc de tècnic mitjà de servei d’interior, del cos de diplomatura, grup de serveis penitenciaris, determinació de l’horari i de les retribucions. Corresponen a aquest</w:t>
      </w:r>
      <w:r>
        <w:t>s</w:t>
      </w:r>
      <w:r w:rsidRPr="002548DD">
        <w:t xml:space="preserve"> llocs les funcions de col·laboració en les tasq</w:t>
      </w:r>
      <w:r>
        <w:t xml:space="preserve">ues administratives de gestió, </w:t>
      </w:r>
      <w:r w:rsidRPr="002548DD">
        <w:t xml:space="preserve">inspecció, execució, control o </w:t>
      </w:r>
      <w:r>
        <w:t xml:space="preserve">altres de </w:t>
      </w:r>
      <w:r w:rsidRPr="002548DD">
        <w:t>similars</w:t>
      </w:r>
      <w:r>
        <w:t>,</w:t>
      </w:r>
      <w:r w:rsidRPr="002548DD">
        <w:t xml:space="preserve"> i també les tasqu</w:t>
      </w:r>
      <w:r>
        <w:t xml:space="preserve">es d’aplicació de normativa, </w:t>
      </w:r>
      <w:r w:rsidRPr="002548DD">
        <w:t>proposta,</w:t>
      </w:r>
      <w:r>
        <w:t xml:space="preserve"> resolució d’expedients, </w:t>
      </w:r>
      <w:r w:rsidRPr="002548DD">
        <w:t>estudi i elaboració d’informes que no corresponguin a les tasques de nivell superior. Per al desenvolupament efectiu d’aquestes funcions, el lloc de treball ha d</w:t>
      </w:r>
      <w:r>
        <w:t>’estar</w:t>
      </w:r>
      <w:r w:rsidRPr="002548DD">
        <w:t xml:space="preserve"> dins de les unitats de classificació, en una ubicació interior fixa i amb el suport informàtic necessari.</w:t>
      </w:r>
    </w:p>
    <w:p w:rsidR="00AD76E0" w:rsidRPr="002548DD" w:rsidRDefault="00AD76E0" w:rsidP="00AD76E0">
      <w:pPr>
        <w:pStyle w:val="Pargrafdellista"/>
        <w:numPr>
          <w:ilvl w:val="0"/>
          <w:numId w:val="77"/>
        </w:numPr>
        <w:spacing w:before="0" w:after="0" w:line="276" w:lineRule="auto"/>
        <w:ind w:left="360"/>
      </w:pPr>
      <w:r w:rsidRPr="002548DD">
        <w:t>Provisió de llocs. En la provisió de llocs de comandament intermedis</w:t>
      </w:r>
      <w:r>
        <w:t>,</w:t>
      </w:r>
      <w:r w:rsidRPr="002548DD">
        <w:t xml:space="preserve"> els criteris de valoració </w:t>
      </w:r>
      <w:r>
        <w:t>s’ajustaran a</w:t>
      </w:r>
      <w:r w:rsidRPr="00026740">
        <w:t xml:space="preserve"> la valoració</w:t>
      </w:r>
      <w:r w:rsidRPr="002548DD">
        <w:t xml:space="preserve"> dels mèrits que s’estableixi en</w:t>
      </w:r>
      <w:r>
        <w:t xml:space="preserve"> la</w:t>
      </w:r>
      <w:r w:rsidRPr="002548DD">
        <w:t xml:space="preserve"> primera fase del darrer concurs de provisió de càrrecs de comandament; la resta de llocs de treball susceptibles de ser coberts s’oferiran prèviament al personal dels centres penitenciaris.</w:t>
      </w:r>
    </w:p>
    <w:p w:rsidR="00AD76E0" w:rsidRPr="002548DD" w:rsidRDefault="00AD76E0" w:rsidP="00AD76E0">
      <w:pPr>
        <w:pStyle w:val="Pargrafdellista"/>
        <w:numPr>
          <w:ilvl w:val="0"/>
          <w:numId w:val="77"/>
        </w:numPr>
        <w:spacing w:before="0" w:after="0" w:line="276" w:lineRule="auto"/>
        <w:ind w:left="360"/>
      </w:pPr>
      <w:r w:rsidRPr="002548DD">
        <w:t>Retribucions.</w:t>
      </w:r>
    </w:p>
    <w:p w:rsidR="00AD76E0" w:rsidRPr="002548DD" w:rsidRDefault="00AD76E0" w:rsidP="00AD76E0">
      <w:pPr>
        <w:pStyle w:val="Pargrafdellista"/>
        <w:numPr>
          <w:ilvl w:val="0"/>
          <w:numId w:val="77"/>
        </w:numPr>
        <w:spacing w:before="0" w:after="0" w:line="276" w:lineRule="auto"/>
        <w:ind w:left="360"/>
      </w:pPr>
      <w:r w:rsidRPr="002548DD">
        <w:t>Adequació de l’estructura de comandaments. Increment</w:t>
      </w:r>
      <w:r>
        <w:t>ar</w:t>
      </w:r>
      <w:r w:rsidRPr="002548DD">
        <w:t xml:space="preserve"> la dotació de ca</w:t>
      </w:r>
      <w:r>
        <w:t>ps de serveis a tots el centres;</w:t>
      </w:r>
      <w:r w:rsidRPr="002548DD">
        <w:t xml:space="preserve"> modifica</w:t>
      </w:r>
      <w:r>
        <w:t>r</w:t>
      </w:r>
      <w:r w:rsidRPr="002548DD">
        <w:t xml:space="preserve"> els horaris </w:t>
      </w:r>
      <w:r>
        <w:t>a fi de</w:t>
      </w:r>
      <w:r w:rsidRPr="002548DD">
        <w:t xml:space="preserve"> garantir la seva presència al centre en els torns de mati, tarda i nit; increment</w:t>
      </w:r>
      <w:r>
        <w:t>ar</w:t>
      </w:r>
      <w:r w:rsidRPr="002548DD">
        <w:t xml:space="preserve"> la dotació de caps d’unitat de servei interior i redefinir-ne les funcions; definir un nou lloc de treball de cap de departament, adscrit a les unitats funcionals o a unitat</w:t>
      </w:r>
      <w:r>
        <w:t>s</w:t>
      </w:r>
      <w:r w:rsidRPr="002548DD">
        <w:t xml:space="preserve"> de classificació complexes; amortització del lloc de cap de centre.</w:t>
      </w:r>
    </w:p>
    <w:p w:rsidR="00AD76E0" w:rsidRPr="002548DD" w:rsidRDefault="00AD76E0" w:rsidP="00AD76E0">
      <w:pPr>
        <w:pStyle w:val="Pargrafdellista"/>
        <w:numPr>
          <w:ilvl w:val="0"/>
          <w:numId w:val="77"/>
        </w:numPr>
        <w:spacing w:before="0" w:after="0" w:line="276" w:lineRule="auto"/>
        <w:ind w:left="360"/>
      </w:pPr>
      <w:r w:rsidRPr="002548DD">
        <w:t xml:space="preserve">Col·lectius específics: </w:t>
      </w:r>
    </w:p>
    <w:p w:rsidR="00AD76E0" w:rsidRPr="002548DD" w:rsidRDefault="00AD76E0" w:rsidP="00AD76E0">
      <w:pPr>
        <w:pStyle w:val="Pargrafdellista"/>
        <w:numPr>
          <w:ilvl w:val="0"/>
          <w:numId w:val="78"/>
        </w:numPr>
        <w:spacing w:before="0" w:after="0" w:line="276" w:lineRule="auto"/>
      </w:pPr>
      <w:r w:rsidRPr="002548DD">
        <w:t>Mestres: negociació de les condicions laborals i retributives.</w:t>
      </w:r>
    </w:p>
    <w:p w:rsidR="00AD76E0" w:rsidRPr="002548DD" w:rsidRDefault="00AD76E0" w:rsidP="00AD76E0">
      <w:pPr>
        <w:pStyle w:val="Pargrafdellista"/>
        <w:numPr>
          <w:ilvl w:val="0"/>
          <w:numId w:val="78"/>
        </w:numPr>
        <w:spacing w:before="0" w:after="0" w:line="276" w:lineRule="auto"/>
      </w:pPr>
      <w:r w:rsidRPr="002548DD">
        <w:lastRenderedPageBreak/>
        <w:t>Educadors: increment de dotacions i canvi d’horari.</w:t>
      </w:r>
    </w:p>
    <w:p w:rsidR="00AD76E0" w:rsidRPr="002548DD" w:rsidRDefault="00AD76E0" w:rsidP="00AD76E0">
      <w:pPr>
        <w:pStyle w:val="Pargrafdellista"/>
        <w:numPr>
          <w:ilvl w:val="0"/>
          <w:numId w:val="78"/>
        </w:numPr>
        <w:spacing w:before="0" w:after="0" w:line="276" w:lineRule="auto"/>
      </w:pPr>
      <w:r w:rsidRPr="002548DD">
        <w:t>Criminòlegs: inclusió en l’oferta d’ocupació pública d’una oferta parcial de places de l’escala superior del cos superior d’administració de la Generalitat de Catalunya.</w:t>
      </w:r>
    </w:p>
    <w:p w:rsidR="00AD76E0" w:rsidRPr="002548DD" w:rsidRDefault="00AD76E0" w:rsidP="00AD76E0">
      <w:pPr>
        <w:pStyle w:val="Pargrafdellista"/>
        <w:numPr>
          <w:ilvl w:val="0"/>
          <w:numId w:val="78"/>
        </w:numPr>
        <w:spacing w:before="0" w:after="0" w:line="276" w:lineRule="auto"/>
      </w:pPr>
      <w:r w:rsidRPr="002548DD">
        <w:t>Personal funcionari dels serveis sanitaris dels centres penitenciaris: negociació de les condicions de treball; possibilitat de mobilitat dins de l’àmbit sanitari dels centres penitenciaris.</w:t>
      </w:r>
    </w:p>
    <w:p w:rsidR="00AD76E0" w:rsidRPr="00EE7913" w:rsidRDefault="00AD76E0" w:rsidP="00AD76E0">
      <w:pPr>
        <w:spacing w:before="0" w:after="0" w:line="276" w:lineRule="auto"/>
        <w:rPr>
          <w:color w:val="000000" w:themeColor="text1"/>
        </w:rPr>
      </w:pPr>
    </w:p>
    <w:p w:rsidR="00AD76E0" w:rsidRPr="00EE7913" w:rsidRDefault="00AD76E0" w:rsidP="00AD76E0">
      <w:pPr>
        <w:pStyle w:val="Ttol5"/>
      </w:pPr>
      <w:r w:rsidRPr="00EE7913">
        <w:t>Acord de condicions de treball de personal de l’àmbit penitenciari per als anys 2003-2005</w:t>
      </w:r>
    </w:p>
    <w:p w:rsidR="00AD76E0" w:rsidRPr="00EE7913" w:rsidRDefault="00AD76E0" w:rsidP="00AD76E0">
      <w:pPr>
        <w:spacing w:before="0" w:after="0" w:line="276" w:lineRule="auto"/>
        <w:rPr>
          <w:color w:val="000000" w:themeColor="text1"/>
        </w:rPr>
      </w:pPr>
    </w:p>
    <w:p w:rsidR="00AD76E0" w:rsidRPr="00EE7913" w:rsidRDefault="00AD76E0" w:rsidP="00AD76E0">
      <w:pPr>
        <w:spacing w:before="0" w:after="0" w:line="276" w:lineRule="auto"/>
      </w:pPr>
      <w:r w:rsidRPr="00EE7913">
        <w:t>L’Acord de condicions de treball de personal de l’àmbit penitenciari per als anys 2003-2005 contenia i desenvolupava els punts següents:</w:t>
      </w:r>
    </w:p>
    <w:p w:rsidR="00AD76E0" w:rsidRPr="00EE7913" w:rsidRDefault="00AD76E0" w:rsidP="00AD76E0">
      <w:pPr>
        <w:spacing w:before="0" w:after="0" w:line="276" w:lineRule="auto"/>
        <w:rPr>
          <w:color w:val="000000" w:themeColor="text1"/>
        </w:rPr>
      </w:pPr>
    </w:p>
    <w:p w:rsidR="00AD76E0" w:rsidRPr="002548DD" w:rsidRDefault="00AD76E0" w:rsidP="00AD76E0">
      <w:pPr>
        <w:pStyle w:val="Pargrafdellista"/>
        <w:numPr>
          <w:ilvl w:val="0"/>
          <w:numId w:val="77"/>
        </w:numPr>
        <w:spacing w:before="0" w:after="0" w:line="276" w:lineRule="auto"/>
        <w:ind w:left="360"/>
      </w:pPr>
      <w:r w:rsidRPr="002548DD">
        <w:t>Increment i redistribució de plantilles</w:t>
      </w:r>
      <w:r>
        <w:t>:</w:t>
      </w:r>
    </w:p>
    <w:p w:rsidR="00AD76E0" w:rsidRPr="002548DD" w:rsidRDefault="00AD76E0" w:rsidP="00AD76E0">
      <w:pPr>
        <w:pStyle w:val="Pargrafdellista"/>
        <w:numPr>
          <w:ilvl w:val="0"/>
          <w:numId w:val="79"/>
        </w:numPr>
        <w:spacing w:before="0" w:after="0" w:line="276" w:lineRule="auto"/>
      </w:pPr>
      <w:r w:rsidRPr="002548DD">
        <w:t>Increment de dotacions. Per a millorar els sistemes de seguretat interna dels centres penitenciaris i els programes de classificació interior, avaluació i tractament d’intens, s’acorda un increment total de 307 lloc</w:t>
      </w:r>
      <w:r>
        <w:t>s:</w:t>
      </w:r>
      <w:r w:rsidRPr="002548DD">
        <w:t xml:space="preserve"> 207 per als equipaments actuals i 100 per als equipaments nous.</w:t>
      </w:r>
    </w:p>
    <w:p w:rsidR="00AD76E0" w:rsidRPr="002548DD" w:rsidRDefault="00AD76E0" w:rsidP="00AD76E0">
      <w:pPr>
        <w:pStyle w:val="Pargrafdellista"/>
        <w:numPr>
          <w:ilvl w:val="0"/>
          <w:numId w:val="79"/>
        </w:numPr>
        <w:spacing w:before="0" w:after="0" w:line="276" w:lineRule="auto"/>
      </w:pPr>
      <w:r w:rsidRPr="002548DD">
        <w:t>Creació de llocs de treball de genèric de medi obert. L’increment progressiu de la població interna en règim obert i semiobert, juntament amb la necessitat d’ajustar els llocs de treball als requeriments específics dels règims indicats fan necessari introduir un nou lloc de treball. Les tasques d’aquest lloc seran les pròpies del cos dins del centre, més el control exterior dels interns del centre obert i la participació en els programes de reinserció dels interns.</w:t>
      </w:r>
    </w:p>
    <w:p w:rsidR="00AD76E0" w:rsidRPr="002548DD" w:rsidRDefault="00AD76E0" w:rsidP="00AD76E0">
      <w:pPr>
        <w:pStyle w:val="Pargrafdellista"/>
        <w:numPr>
          <w:ilvl w:val="0"/>
          <w:numId w:val="77"/>
        </w:numPr>
        <w:spacing w:before="0" w:after="0" w:line="276" w:lineRule="auto"/>
        <w:ind w:left="360"/>
      </w:pPr>
      <w:r w:rsidRPr="002548DD">
        <w:t>Retribucions</w:t>
      </w:r>
      <w:r>
        <w:t>.</w:t>
      </w:r>
    </w:p>
    <w:p w:rsidR="00AD76E0" w:rsidRPr="002548DD" w:rsidRDefault="00AD76E0" w:rsidP="00AD76E0">
      <w:pPr>
        <w:pStyle w:val="Pargrafdellista"/>
        <w:numPr>
          <w:ilvl w:val="0"/>
          <w:numId w:val="77"/>
        </w:numPr>
        <w:spacing w:before="0" w:after="0" w:line="276" w:lineRule="auto"/>
        <w:ind w:left="360"/>
      </w:pPr>
      <w:r w:rsidRPr="002548DD">
        <w:t>Modificació del lloc de treball de genèric d’àrea mixta. Es desglossa el lloc de treball de genèric d’àrea mixta en els llocs genèric d’àrea mixta vigilància i genèric d’àrea mixta prestacions. S’acorda dimensionar en un 10</w:t>
      </w:r>
      <w:r>
        <w:t xml:space="preserve"> </w:t>
      </w:r>
      <w:r w:rsidRPr="002548DD">
        <w:t>% la dotació del lloc de treball de genèric d’àrea mixta prestacions.</w:t>
      </w:r>
    </w:p>
    <w:p w:rsidR="00AD76E0" w:rsidRPr="002548DD" w:rsidRDefault="00AD76E0" w:rsidP="00AD76E0">
      <w:pPr>
        <w:pStyle w:val="Pargrafdellista"/>
        <w:numPr>
          <w:ilvl w:val="0"/>
          <w:numId w:val="77"/>
        </w:numPr>
        <w:spacing w:before="0" w:after="0" w:line="276" w:lineRule="auto"/>
        <w:ind w:left="360"/>
      </w:pPr>
      <w:r w:rsidRPr="002548DD">
        <w:t>Horaris</w:t>
      </w:r>
      <w:r>
        <w:t>:</w:t>
      </w:r>
    </w:p>
    <w:p w:rsidR="00AD76E0" w:rsidRPr="002548DD" w:rsidRDefault="00AD76E0" w:rsidP="00AD76E0">
      <w:pPr>
        <w:pStyle w:val="Pargrafdellista"/>
        <w:numPr>
          <w:ilvl w:val="0"/>
          <w:numId w:val="80"/>
        </w:numPr>
        <w:spacing w:before="0" w:after="0" w:line="276" w:lineRule="auto"/>
      </w:pPr>
      <w:r w:rsidRPr="002548DD">
        <w:t>Personal d’oficina dels centres penitenciaris.</w:t>
      </w:r>
    </w:p>
    <w:p w:rsidR="00AD76E0" w:rsidRPr="002548DD" w:rsidRDefault="00AD76E0" w:rsidP="00AD76E0">
      <w:pPr>
        <w:pStyle w:val="Pargrafdellista"/>
        <w:numPr>
          <w:ilvl w:val="0"/>
          <w:numId w:val="80"/>
        </w:numPr>
        <w:spacing w:before="0" w:after="0" w:line="276" w:lineRule="auto"/>
      </w:pPr>
      <w:r w:rsidRPr="002548DD">
        <w:t>Personal d’interior</w:t>
      </w:r>
      <w:r>
        <w:t>.</w:t>
      </w:r>
    </w:p>
    <w:p w:rsidR="00AD76E0" w:rsidRPr="002548DD" w:rsidRDefault="00AD76E0" w:rsidP="00AD76E0">
      <w:pPr>
        <w:pStyle w:val="Pargrafdellista"/>
        <w:numPr>
          <w:ilvl w:val="0"/>
          <w:numId w:val="80"/>
        </w:numPr>
        <w:spacing w:before="0" w:after="0" w:line="276" w:lineRule="auto"/>
      </w:pPr>
      <w:r>
        <w:t>Gaudiment de tardes festives per part del</w:t>
      </w:r>
      <w:r w:rsidRPr="002548DD">
        <w:t xml:space="preserve"> personal que no gaudeixi de dies de compensació de festius.</w:t>
      </w:r>
    </w:p>
    <w:p w:rsidR="00AD76E0" w:rsidRPr="002548DD" w:rsidRDefault="00AD76E0" w:rsidP="00AD76E0">
      <w:pPr>
        <w:pStyle w:val="Pargrafdellista"/>
        <w:numPr>
          <w:ilvl w:val="0"/>
          <w:numId w:val="80"/>
        </w:numPr>
        <w:spacing w:before="0" w:after="0" w:line="276" w:lineRule="auto"/>
      </w:pPr>
      <w:r w:rsidRPr="002548DD">
        <w:t>Comandaments intermedis de rehabilitació.</w:t>
      </w:r>
    </w:p>
    <w:p w:rsidR="00AD76E0" w:rsidRPr="002548DD" w:rsidRDefault="00AD76E0" w:rsidP="00AD76E0">
      <w:pPr>
        <w:pStyle w:val="Pargrafdellista"/>
        <w:numPr>
          <w:ilvl w:val="0"/>
          <w:numId w:val="80"/>
        </w:numPr>
        <w:spacing w:before="0" w:after="0" w:line="276" w:lineRule="auto"/>
      </w:pPr>
      <w:r w:rsidRPr="002548DD">
        <w:t>Personal de rehabilitació (tècnics i treballadors socials).</w:t>
      </w:r>
    </w:p>
    <w:p w:rsidR="00AD76E0" w:rsidRPr="002548DD" w:rsidRDefault="00AD76E0" w:rsidP="00AD76E0">
      <w:pPr>
        <w:pStyle w:val="Pargrafdellista"/>
        <w:numPr>
          <w:ilvl w:val="0"/>
          <w:numId w:val="80"/>
        </w:numPr>
        <w:spacing w:before="0" w:after="0" w:line="276" w:lineRule="auto"/>
      </w:pPr>
      <w:r w:rsidRPr="002548DD">
        <w:t>Educadors</w:t>
      </w:r>
      <w:r>
        <w:t>.</w:t>
      </w:r>
    </w:p>
    <w:p w:rsidR="00AD76E0" w:rsidRPr="002548DD" w:rsidRDefault="00AD76E0" w:rsidP="00AD76E0">
      <w:pPr>
        <w:pStyle w:val="Pargrafdellista"/>
        <w:numPr>
          <w:ilvl w:val="0"/>
          <w:numId w:val="80"/>
        </w:numPr>
        <w:spacing w:before="0" w:after="0" w:line="276" w:lineRule="auto"/>
      </w:pPr>
      <w:r w:rsidRPr="002548DD">
        <w:t>Vacances</w:t>
      </w:r>
      <w:r>
        <w:t>.</w:t>
      </w:r>
    </w:p>
    <w:p w:rsidR="00AD76E0" w:rsidRPr="002548DD" w:rsidRDefault="00AD76E0" w:rsidP="00AD76E0">
      <w:pPr>
        <w:pStyle w:val="Pargrafdellista"/>
        <w:numPr>
          <w:ilvl w:val="0"/>
          <w:numId w:val="80"/>
        </w:numPr>
        <w:spacing w:before="0" w:after="0" w:line="276" w:lineRule="auto"/>
      </w:pPr>
      <w:r w:rsidRPr="002548DD">
        <w:t>Conciliació de la vida familiar. El Departament de Justícia havia d’estudiar les possibilitats d’adaptació de les mesures que preveu la Llei de conciliació de la vida familiar i laboral a les característiques i el servei que presta el personal funcionari dels centres penitenciaris.</w:t>
      </w:r>
    </w:p>
    <w:p w:rsidR="00AD76E0" w:rsidRPr="002548DD" w:rsidRDefault="00AD76E0" w:rsidP="00AD76E0">
      <w:pPr>
        <w:pStyle w:val="Pargrafdellista"/>
        <w:numPr>
          <w:ilvl w:val="0"/>
          <w:numId w:val="77"/>
        </w:numPr>
        <w:spacing w:before="0" w:after="0" w:line="276" w:lineRule="auto"/>
        <w:ind w:left="360"/>
      </w:pPr>
      <w:r w:rsidRPr="002548DD">
        <w:t xml:space="preserve">Criteris d’aplicació de les mesures de racionalització que es derivin del </w:t>
      </w:r>
      <w:r>
        <w:t>P</w:t>
      </w:r>
      <w:r w:rsidRPr="002548DD">
        <w:t>la d’amortització de centres penitenciaris a Barcelona i de creació de nous centres com a conseqüència del tancament dels anteriors.</w:t>
      </w:r>
    </w:p>
    <w:p w:rsidR="00AD76E0" w:rsidRPr="002548DD" w:rsidRDefault="00AD76E0" w:rsidP="00AD76E0">
      <w:pPr>
        <w:pStyle w:val="Pargrafdellista"/>
        <w:numPr>
          <w:ilvl w:val="0"/>
          <w:numId w:val="77"/>
        </w:numPr>
        <w:spacing w:before="0" w:after="0" w:line="276" w:lineRule="auto"/>
        <w:ind w:left="360"/>
      </w:pPr>
      <w:r w:rsidRPr="002548DD">
        <w:t>Selecció del personal de vigilància dels centres penitenciaris.</w:t>
      </w:r>
    </w:p>
    <w:p w:rsidR="00AD76E0" w:rsidRPr="002548DD" w:rsidRDefault="00AD76E0" w:rsidP="00AD76E0">
      <w:pPr>
        <w:pStyle w:val="Pargrafdellista"/>
        <w:numPr>
          <w:ilvl w:val="0"/>
          <w:numId w:val="77"/>
        </w:numPr>
        <w:spacing w:before="0" w:after="0" w:line="276" w:lineRule="auto"/>
        <w:ind w:left="360"/>
      </w:pPr>
      <w:r w:rsidRPr="002548DD">
        <w:lastRenderedPageBreak/>
        <w:t xml:space="preserve">Borsa de treball. Les necessitats urgents de personal es cobriran mitjançant la borsa de treball que es configurarà </w:t>
      </w:r>
      <w:r>
        <w:t>sobre la base</w:t>
      </w:r>
      <w:r w:rsidRPr="002548DD">
        <w:t xml:space="preserve"> </w:t>
      </w:r>
      <w:r>
        <w:t>d’</w:t>
      </w:r>
      <w:r w:rsidRPr="002548DD">
        <w:t>una convocatòria pública de places d’interinatge. Aquest procés de selecció es completarà amb un curs selectiu.</w:t>
      </w:r>
    </w:p>
    <w:p w:rsidR="00AD76E0" w:rsidRPr="002548DD" w:rsidRDefault="00AD76E0" w:rsidP="00AD76E0">
      <w:pPr>
        <w:pStyle w:val="Pargrafdellista"/>
        <w:numPr>
          <w:ilvl w:val="0"/>
          <w:numId w:val="77"/>
        </w:numPr>
        <w:spacing w:before="0" w:after="0" w:line="276" w:lineRule="auto"/>
        <w:ind w:left="360"/>
      </w:pPr>
      <w:r w:rsidRPr="002548DD">
        <w:t>Millores socials. Programa de suport psicològic, de caràcter preventiu i assistencial</w:t>
      </w:r>
      <w:r>
        <w:t>,</w:t>
      </w:r>
      <w:r w:rsidRPr="002548DD">
        <w:t xml:space="preserve"> que es configura com un servei personalitzat per a atendre les necessitats de suport i assessorament psicològic que pugui tenir el personal en el sup</w:t>
      </w:r>
      <w:r w:rsidRPr="002548DD">
        <w:rPr>
          <w:rFonts w:cs="Arial"/>
        </w:rPr>
        <w:t>ò</w:t>
      </w:r>
      <w:r w:rsidRPr="002548DD">
        <w:t>sit de seqüeles psicològiques derivades d’un accident de treball i altres incidents vinculats a la seva professió.</w:t>
      </w:r>
    </w:p>
    <w:p w:rsidR="00AD76E0" w:rsidRPr="002548DD" w:rsidRDefault="00AD76E0" w:rsidP="00AD76E0">
      <w:pPr>
        <w:pStyle w:val="Pargrafdellista"/>
        <w:numPr>
          <w:ilvl w:val="0"/>
          <w:numId w:val="77"/>
        </w:numPr>
        <w:spacing w:before="0" w:after="0" w:line="276" w:lineRule="auto"/>
        <w:ind w:left="360"/>
      </w:pPr>
      <w:r w:rsidRPr="002548DD">
        <w:t>Condicions de treball. Realització</w:t>
      </w:r>
      <w:r>
        <w:t>,</w:t>
      </w:r>
      <w:r w:rsidRPr="002548DD">
        <w:t xml:space="preserve"> per part de l’àrea de vigilància de la salut</w:t>
      </w:r>
      <w:r>
        <w:t>,</w:t>
      </w:r>
      <w:r w:rsidRPr="002548DD">
        <w:t xml:space="preserve"> d’un estudi i anàlisi de caràcter epidemiològic per</w:t>
      </w:r>
      <w:r>
        <w:t xml:space="preserve"> a</w:t>
      </w:r>
      <w:r w:rsidRPr="002548DD">
        <w:t xml:space="preserve"> valorar l’impacte dels riscos específics avaluats sobre la salut dels treballadors.</w:t>
      </w:r>
    </w:p>
    <w:p w:rsidR="00AD76E0" w:rsidRPr="002548DD" w:rsidRDefault="00AD76E0" w:rsidP="00AD76E0">
      <w:pPr>
        <w:pStyle w:val="Pargrafdellista"/>
        <w:numPr>
          <w:ilvl w:val="0"/>
          <w:numId w:val="77"/>
        </w:numPr>
        <w:spacing w:before="0" w:after="0" w:line="276" w:lineRule="auto"/>
        <w:ind w:left="360"/>
      </w:pPr>
      <w:r w:rsidRPr="002548DD">
        <w:t>Cafeteries dels funcionaris.</w:t>
      </w:r>
    </w:p>
    <w:p w:rsidR="00AD76E0" w:rsidRPr="002548DD" w:rsidRDefault="00AD76E0" w:rsidP="00AD76E0">
      <w:pPr>
        <w:pStyle w:val="Pargrafdellista"/>
        <w:numPr>
          <w:ilvl w:val="0"/>
          <w:numId w:val="77"/>
        </w:numPr>
        <w:spacing w:before="0" w:after="0" w:line="276" w:lineRule="auto"/>
        <w:ind w:left="360"/>
      </w:pPr>
      <w:r w:rsidRPr="002548DD">
        <w:t>Condicions de transport dels funcionaris als centres penitenciaris.</w:t>
      </w:r>
    </w:p>
    <w:p w:rsidR="00AD76E0" w:rsidRPr="002548DD" w:rsidRDefault="00AD76E0" w:rsidP="00AD76E0">
      <w:pPr>
        <w:pStyle w:val="Pargrafdellista"/>
        <w:numPr>
          <w:ilvl w:val="0"/>
          <w:numId w:val="77"/>
        </w:numPr>
        <w:spacing w:before="0" w:after="0" w:line="276" w:lineRule="auto"/>
        <w:ind w:left="360"/>
      </w:pPr>
      <w:r>
        <w:t>Tècnics de prevenció. Es dotaran</w:t>
      </w:r>
      <w:r w:rsidRPr="002548DD">
        <w:t xml:space="preserve"> d’un tècnic de prevenció i salut laboral </w:t>
      </w:r>
      <w:r>
        <w:t>e</w:t>
      </w:r>
      <w:r w:rsidRPr="002548DD">
        <w:t>ls centres penitenciaris amb més de 350 treballadors.</w:t>
      </w:r>
    </w:p>
    <w:p w:rsidR="00AD76E0" w:rsidRPr="002548DD" w:rsidRDefault="00AD76E0" w:rsidP="00AD76E0">
      <w:pPr>
        <w:pStyle w:val="Pargrafdellista"/>
        <w:numPr>
          <w:ilvl w:val="0"/>
          <w:numId w:val="77"/>
        </w:numPr>
        <w:spacing w:before="0" w:after="0" w:line="276" w:lineRule="auto"/>
        <w:ind w:left="360"/>
      </w:pPr>
      <w:r w:rsidRPr="002548DD">
        <w:t>Número d’identificació personal (NIP).</w:t>
      </w:r>
    </w:p>
    <w:p w:rsidR="00AD76E0" w:rsidRPr="002548DD" w:rsidRDefault="00AD76E0" w:rsidP="00AD76E0">
      <w:pPr>
        <w:pStyle w:val="Pargrafdellista"/>
        <w:numPr>
          <w:ilvl w:val="0"/>
          <w:numId w:val="77"/>
        </w:numPr>
        <w:spacing w:before="0" w:after="0" w:line="276" w:lineRule="auto"/>
        <w:ind w:left="360"/>
      </w:pPr>
      <w:r w:rsidRPr="002548DD">
        <w:t xml:space="preserve">Promoció professional. Creació del lloc de treball base genèric de vigilància perifèrica, D/C, assignat a unitats de servei de circulació d’interns i d’unitats de control i accessos (aquest tipus de lloc no es va arribar a crear); possibilitat de promoció del grup C al B </w:t>
      </w:r>
      <w:r>
        <w:t xml:space="preserve">en </w:t>
      </w:r>
      <w:r w:rsidRPr="00E95CC6">
        <w:rPr>
          <w:spacing w:val="-6"/>
        </w:rPr>
        <w:t>els llocs de treball B/C. A aquest efecte es va fer un convocatòria de 20 places del grup</w:t>
      </w:r>
      <w:r w:rsidRPr="002548DD">
        <w:t xml:space="preserve"> B.</w:t>
      </w:r>
    </w:p>
    <w:p w:rsidR="00AD76E0" w:rsidRPr="002548DD" w:rsidRDefault="00AD76E0" w:rsidP="00AD76E0">
      <w:pPr>
        <w:pStyle w:val="Pargrafdellista"/>
        <w:numPr>
          <w:ilvl w:val="0"/>
          <w:numId w:val="77"/>
        </w:numPr>
        <w:spacing w:before="0" w:after="0" w:line="276" w:lineRule="auto"/>
        <w:ind w:left="360"/>
      </w:pPr>
      <w:r w:rsidRPr="002548DD">
        <w:t>Reglament penitenciari. Adaptació de les retribucions dels llocs de comandament que vegin les seves funcions substancialment afectades.</w:t>
      </w:r>
    </w:p>
    <w:p w:rsidR="00AD76E0" w:rsidRPr="002548DD" w:rsidRDefault="00AD76E0" w:rsidP="00AD76E0">
      <w:pPr>
        <w:pStyle w:val="Pargrafdellista"/>
        <w:numPr>
          <w:ilvl w:val="0"/>
          <w:numId w:val="77"/>
        </w:numPr>
        <w:spacing w:before="0" w:after="0" w:line="276" w:lineRule="auto"/>
        <w:ind w:left="360"/>
      </w:pPr>
      <w:r w:rsidRPr="002548DD">
        <w:t>Acord de mobilitat interdepartamental i acord de seguretat.</w:t>
      </w:r>
    </w:p>
    <w:p w:rsidR="00AD76E0" w:rsidRPr="006F3811" w:rsidRDefault="00AD76E0" w:rsidP="00AD76E0"/>
    <w:p w:rsidR="00AD76E0" w:rsidRPr="00EE7913" w:rsidRDefault="00AD76E0" w:rsidP="00AD76E0">
      <w:pPr>
        <w:pStyle w:val="Ttol5"/>
      </w:pPr>
      <w:r w:rsidRPr="00EE7913">
        <w:t>Acord de condicions de treball de personal de l’àmbit penitenciari per als anys 2006-2009</w:t>
      </w:r>
    </w:p>
    <w:p w:rsidR="00AD76E0" w:rsidRPr="00EE7913" w:rsidRDefault="00AD76E0" w:rsidP="00AD76E0">
      <w:pPr>
        <w:spacing w:before="0" w:after="0" w:line="276" w:lineRule="auto"/>
      </w:pPr>
    </w:p>
    <w:p w:rsidR="00AD76E0" w:rsidRPr="002548DD" w:rsidRDefault="00AD76E0" w:rsidP="00AD76E0">
      <w:pPr>
        <w:spacing w:before="0" w:after="0" w:line="276" w:lineRule="auto"/>
      </w:pPr>
      <w:r w:rsidRPr="002548DD">
        <w:t>L’Acord de condicions de treball de personal de l’àmbit penitenciari per als anys 2006-2009 contenia i desenvolupava els punts següents:</w:t>
      </w:r>
    </w:p>
    <w:p w:rsidR="00AD76E0" w:rsidRPr="002548DD" w:rsidRDefault="00AD76E0" w:rsidP="00AD76E0">
      <w:pPr>
        <w:spacing w:before="0" w:after="0" w:line="276" w:lineRule="auto"/>
      </w:pPr>
    </w:p>
    <w:p w:rsidR="00AD76E0" w:rsidRPr="002548DD" w:rsidRDefault="00AD76E0" w:rsidP="00AD76E0">
      <w:pPr>
        <w:pStyle w:val="Pargrafdellista"/>
        <w:numPr>
          <w:ilvl w:val="0"/>
          <w:numId w:val="77"/>
        </w:numPr>
        <w:spacing w:before="0" w:after="0" w:line="276" w:lineRule="auto"/>
        <w:ind w:left="360"/>
      </w:pPr>
      <w:r w:rsidRPr="002548DD">
        <w:t>Polítiques d’ocupació.</w:t>
      </w:r>
    </w:p>
    <w:p w:rsidR="00AD76E0" w:rsidRPr="002548DD" w:rsidRDefault="00AD76E0" w:rsidP="00AD76E0">
      <w:pPr>
        <w:pStyle w:val="Pargrafdellista"/>
        <w:numPr>
          <w:ilvl w:val="0"/>
          <w:numId w:val="77"/>
        </w:numPr>
        <w:spacing w:before="0" w:after="0" w:line="276" w:lineRule="auto"/>
        <w:ind w:left="360"/>
      </w:pPr>
      <w:r w:rsidRPr="002548DD">
        <w:t>Mobilitat</w:t>
      </w:r>
      <w:r>
        <w:t>:</w:t>
      </w:r>
    </w:p>
    <w:p w:rsidR="00AD76E0" w:rsidRPr="002548DD" w:rsidRDefault="00AD76E0" w:rsidP="00AD76E0">
      <w:pPr>
        <w:pStyle w:val="Pargrafdellista"/>
        <w:numPr>
          <w:ilvl w:val="0"/>
          <w:numId w:val="81"/>
        </w:numPr>
        <w:spacing w:before="0" w:after="0" w:line="276" w:lineRule="auto"/>
      </w:pPr>
      <w:r w:rsidRPr="002548DD">
        <w:t>Mobilitat interadministrativa.</w:t>
      </w:r>
    </w:p>
    <w:p w:rsidR="00AD76E0" w:rsidRPr="002548DD" w:rsidRDefault="00AD76E0" w:rsidP="00AD76E0">
      <w:pPr>
        <w:pStyle w:val="Pargrafdellista"/>
        <w:numPr>
          <w:ilvl w:val="0"/>
          <w:numId w:val="81"/>
        </w:numPr>
        <w:spacing w:before="0" w:after="0" w:line="276" w:lineRule="auto"/>
      </w:pPr>
      <w:r w:rsidRPr="002548DD">
        <w:t>Mobilitat interdepartamental.</w:t>
      </w:r>
    </w:p>
    <w:p w:rsidR="00AD76E0" w:rsidRPr="002548DD" w:rsidRDefault="00AD76E0" w:rsidP="00AD76E0">
      <w:pPr>
        <w:pStyle w:val="Pargrafdellista"/>
        <w:numPr>
          <w:ilvl w:val="0"/>
          <w:numId w:val="81"/>
        </w:numPr>
        <w:spacing w:before="0" w:after="0" w:line="276" w:lineRule="auto"/>
      </w:pPr>
      <w:r w:rsidRPr="002548DD">
        <w:t>Mobilitat horitzontal.</w:t>
      </w:r>
    </w:p>
    <w:p w:rsidR="00AD76E0" w:rsidRPr="002548DD" w:rsidRDefault="00AD76E0" w:rsidP="00AD76E0">
      <w:pPr>
        <w:pStyle w:val="Pargrafdellista"/>
        <w:numPr>
          <w:ilvl w:val="0"/>
          <w:numId w:val="77"/>
        </w:numPr>
        <w:spacing w:before="0" w:after="0" w:line="276" w:lineRule="auto"/>
        <w:ind w:left="360"/>
      </w:pPr>
      <w:r w:rsidRPr="002548DD">
        <w:t>Promoció professional. Promoció en el mateix lloc de treball (carrera de grau).</w:t>
      </w:r>
    </w:p>
    <w:p w:rsidR="00AD76E0" w:rsidRPr="002548DD" w:rsidRDefault="00AD76E0" w:rsidP="00AD76E0">
      <w:pPr>
        <w:pStyle w:val="Pargrafdellista"/>
        <w:numPr>
          <w:ilvl w:val="0"/>
          <w:numId w:val="77"/>
        </w:numPr>
        <w:spacing w:before="0" w:after="0" w:line="276" w:lineRule="auto"/>
        <w:ind w:left="360"/>
      </w:pPr>
      <w:r>
        <w:t>Promoció interna:</w:t>
      </w:r>
      <w:r w:rsidRPr="002548DD">
        <w:t xml:space="preserve"> </w:t>
      </w:r>
    </w:p>
    <w:p w:rsidR="00AD76E0" w:rsidRPr="002548DD" w:rsidRDefault="00AD76E0" w:rsidP="00AD76E0">
      <w:pPr>
        <w:pStyle w:val="Pargrafdellista"/>
        <w:numPr>
          <w:ilvl w:val="0"/>
          <w:numId w:val="82"/>
        </w:numPr>
        <w:spacing w:before="0" w:after="0" w:line="276" w:lineRule="auto"/>
      </w:pPr>
      <w:r w:rsidRPr="002548DD">
        <w:t>Oferta de 150 places del cos de diplomatura, grup de serveis penitenciaris. Aquesta oferta no s’ha arribat a materialitzar.</w:t>
      </w:r>
    </w:p>
    <w:p w:rsidR="00AD76E0" w:rsidRPr="002548DD" w:rsidRDefault="00AD76E0" w:rsidP="00AD76E0">
      <w:pPr>
        <w:pStyle w:val="Pargrafdellista"/>
        <w:numPr>
          <w:ilvl w:val="0"/>
          <w:numId w:val="82"/>
        </w:numPr>
        <w:spacing w:before="0" w:after="0" w:line="276" w:lineRule="auto"/>
      </w:pPr>
      <w:r w:rsidRPr="002548DD">
        <w:t>Participació en el torn de promoció interna en convocatòries de cossos generals i especials.</w:t>
      </w:r>
    </w:p>
    <w:p w:rsidR="00AD76E0" w:rsidRPr="002548DD" w:rsidRDefault="00AD76E0" w:rsidP="00AD76E0">
      <w:pPr>
        <w:pStyle w:val="Pargrafdellista"/>
        <w:numPr>
          <w:ilvl w:val="0"/>
          <w:numId w:val="82"/>
        </w:numPr>
        <w:spacing w:before="0" w:after="0" w:line="276" w:lineRule="auto"/>
      </w:pPr>
      <w:r w:rsidRPr="002548DD">
        <w:t>Promoció interna a llocs de comandament intermedi de totes les àrees. Convocatòria anual de concursos específics per a la provisió definitiva dels llocs de comandament intermedi vacants de totes les àrees. Quan s’hagin de cobrir de forma urgent llocs vacants es proveiran per l’ordre de puntuació de la 1a fase, de major a menor</w:t>
      </w:r>
      <w:r>
        <w:t>,</w:t>
      </w:r>
      <w:r w:rsidRPr="002548DD">
        <w:t xml:space="preserve"> dels </w:t>
      </w:r>
      <w:r w:rsidRPr="002548DD">
        <w:lastRenderedPageBreak/>
        <w:t>funcionaris que hagin participat en el darrer concurs sense obtenir plaça. Les bases dels concursos inclouran un curs de caràcter selectiu.</w:t>
      </w:r>
    </w:p>
    <w:p w:rsidR="00AD76E0" w:rsidRPr="002548DD" w:rsidRDefault="00AD76E0" w:rsidP="00AD76E0">
      <w:pPr>
        <w:pStyle w:val="Pargrafdellista"/>
        <w:numPr>
          <w:ilvl w:val="0"/>
          <w:numId w:val="77"/>
        </w:numPr>
        <w:spacing w:before="0" w:after="0" w:line="276" w:lineRule="auto"/>
        <w:ind w:left="360"/>
      </w:pPr>
      <w:r w:rsidRPr="002548DD">
        <w:t>Formació. Dret a 40 hores anuals de formació especialitzada en relació amb la funció penitenciària; formació inicial selectiva fora de les 40 hores; formació d’acollida als professionals que canviïn a llocs de treball adscrits a departaments de règim tancat, psiquiàtrics, departaments d’atenció especialitzada, medi obert i oficines; formació estratègica; formació contínua d’actualització i aprofundiment; formació bàsica.</w:t>
      </w:r>
    </w:p>
    <w:p w:rsidR="00AD76E0" w:rsidRPr="002548DD" w:rsidRDefault="00AD76E0" w:rsidP="00AD76E0">
      <w:pPr>
        <w:pStyle w:val="Pargrafdellista"/>
        <w:numPr>
          <w:ilvl w:val="0"/>
          <w:numId w:val="77"/>
        </w:numPr>
        <w:spacing w:before="0" w:after="0" w:line="276" w:lineRule="auto"/>
        <w:ind w:left="360"/>
      </w:pPr>
      <w:r w:rsidRPr="002548DD">
        <w:t>Model organitzatiu</w:t>
      </w:r>
      <w:r>
        <w:t>:</w:t>
      </w:r>
      <w:r w:rsidRPr="002548DD">
        <w:t xml:space="preserve"> </w:t>
      </w:r>
    </w:p>
    <w:p w:rsidR="00AD76E0" w:rsidRPr="002548DD" w:rsidRDefault="00AD76E0" w:rsidP="00AD76E0">
      <w:pPr>
        <w:pStyle w:val="Pargrafdellista"/>
        <w:numPr>
          <w:ilvl w:val="0"/>
          <w:numId w:val="83"/>
        </w:numPr>
        <w:spacing w:before="0" w:after="0" w:line="276" w:lineRule="auto"/>
      </w:pPr>
      <w:r w:rsidRPr="002548DD">
        <w:t>Estructura de llocs de l’àrea de vigilància interior i supressió del cos auxiliar tècnic, grup de serveis penitenciaris.</w:t>
      </w:r>
    </w:p>
    <w:p w:rsidR="00AD76E0" w:rsidRPr="002548DD" w:rsidRDefault="00AD76E0" w:rsidP="00AD76E0">
      <w:pPr>
        <w:pStyle w:val="Pargrafdellista"/>
        <w:numPr>
          <w:ilvl w:val="0"/>
          <w:numId w:val="83"/>
        </w:numPr>
        <w:spacing w:before="0" w:after="0" w:line="276" w:lineRule="auto"/>
      </w:pPr>
      <w:r w:rsidRPr="002548DD">
        <w:t>Estructura i configuració dels comandaments intermedis de l’àrea de vigilància interior:</w:t>
      </w:r>
    </w:p>
    <w:p w:rsidR="00AD76E0" w:rsidRPr="002548DD" w:rsidRDefault="00AD76E0" w:rsidP="00AD76E0">
      <w:pPr>
        <w:pStyle w:val="Pargrafdellista"/>
        <w:spacing w:before="0" w:after="0" w:line="276" w:lineRule="auto"/>
        <w:ind w:left="720"/>
      </w:pPr>
      <w:r w:rsidRPr="002548DD">
        <w:t>Reconversió dels llocs de cap de c</w:t>
      </w:r>
      <w:r>
        <w:t>entre en llocs de cap de serveis.</w:t>
      </w:r>
    </w:p>
    <w:p w:rsidR="00AD76E0" w:rsidRPr="002548DD" w:rsidRDefault="00AD76E0" w:rsidP="00AD76E0">
      <w:pPr>
        <w:pStyle w:val="Pargrafdellista"/>
        <w:spacing w:before="0" w:after="0" w:line="276" w:lineRule="auto"/>
        <w:ind w:left="720"/>
      </w:pPr>
      <w:r w:rsidRPr="002548DD">
        <w:t>Reforçament dels llocs de cap de serveis i cap</w:t>
      </w:r>
      <w:r>
        <w:t xml:space="preserve"> d’unitat.</w:t>
      </w:r>
    </w:p>
    <w:p w:rsidR="00AD76E0" w:rsidRPr="002548DD" w:rsidRDefault="00AD76E0" w:rsidP="00AD76E0">
      <w:pPr>
        <w:pStyle w:val="Pargrafdellista"/>
        <w:spacing w:before="0" w:after="0" w:line="276" w:lineRule="auto"/>
        <w:ind w:left="720"/>
      </w:pPr>
      <w:r w:rsidRPr="002548DD">
        <w:t>Reconversió dels llocs de cap de departament especial en llocs de coordinador de departament de règim</w:t>
      </w:r>
      <w:r>
        <w:t xml:space="preserve"> tancat.</w:t>
      </w:r>
    </w:p>
    <w:p w:rsidR="00AD76E0" w:rsidRPr="002548DD" w:rsidRDefault="00AD76E0" w:rsidP="00AD76E0">
      <w:pPr>
        <w:pStyle w:val="Pargrafdellista"/>
        <w:spacing w:before="0" w:after="0" w:line="276" w:lineRule="auto"/>
        <w:ind w:left="720"/>
      </w:pPr>
      <w:r w:rsidRPr="002548DD">
        <w:t>Creació del lloc de comandament intermedi de cap d’àrea funcional</w:t>
      </w:r>
      <w:r>
        <w:t>.</w:t>
      </w:r>
    </w:p>
    <w:p w:rsidR="00AD76E0" w:rsidRPr="002548DD" w:rsidRDefault="00AD76E0" w:rsidP="00AD76E0">
      <w:pPr>
        <w:pStyle w:val="Pargrafdellista"/>
        <w:numPr>
          <w:ilvl w:val="0"/>
          <w:numId w:val="83"/>
        </w:numPr>
        <w:spacing w:before="0" w:after="0" w:line="276" w:lineRule="auto"/>
      </w:pPr>
      <w:r w:rsidRPr="002548DD">
        <w:t>Estructura i configuració dels llocs de comandament intermedi de l’àrea de rehabilitació:</w:t>
      </w:r>
    </w:p>
    <w:p w:rsidR="00AD76E0" w:rsidRPr="002548DD" w:rsidRDefault="00AD76E0" w:rsidP="00AD76E0">
      <w:pPr>
        <w:pStyle w:val="Pargrafdellista"/>
        <w:spacing w:before="0" w:after="0" w:line="276" w:lineRule="auto"/>
        <w:ind w:left="720"/>
      </w:pPr>
      <w:r w:rsidRPr="002548DD">
        <w:t>Reconversió dels llocs de cap d’equip d’observació i tractament en cap de pro</w:t>
      </w:r>
      <w:r>
        <w:t>grames d’atenció especialitzada.</w:t>
      </w:r>
    </w:p>
    <w:p w:rsidR="00AD76E0" w:rsidRPr="002548DD" w:rsidRDefault="00AD76E0" w:rsidP="00AD76E0">
      <w:pPr>
        <w:pStyle w:val="Pargrafdellista"/>
        <w:spacing w:before="0" w:after="0" w:line="276" w:lineRule="auto"/>
        <w:ind w:left="720"/>
      </w:pPr>
      <w:r w:rsidRPr="002548DD">
        <w:t xml:space="preserve">Reconversió del lloc de coordinador </w:t>
      </w:r>
      <w:r>
        <w:t>d’</w:t>
      </w:r>
      <w:r w:rsidRPr="002548DD">
        <w:t xml:space="preserve">equip </w:t>
      </w:r>
      <w:r>
        <w:t>d’</w:t>
      </w:r>
      <w:r w:rsidRPr="002548DD">
        <w:t xml:space="preserve">educadors en cap de programes </w:t>
      </w:r>
      <w:r>
        <w:t>d’educació social.</w:t>
      </w:r>
    </w:p>
    <w:p w:rsidR="00AD76E0" w:rsidRPr="002548DD" w:rsidRDefault="00AD76E0" w:rsidP="00AD76E0">
      <w:pPr>
        <w:pStyle w:val="Pargrafdellista"/>
        <w:spacing w:before="0" w:after="0" w:line="276" w:lineRule="auto"/>
        <w:ind w:left="720"/>
      </w:pPr>
      <w:r w:rsidRPr="002548DD">
        <w:t>Reconversió del lloc de coordinador</w:t>
      </w:r>
      <w:r>
        <w:t xml:space="preserve"> de</w:t>
      </w:r>
      <w:r w:rsidRPr="002548DD">
        <w:t xml:space="preserve"> treball social en cap de programes de treball social.</w:t>
      </w:r>
    </w:p>
    <w:p w:rsidR="00AD76E0" w:rsidRPr="002548DD" w:rsidRDefault="00AD76E0" w:rsidP="00AD76E0">
      <w:pPr>
        <w:pStyle w:val="Pargrafdellista"/>
        <w:spacing w:before="0" w:after="0" w:line="276" w:lineRule="auto"/>
        <w:ind w:left="720"/>
      </w:pPr>
      <w:r w:rsidRPr="002548DD">
        <w:t>Creació del lloc de coordinador d’equip multidisciplinari.</w:t>
      </w:r>
    </w:p>
    <w:p w:rsidR="00AD76E0" w:rsidRPr="002548DD" w:rsidRDefault="00AD76E0" w:rsidP="00AD76E0">
      <w:pPr>
        <w:pStyle w:val="Pargrafdellista"/>
        <w:numPr>
          <w:ilvl w:val="0"/>
          <w:numId w:val="83"/>
        </w:numPr>
        <w:spacing w:before="0" w:after="0" w:line="276" w:lineRule="auto"/>
      </w:pPr>
      <w:r w:rsidRPr="002548DD">
        <w:t>Estructura i configuració dels llocs de comandament intermedi de l’àmbit d’administració</w:t>
      </w:r>
      <w:r>
        <w:t>:</w:t>
      </w:r>
    </w:p>
    <w:p w:rsidR="00AD76E0" w:rsidRPr="002548DD" w:rsidRDefault="00AD76E0" w:rsidP="00AD76E0">
      <w:pPr>
        <w:pStyle w:val="Pargrafdellista"/>
        <w:spacing w:before="0" w:after="0" w:line="276" w:lineRule="auto"/>
        <w:ind w:left="720"/>
      </w:pPr>
      <w:r w:rsidRPr="002548DD">
        <w:t>Creació del lloc de cap d’unitat de gestió penitenciària.</w:t>
      </w:r>
    </w:p>
    <w:p w:rsidR="00AD76E0" w:rsidRPr="002548DD" w:rsidRDefault="00AD76E0" w:rsidP="00AD76E0">
      <w:pPr>
        <w:pStyle w:val="Pargrafdellista"/>
        <w:spacing w:before="0" w:after="0" w:line="276" w:lineRule="auto"/>
        <w:ind w:left="720"/>
      </w:pPr>
      <w:r w:rsidRPr="002548DD">
        <w:t>Creació del lloc de cap d’unitat de gestió de recursos humans.</w:t>
      </w:r>
    </w:p>
    <w:p w:rsidR="00AD76E0" w:rsidRPr="002548DD" w:rsidRDefault="00AD76E0" w:rsidP="00AD76E0">
      <w:pPr>
        <w:pStyle w:val="Pargrafdellista"/>
        <w:spacing w:before="0" w:after="0" w:line="276" w:lineRule="auto"/>
        <w:ind w:left="720"/>
      </w:pPr>
      <w:r w:rsidRPr="002548DD">
        <w:t>Creació del lloc de cap d’unitat de gestió econòmica.</w:t>
      </w:r>
    </w:p>
    <w:p w:rsidR="00AD76E0" w:rsidRPr="002548DD" w:rsidRDefault="00AD76E0" w:rsidP="00AD76E0">
      <w:pPr>
        <w:pStyle w:val="Pargrafdellista"/>
        <w:spacing w:before="0" w:after="0" w:line="276" w:lineRule="auto"/>
        <w:ind w:left="720"/>
      </w:pPr>
      <w:r w:rsidRPr="002548DD">
        <w:t>Creació del lloc de cap d’unitat de suport administratiu als equips directius.</w:t>
      </w:r>
    </w:p>
    <w:p w:rsidR="00AD76E0" w:rsidRPr="002548DD" w:rsidRDefault="00AD76E0" w:rsidP="00AD76E0">
      <w:pPr>
        <w:pStyle w:val="Pargrafdellista"/>
        <w:numPr>
          <w:ilvl w:val="0"/>
          <w:numId w:val="77"/>
        </w:numPr>
        <w:spacing w:before="0" w:after="0" w:line="276" w:lineRule="auto"/>
        <w:ind w:left="360"/>
      </w:pPr>
      <w:r w:rsidRPr="002548DD">
        <w:t>Classificació dels centres penitenciaris. Adequació dels complements específics en funció de les categories dels centres penitenciaris.</w:t>
      </w:r>
    </w:p>
    <w:p w:rsidR="00AD76E0" w:rsidRPr="002548DD" w:rsidRDefault="00AD76E0" w:rsidP="00AD76E0">
      <w:pPr>
        <w:pStyle w:val="Pargrafdellista"/>
        <w:numPr>
          <w:ilvl w:val="0"/>
          <w:numId w:val="77"/>
        </w:numPr>
        <w:spacing w:before="0" w:after="0" w:line="276" w:lineRule="auto"/>
        <w:ind w:left="360"/>
      </w:pPr>
      <w:r w:rsidRPr="002548DD">
        <w:t>Incentivació de la presència efectiva (PIPE).</w:t>
      </w:r>
    </w:p>
    <w:p w:rsidR="00AD76E0" w:rsidRPr="002548DD" w:rsidRDefault="00AD76E0" w:rsidP="00AD76E0">
      <w:pPr>
        <w:pStyle w:val="Pargrafdellista"/>
        <w:numPr>
          <w:ilvl w:val="0"/>
          <w:numId w:val="77"/>
        </w:numPr>
        <w:spacing w:before="0" w:after="0" w:line="276" w:lineRule="auto"/>
        <w:ind w:left="360"/>
      </w:pPr>
      <w:r w:rsidRPr="002548DD">
        <w:t>Horari del personal en llocs base de servei interior.</w:t>
      </w:r>
    </w:p>
    <w:p w:rsidR="00AD76E0" w:rsidRPr="002548DD" w:rsidRDefault="00AD76E0" w:rsidP="00AD76E0">
      <w:pPr>
        <w:pStyle w:val="Pargrafdellista"/>
        <w:numPr>
          <w:ilvl w:val="0"/>
          <w:numId w:val="77"/>
        </w:numPr>
        <w:spacing w:before="0" w:after="0" w:line="276" w:lineRule="auto"/>
      </w:pPr>
      <w:r w:rsidRPr="002548DD">
        <w:t>Programa de normalització dels horaris i de millora del model de prestació del servei (PINHO).</w:t>
      </w:r>
    </w:p>
    <w:p w:rsidR="00AD76E0" w:rsidRPr="002548DD" w:rsidRDefault="00AD76E0" w:rsidP="00AD76E0">
      <w:pPr>
        <w:pStyle w:val="Pargrafdellista"/>
        <w:numPr>
          <w:ilvl w:val="0"/>
          <w:numId w:val="77"/>
        </w:numPr>
        <w:spacing w:before="0" w:after="0" w:line="276" w:lineRule="auto"/>
        <w:ind w:left="360"/>
      </w:pPr>
      <w:r w:rsidRPr="002548DD">
        <w:t>Horari del personal de les àrees d’administració i de rehabilitació.</w:t>
      </w:r>
    </w:p>
    <w:p w:rsidR="00AD76E0" w:rsidRPr="002548DD" w:rsidRDefault="00AD76E0" w:rsidP="00AD76E0">
      <w:pPr>
        <w:pStyle w:val="Pargrafdellista"/>
        <w:numPr>
          <w:ilvl w:val="0"/>
          <w:numId w:val="77"/>
        </w:numPr>
        <w:spacing w:before="0" w:after="0" w:line="276" w:lineRule="auto"/>
        <w:ind w:left="360"/>
      </w:pPr>
      <w:r w:rsidRPr="002548DD">
        <w:t>Àmbits específics: medi obert i serveis socials penitenciaris</w:t>
      </w:r>
      <w:r>
        <w:t>:</w:t>
      </w:r>
    </w:p>
    <w:p w:rsidR="00AD76E0" w:rsidRPr="002548DD" w:rsidRDefault="00AD76E0" w:rsidP="00AD76E0">
      <w:pPr>
        <w:pStyle w:val="Pargrafdellista"/>
        <w:numPr>
          <w:ilvl w:val="0"/>
          <w:numId w:val="85"/>
        </w:numPr>
        <w:spacing w:before="0" w:after="0" w:line="276" w:lineRule="auto"/>
      </w:pPr>
      <w:r w:rsidRPr="002548DD">
        <w:t>Especialitats de la intervenció en medi obert.</w:t>
      </w:r>
    </w:p>
    <w:p w:rsidR="00AD76E0" w:rsidRPr="002548DD" w:rsidRDefault="00AD76E0" w:rsidP="00AD76E0">
      <w:pPr>
        <w:pStyle w:val="Pargrafdellista"/>
        <w:numPr>
          <w:ilvl w:val="0"/>
          <w:numId w:val="85"/>
        </w:numPr>
        <w:spacing w:before="0" w:after="0" w:line="276" w:lineRule="auto"/>
      </w:pPr>
      <w:r w:rsidRPr="002548DD">
        <w:t>Creació del lloc de treball de cap d’unitat de medi obert.</w:t>
      </w:r>
    </w:p>
    <w:p w:rsidR="00AD76E0" w:rsidRPr="002548DD" w:rsidRDefault="00AD76E0" w:rsidP="00AD76E0">
      <w:pPr>
        <w:pStyle w:val="Pargrafdellista"/>
        <w:numPr>
          <w:ilvl w:val="0"/>
          <w:numId w:val="85"/>
        </w:numPr>
        <w:spacing w:before="0" w:after="0" w:line="276" w:lineRule="auto"/>
      </w:pPr>
      <w:r w:rsidRPr="002548DD">
        <w:t>Serveis socials penitenciaris.</w:t>
      </w:r>
    </w:p>
    <w:p w:rsidR="00AD76E0" w:rsidRPr="002548DD" w:rsidRDefault="00AD76E0" w:rsidP="00AD76E0">
      <w:pPr>
        <w:pStyle w:val="Pargrafdellista"/>
        <w:numPr>
          <w:ilvl w:val="0"/>
          <w:numId w:val="77"/>
        </w:numPr>
        <w:spacing w:before="0" w:after="0" w:line="276" w:lineRule="auto"/>
        <w:ind w:left="360"/>
      </w:pPr>
      <w:r w:rsidRPr="002548DD">
        <w:t>Millores socials.</w:t>
      </w:r>
    </w:p>
    <w:p w:rsidR="00AD76E0" w:rsidRPr="002548DD" w:rsidRDefault="00AD76E0" w:rsidP="00AD76E0">
      <w:pPr>
        <w:pStyle w:val="Pargrafdellista"/>
        <w:numPr>
          <w:ilvl w:val="0"/>
          <w:numId w:val="77"/>
        </w:numPr>
        <w:spacing w:before="0" w:after="0" w:line="276" w:lineRule="auto"/>
        <w:ind w:left="360"/>
      </w:pPr>
      <w:r w:rsidRPr="002548DD">
        <w:t>Segona activitat. Relació de llocs de treball de segona activitat.</w:t>
      </w:r>
    </w:p>
    <w:p w:rsidR="00AD76E0" w:rsidRPr="002548DD" w:rsidRDefault="00AD76E0" w:rsidP="00AD76E0">
      <w:pPr>
        <w:pStyle w:val="Pargrafdellista"/>
        <w:numPr>
          <w:ilvl w:val="0"/>
          <w:numId w:val="77"/>
        </w:numPr>
        <w:spacing w:before="0" w:after="0" w:line="276" w:lineRule="auto"/>
        <w:ind w:left="360"/>
      </w:pPr>
      <w:r w:rsidRPr="002548DD">
        <w:t>Jubilació anticipada.</w:t>
      </w:r>
    </w:p>
    <w:p w:rsidR="00AD76E0" w:rsidRPr="002548DD" w:rsidRDefault="00AD76E0" w:rsidP="00AD76E0">
      <w:pPr>
        <w:pStyle w:val="Pargrafdellista"/>
        <w:numPr>
          <w:ilvl w:val="0"/>
          <w:numId w:val="77"/>
        </w:numPr>
        <w:spacing w:before="0" w:after="0" w:line="276" w:lineRule="auto"/>
        <w:ind w:left="360"/>
      </w:pPr>
      <w:r w:rsidRPr="002548DD">
        <w:t>Transport.</w:t>
      </w:r>
    </w:p>
    <w:p w:rsidR="00AD76E0" w:rsidRPr="002548DD" w:rsidRDefault="00AD76E0" w:rsidP="00AD76E0">
      <w:pPr>
        <w:pStyle w:val="Pargrafdellista"/>
        <w:numPr>
          <w:ilvl w:val="0"/>
          <w:numId w:val="77"/>
        </w:numPr>
        <w:spacing w:before="0" w:after="0" w:line="276" w:lineRule="auto"/>
        <w:ind w:left="360"/>
      </w:pPr>
      <w:r w:rsidRPr="002548DD">
        <w:lastRenderedPageBreak/>
        <w:t>Cafeteries.</w:t>
      </w:r>
    </w:p>
    <w:p w:rsidR="00AD76E0" w:rsidRPr="002548DD" w:rsidRDefault="00AD76E0" w:rsidP="00AD76E0">
      <w:pPr>
        <w:pStyle w:val="Pargrafdellista"/>
        <w:numPr>
          <w:ilvl w:val="0"/>
          <w:numId w:val="77"/>
        </w:numPr>
        <w:spacing w:before="0" w:after="0" w:line="276" w:lineRule="auto"/>
        <w:ind w:left="360"/>
      </w:pPr>
      <w:r w:rsidRPr="002548DD">
        <w:t>Vestuari de treball.</w:t>
      </w:r>
    </w:p>
    <w:p w:rsidR="00AD76E0" w:rsidRPr="002548DD" w:rsidRDefault="00AD76E0" w:rsidP="00AD76E0">
      <w:pPr>
        <w:pStyle w:val="Pargrafdellista"/>
        <w:numPr>
          <w:ilvl w:val="0"/>
          <w:numId w:val="77"/>
        </w:numPr>
        <w:spacing w:before="0" w:after="0" w:line="276" w:lineRule="auto"/>
        <w:ind w:left="360"/>
      </w:pPr>
      <w:r w:rsidRPr="002548DD">
        <w:t>Polítiques de medi ambient.</w:t>
      </w:r>
    </w:p>
    <w:p w:rsidR="00AD76E0" w:rsidRPr="002548DD" w:rsidRDefault="00AD76E0" w:rsidP="00AD76E0">
      <w:pPr>
        <w:pStyle w:val="Pargrafdellista"/>
        <w:numPr>
          <w:ilvl w:val="0"/>
          <w:numId w:val="77"/>
        </w:numPr>
        <w:spacing w:before="0" w:after="0" w:line="276" w:lineRule="auto"/>
        <w:ind w:left="360"/>
      </w:pPr>
      <w:r w:rsidRPr="002548DD">
        <w:t>Mesures per a garantir la reserva de la identitat dels treballadors de l’àmbit penitenciari.</w:t>
      </w:r>
    </w:p>
    <w:p w:rsidR="00AD76E0" w:rsidRPr="00EE7913" w:rsidRDefault="00AD76E0" w:rsidP="00AD76E0">
      <w:pPr>
        <w:pStyle w:val="Pargrafdellista"/>
        <w:numPr>
          <w:ilvl w:val="0"/>
          <w:numId w:val="77"/>
        </w:numPr>
        <w:spacing w:before="0" w:after="0" w:line="276" w:lineRule="auto"/>
        <w:ind w:left="360"/>
        <w:rPr>
          <w:color w:val="000000" w:themeColor="text1"/>
        </w:rPr>
      </w:pPr>
      <w:r w:rsidRPr="002548DD">
        <w:t xml:space="preserve">Tècnics de prevenció. Es dotarà d’un tècnic de prevenció i salut laboral </w:t>
      </w:r>
      <w:r>
        <w:t>e</w:t>
      </w:r>
      <w:r w:rsidRPr="002548DD">
        <w:t>ls centres penitenciaris amb més de 350 treballadors</w:t>
      </w:r>
      <w:r w:rsidRPr="00EE7913">
        <w:rPr>
          <w:color w:val="000000" w:themeColor="text1"/>
        </w:rPr>
        <w:t>.</w:t>
      </w:r>
    </w:p>
    <w:p w:rsidR="00AD76E0" w:rsidRPr="00EE7913" w:rsidRDefault="00AD76E0" w:rsidP="00AD76E0">
      <w:pPr>
        <w:spacing w:before="0" w:after="0" w:line="276" w:lineRule="auto"/>
        <w:rPr>
          <w:color w:val="000000" w:themeColor="text1"/>
        </w:rPr>
      </w:pPr>
    </w:p>
    <w:p w:rsidR="00AD76E0" w:rsidRPr="00EE7913" w:rsidRDefault="00AD76E0" w:rsidP="0070401F">
      <w:pPr>
        <w:pStyle w:val="Ttol4"/>
      </w:pPr>
      <w:bookmarkStart w:id="481" w:name="_Toc464726390"/>
      <w:r w:rsidRPr="00EE7913">
        <w:t>Model organitzatiu i estructura de llocs de treball</w:t>
      </w:r>
      <w:bookmarkEnd w:id="481"/>
    </w:p>
    <w:p w:rsidR="00AD76E0" w:rsidRPr="00EE7913" w:rsidRDefault="00AD76E0" w:rsidP="00AD76E0">
      <w:pPr>
        <w:spacing w:before="0" w:after="0" w:line="276" w:lineRule="auto"/>
      </w:pPr>
    </w:p>
    <w:p w:rsidR="00AD76E0" w:rsidRPr="00EE7913" w:rsidRDefault="00AD76E0" w:rsidP="00AD76E0">
      <w:pPr>
        <w:spacing w:before="0" w:after="0" w:line="276" w:lineRule="auto"/>
      </w:pPr>
      <w:r w:rsidRPr="00EE7913">
        <w:t xml:space="preserve">L’estructura organitzativa dels centres penitenciaris, d’acord amb el que estableix el Decret 329/2006, de 5 de setembre, pel qual s’aprova el Reglament d’organització i funcionament dels serveis d’execució penal a Catalunya (ROFSEP), està formada pels </w:t>
      </w:r>
      <w:r>
        <w:t>e</w:t>
      </w:r>
      <w:r w:rsidRPr="00EE7913">
        <w:t>quips directius (article</w:t>
      </w:r>
      <w:r>
        <w:t>s</w:t>
      </w:r>
      <w:r w:rsidRPr="00EE7913">
        <w:t xml:space="preserve"> 12 a 37), el personal de l’àmbit administratiu (articles 53 a 57), el personal de l’àmbit de rehabilitació (articles 58 a 62), el personal de l’àmbit de règim interior (article</w:t>
      </w:r>
      <w:r>
        <w:t>s</w:t>
      </w:r>
      <w:r w:rsidRPr="00EE7913">
        <w:t xml:space="preserve"> 63 a 66), el personal de les unitat</w:t>
      </w:r>
      <w:r>
        <w:t>s</w:t>
      </w:r>
      <w:r w:rsidRPr="00EE7913">
        <w:t xml:space="preserve"> especialitzades (article 67) i el personal de serveis.</w:t>
      </w:r>
    </w:p>
    <w:p w:rsidR="00AD76E0" w:rsidRPr="00EE7913" w:rsidRDefault="00AD76E0" w:rsidP="00AD76E0">
      <w:pPr>
        <w:spacing w:before="0" w:after="0" w:line="276" w:lineRule="auto"/>
      </w:pPr>
    </w:p>
    <w:p w:rsidR="00AD76E0" w:rsidRDefault="00AD76E0" w:rsidP="00AD76E0">
      <w:pPr>
        <w:spacing w:before="0" w:after="0" w:line="276" w:lineRule="auto"/>
      </w:pPr>
      <w:r w:rsidRPr="00EE7913">
        <w:t xml:space="preserve">El Reglament d’organització i funcionament dels serveis d’execució penal preveu </w:t>
      </w:r>
      <w:r>
        <w:t>que hi hagi</w:t>
      </w:r>
      <w:r w:rsidRPr="001E4270">
        <w:t xml:space="preserve"> </w:t>
      </w:r>
      <w:r>
        <w:t>a cada centre penitenciari</w:t>
      </w:r>
      <w:r w:rsidRPr="00EE7913">
        <w:t xml:space="preserve"> òrgans unipersonals</w:t>
      </w:r>
      <w:r>
        <w:t>, que formen part de l’equip directiu,</w:t>
      </w:r>
      <w:r w:rsidRPr="00EE7913">
        <w:t xml:space="preserve"> i col·legiats</w:t>
      </w:r>
      <w:r>
        <w:t>,</w:t>
      </w:r>
      <w:r w:rsidRPr="00EE7913">
        <w:t xml:space="preserve"> encarregats d’orientar totes les actuacions de la institució cap a l’assoliment de les finalitats atribuïdes a la Generalitat de Catalunya.</w:t>
      </w:r>
    </w:p>
    <w:p w:rsidR="00AD76E0" w:rsidRPr="00EE7913" w:rsidRDefault="00AD76E0" w:rsidP="00AD76E0">
      <w:pPr>
        <w:spacing w:before="0" w:after="0" w:line="276" w:lineRule="auto"/>
      </w:pPr>
    </w:p>
    <w:p w:rsidR="00AD76E0" w:rsidRPr="00881B27" w:rsidRDefault="00AD76E0" w:rsidP="00AD76E0">
      <w:pPr>
        <w:spacing w:before="0" w:after="0" w:line="276" w:lineRule="auto"/>
        <w:rPr>
          <w:b/>
          <w:i/>
        </w:rPr>
      </w:pPr>
      <w:r w:rsidRPr="00881B27">
        <w:rPr>
          <w:b/>
          <w:i/>
        </w:rPr>
        <w:t>Òrgans unipersonals</w:t>
      </w:r>
    </w:p>
    <w:p w:rsidR="00AD76E0" w:rsidRPr="00EE7913" w:rsidRDefault="00AD76E0" w:rsidP="00AD76E0">
      <w:pPr>
        <w:spacing w:before="0" w:after="0" w:line="276" w:lineRule="auto"/>
      </w:pPr>
    </w:p>
    <w:p w:rsidR="00AD76E0" w:rsidRPr="00EE7913" w:rsidRDefault="00AD76E0" w:rsidP="00AD76E0">
      <w:pPr>
        <w:spacing w:before="0" w:after="0" w:line="276" w:lineRule="auto"/>
      </w:pPr>
      <w:r>
        <w:t>Director o director</w:t>
      </w:r>
      <w:r w:rsidRPr="00EE7913">
        <w:t>a</w:t>
      </w:r>
    </w:p>
    <w:p w:rsidR="00AD76E0" w:rsidRPr="00EE7913" w:rsidRDefault="00AD76E0" w:rsidP="00AD76E0">
      <w:pPr>
        <w:spacing w:before="0" w:after="0" w:line="276" w:lineRule="auto"/>
      </w:pPr>
      <w:r>
        <w:t>Gerent</w:t>
      </w:r>
    </w:p>
    <w:p w:rsidR="00AD76E0" w:rsidRPr="00EE7913" w:rsidRDefault="00AD76E0" w:rsidP="00AD76E0">
      <w:pPr>
        <w:spacing w:before="0" w:after="0" w:line="276" w:lineRule="auto"/>
      </w:pPr>
      <w:r>
        <w:t>Subdirector o subdirectora</w:t>
      </w:r>
      <w:r w:rsidRPr="00EE7913">
        <w:t xml:space="preserve"> de </w:t>
      </w:r>
      <w:r>
        <w:t>t</w:t>
      </w:r>
      <w:r w:rsidRPr="00EE7913">
        <w:t>ractament</w:t>
      </w:r>
    </w:p>
    <w:p w:rsidR="00AD76E0" w:rsidRPr="00EE7913" w:rsidRDefault="00AD76E0" w:rsidP="00AD76E0">
      <w:pPr>
        <w:spacing w:before="0" w:after="0" w:line="276" w:lineRule="auto"/>
      </w:pPr>
      <w:r w:rsidRPr="00EE7913">
        <w:t>Subdirector</w:t>
      </w:r>
      <w:r>
        <w:t xml:space="preserve"> o subdirectora d’i</w:t>
      </w:r>
      <w:r w:rsidRPr="00EE7913">
        <w:t>nterior</w:t>
      </w:r>
    </w:p>
    <w:p w:rsidR="00AD76E0" w:rsidRPr="00EE7913" w:rsidRDefault="00AD76E0" w:rsidP="00AD76E0">
      <w:pPr>
        <w:spacing w:before="0" w:after="0" w:line="276" w:lineRule="auto"/>
      </w:pPr>
      <w:r>
        <w:t>Secretari t</w:t>
      </w:r>
      <w:r w:rsidRPr="00EE7913">
        <w:t xml:space="preserve">ècnic </w:t>
      </w:r>
      <w:r>
        <w:t>j</w:t>
      </w:r>
      <w:r w:rsidRPr="00EE7913">
        <w:t>urídic</w:t>
      </w:r>
      <w:r>
        <w:t xml:space="preserve"> o secret</w:t>
      </w:r>
      <w:r w:rsidRPr="00EE7913">
        <w:t xml:space="preserve">ària </w:t>
      </w:r>
      <w:r>
        <w:t>t</w:t>
      </w:r>
      <w:r w:rsidRPr="00EE7913">
        <w:t>ècnic</w:t>
      </w:r>
      <w:r>
        <w:t>a</w:t>
      </w:r>
      <w:r w:rsidRPr="00EE7913">
        <w:t xml:space="preserve"> </w:t>
      </w:r>
      <w:r>
        <w:t>j</w:t>
      </w:r>
      <w:r w:rsidRPr="00EE7913">
        <w:t>urídic</w:t>
      </w:r>
      <w:r>
        <w:t>a</w:t>
      </w:r>
    </w:p>
    <w:p w:rsidR="00AD76E0" w:rsidRPr="00EE7913" w:rsidRDefault="00AD76E0" w:rsidP="00AD76E0">
      <w:pPr>
        <w:spacing w:before="0" w:after="0" w:line="276" w:lineRule="auto"/>
      </w:pPr>
    </w:p>
    <w:p w:rsidR="00AD76E0" w:rsidRDefault="00AD76E0" w:rsidP="00AD76E0">
      <w:pPr>
        <w:spacing w:before="0" w:after="0" w:line="276" w:lineRule="auto"/>
      </w:pPr>
      <w:r>
        <w:t>El</w:t>
      </w:r>
      <w:r w:rsidRPr="00EE7913">
        <w:t xml:space="preserve"> </w:t>
      </w:r>
      <w:r>
        <w:t>director o la director</w:t>
      </w:r>
      <w:r w:rsidRPr="00EE7913">
        <w:t>a</w:t>
      </w:r>
      <w:r>
        <w:t xml:space="preserve"> </w:t>
      </w:r>
      <w:r w:rsidRPr="00EE7913">
        <w:t xml:space="preserve">del centre coordina </w:t>
      </w:r>
      <w:r>
        <w:t>e</w:t>
      </w:r>
      <w:r w:rsidRPr="00EE7913">
        <w:t xml:space="preserve">ls diferents membres de l’equip directiu. En els centres o establiments </w:t>
      </w:r>
      <w:r>
        <w:t>o</w:t>
      </w:r>
      <w:r w:rsidRPr="00EE7913">
        <w:t>n</w:t>
      </w:r>
      <w:r>
        <w:t xml:space="preserve"> cobrint</w:t>
      </w:r>
      <w:r w:rsidRPr="00EE7913">
        <w:t xml:space="preserve"> e</w:t>
      </w:r>
      <w:r>
        <w:t>ls</w:t>
      </w:r>
      <w:r w:rsidRPr="00EE7913">
        <w:t xml:space="preserve"> llocs de treball</w:t>
      </w:r>
      <w:r>
        <w:t xml:space="preserve"> existents</w:t>
      </w:r>
      <w:r w:rsidRPr="00EE7913">
        <w:t xml:space="preserve"> no </w:t>
      </w:r>
      <w:r>
        <w:t>es pugui completar</w:t>
      </w:r>
      <w:r w:rsidRPr="00EE7913">
        <w:t xml:space="preserve"> la composició dels diferents òrgans unipersonals o col·legiats, s’adaptarà </w:t>
      </w:r>
      <w:r>
        <w:t>aquest</w:t>
      </w:r>
      <w:r w:rsidRPr="00EE7913">
        <w:t>a composició als llocs de treball que hi hagi o</w:t>
      </w:r>
      <w:r>
        <w:t xml:space="preserve"> bé</w:t>
      </w:r>
      <w:r w:rsidRPr="00EE7913">
        <w:t xml:space="preserve"> es concentraran les funcions i competències en un òrgan unipersonal o col·legiat, d’acord amb el que el Departament de Justícia determini.</w:t>
      </w:r>
    </w:p>
    <w:p w:rsidR="00AD76E0" w:rsidRDefault="00AD76E0" w:rsidP="00AD76E0">
      <w:pPr>
        <w:spacing w:before="0" w:after="0" w:line="276" w:lineRule="auto"/>
      </w:pPr>
    </w:p>
    <w:p w:rsidR="00AD76E0" w:rsidRPr="00EE7913" w:rsidRDefault="00AD76E0" w:rsidP="00AD76E0">
      <w:pPr>
        <w:spacing w:before="0" w:after="0" w:line="276" w:lineRule="auto"/>
      </w:pPr>
    </w:p>
    <w:p w:rsidR="00AD76E0" w:rsidRPr="00881B27" w:rsidRDefault="00AD76E0" w:rsidP="00AD76E0">
      <w:pPr>
        <w:spacing w:before="0" w:after="0" w:line="276" w:lineRule="auto"/>
        <w:rPr>
          <w:b/>
          <w:i/>
        </w:rPr>
      </w:pPr>
      <w:r w:rsidRPr="00881B27">
        <w:rPr>
          <w:b/>
          <w:i/>
        </w:rPr>
        <w:t>Unitats de gestió administrativa</w:t>
      </w:r>
    </w:p>
    <w:p w:rsidR="00AD76E0" w:rsidRPr="00EE7913" w:rsidRDefault="00AD76E0" w:rsidP="00AD76E0">
      <w:pPr>
        <w:spacing w:before="0" w:after="0" w:line="276" w:lineRule="auto"/>
      </w:pPr>
    </w:p>
    <w:p w:rsidR="00AD76E0" w:rsidRPr="00D51EDB" w:rsidRDefault="00AD76E0" w:rsidP="00AD76E0">
      <w:pPr>
        <w:spacing w:before="0" w:after="0" w:line="276" w:lineRule="auto"/>
      </w:pPr>
      <w:r w:rsidRPr="00D51EDB">
        <w:t>Unitat de gestió penitenciària.</w:t>
      </w:r>
    </w:p>
    <w:p w:rsidR="00AD76E0" w:rsidRPr="00D51EDB" w:rsidRDefault="00AD76E0" w:rsidP="00AD76E0">
      <w:pPr>
        <w:spacing w:before="0" w:after="0" w:line="276" w:lineRule="auto"/>
      </w:pPr>
      <w:r w:rsidRPr="00D51EDB">
        <w:t>Unitat de recursos humans</w:t>
      </w:r>
    </w:p>
    <w:p w:rsidR="00AD76E0" w:rsidRPr="00D51EDB" w:rsidRDefault="00AD76E0" w:rsidP="00AD76E0">
      <w:pPr>
        <w:spacing w:before="0" w:after="0" w:line="276" w:lineRule="auto"/>
      </w:pPr>
      <w:r w:rsidRPr="00D51EDB">
        <w:t>Unitat de gestió econòmica</w:t>
      </w:r>
    </w:p>
    <w:p w:rsidR="00AD76E0" w:rsidRPr="00305F8A" w:rsidRDefault="00AD76E0" w:rsidP="00AD76E0">
      <w:pPr>
        <w:spacing w:before="0" w:after="0" w:line="276" w:lineRule="auto"/>
        <w:rPr>
          <w:i/>
        </w:rPr>
      </w:pPr>
      <w:r w:rsidRPr="00D51EDB">
        <w:t>Unitat de suport administratiu</w:t>
      </w:r>
      <w:r>
        <w:rPr>
          <w:i/>
        </w:rPr>
        <w:t xml:space="preserve"> (</w:t>
      </w:r>
      <w:r w:rsidRPr="00EE7913">
        <w:t>No prevista de forma explícita al Reglament d’organització i funcionament dels serveis d’execució penal. Dóna suport als procediments administratius i d’informació que gestiona l’equip directiu i que no s’assignen a la resta d’unitats.</w:t>
      </w:r>
      <w:r>
        <w:t>)</w:t>
      </w:r>
    </w:p>
    <w:p w:rsidR="00AD76E0" w:rsidRPr="00EE7913" w:rsidRDefault="00AD76E0" w:rsidP="00AD76E0">
      <w:pPr>
        <w:spacing w:before="0" w:after="0" w:line="276" w:lineRule="auto"/>
      </w:pPr>
    </w:p>
    <w:p w:rsidR="00AD76E0" w:rsidRPr="00D51EDB" w:rsidRDefault="00AD76E0" w:rsidP="00AD76E0">
      <w:pPr>
        <w:spacing w:before="0" w:after="0" w:line="276" w:lineRule="auto"/>
      </w:pPr>
      <w:r w:rsidRPr="00D51EDB">
        <w:lastRenderedPageBreak/>
        <w:t>El quadre dels àmbits d’actuació mostra els diferents llocs de treball en qu</w:t>
      </w:r>
      <w:r>
        <w:t>è</w:t>
      </w:r>
      <w:r w:rsidRPr="00D51EDB">
        <w:t xml:space="preserve"> es classifiquen les diferents àrees de distribució del personal en un centre penitenciari (</w:t>
      </w:r>
      <w:r>
        <w:t>e</w:t>
      </w:r>
      <w:r w:rsidRPr="00D51EDB">
        <w:t>quip directiu, àrea de rehabilitació, àrea de vigilància, àrea administrativa tècnica i àrea de serveis</w:t>
      </w:r>
      <w:r>
        <w:t>)</w:t>
      </w:r>
      <w:r w:rsidRPr="00D51EDB">
        <w:t>.</w:t>
      </w:r>
    </w:p>
    <w:p w:rsidR="00AD76E0" w:rsidRDefault="00AD76E0" w:rsidP="00AD76E0">
      <w:pPr>
        <w:spacing w:before="0" w:after="0" w:line="276" w:lineRule="auto"/>
        <w:sectPr w:rsidR="00AD76E0" w:rsidSect="00AD76E0">
          <w:footerReference w:type="default" r:id="rId64"/>
          <w:pgSz w:w="11906" w:h="16838"/>
          <w:pgMar w:top="820" w:right="1701" w:bottom="2268" w:left="1134" w:header="709" w:footer="709" w:gutter="0"/>
          <w:cols w:space="708"/>
          <w:titlePg/>
          <w:docGrid w:linePitch="360"/>
        </w:sectPr>
      </w:pPr>
    </w:p>
    <w:p w:rsidR="00AD76E0" w:rsidRPr="00EE7913" w:rsidRDefault="00A60BB6" w:rsidP="00AD76E0">
      <w:pPr>
        <w:jc w:val="center"/>
      </w:pPr>
      <w:r>
        <w:rPr>
          <w:noProof/>
          <w:lang w:eastAsia="ca-ES"/>
        </w:rPr>
        <w:lastRenderedPageBreak/>
        <mc:AlternateContent>
          <mc:Choice Requires="wps">
            <w:drawing>
              <wp:anchor distT="0" distB="0" distL="114300" distR="114300" simplePos="0" relativeHeight="251678720" behindDoc="0" locked="0" layoutInCell="1" allowOverlap="1" wp14:anchorId="25BE58C3" wp14:editId="125FEB10">
                <wp:simplePos x="0" y="0"/>
                <wp:positionH relativeFrom="column">
                  <wp:posOffset>-514350</wp:posOffset>
                </wp:positionH>
                <wp:positionV relativeFrom="paragraph">
                  <wp:posOffset>2860675</wp:posOffset>
                </wp:positionV>
                <wp:extent cx="9611995" cy="635"/>
                <wp:effectExtent l="0" t="0" r="0" b="0"/>
                <wp:wrapNone/>
                <wp:docPr id="122" name="Quadre de text 122"/>
                <wp:cNvGraphicFramePr/>
                <a:graphic xmlns:a="http://schemas.openxmlformats.org/drawingml/2006/main">
                  <a:graphicData uri="http://schemas.microsoft.com/office/word/2010/wordprocessingShape">
                    <wps:wsp>
                      <wps:cNvSpPr txBox="1"/>
                      <wps:spPr>
                        <a:xfrm>
                          <a:off x="0" y="0"/>
                          <a:ext cx="9611995" cy="635"/>
                        </a:xfrm>
                        <a:prstGeom prst="rect">
                          <a:avLst/>
                        </a:prstGeom>
                        <a:solidFill>
                          <a:prstClr val="white"/>
                        </a:solidFill>
                        <a:ln>
                          <a:noFill/>
                        </a:ln>
                        <a:effectLst/>
                      </wps:spPr>
                      <wps:txbx>
                        <w:txbxContent>
                          <w:p w:rsidR="003C42C9" w:rsidRPr="004507B0" w:rsidRDefault="003C42C9" w:rsidP="00A60BB6">
                            <w:pPr>
                              <w:pStyle w:val="Llegenda"/>
                              <w:jc w:val="center"/>
                              <w:rPr>
                                <w:noProof/>
                              </w:rPr>
                            </w:pPr>
                            <w:bookmarkStart w:id="482" w:name="_Toc465293853"/>
                            <w:r>
                              <w:t xml:space="preserve">Gràfic </w:t>
                            </w:r>
                            <w:r w:rsidR="00DB496B">
                              <w:fldChar w:fldCharType="begin"/>
                            </w:r>
                            <w:r w:rsidR="00DB496B">
                              <w:instrText xml:space="preserve"> SEQ Il·lustració \* ARABIC </w:instrText>
                            </w:r>
                            <w:r w:rsidR="00DB496B">
                              <w:fldChar w:fldCharType="separate"/>
                            </w:r>
                            <w:r>
                              <w:rPr>
                                <w:noProof/>
                              </w:rPr>
                              <w:t>47</w:t>
                            </w:r>
                            <w:r w:rsidR="00DB496B">
                              <w:rPr>
                                <w:noProof/>
                              </w:rPr>
                              <w:fldChar w:fldCharType="end"/>
                            </w:r>
                            <w:r>
                              <w:t xml:space="preserve">. </w:t>
                            </w:r>
                            <w:r w:rsidRPr="0040700A">
                              <w:t>Distribució de personal per àmbits d’actuació i centres de treball</w:t>
                            </w:r>
                            <w:bookmarkEnd w:id="48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Quadre de text 122" o:spid="_x0000_s1030" type="#_x0000_t202" style="position:absolute;left:0;text-align:left;margin-left:-40.5pt;margin-top:225.25pt;width:756.85pt;height:.0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" stroked="f">
                <v:textbox style="mso-fit-shape-to-text:t" inset="0,0,0,0">
                  <w:txbxContent>
                    <w:p w:rsidR="003C42C9" w:rsidRPr="004507B0" w:rsidRDefault="003C42C9" w:rsidP="00A60BB6">
                      <w:pPr>
                        <w:pStyle w:val="Llegenda"/>
                        <w:jc w:val="center"/>
                        <w:rPr>
                          <w:noProof/>
                        </w:rPr>
                      </w:pPr>
                      <w:bookmarkStart w:id="482" w:name="_Toc465293853"/>
                      <w:r>
                        <w:t xml:space="preserve">Gràfic </w:t>
                      </w:r>
                      <w:fldSimple w:instr=" SEQ Il·lustració \* ARABIC ">
                        <w:r>
                          <w:rPr>
                            <w:noProof/>
                          </w:rPr>
                          <w:t>47</w:t>
                        </w:r>
                      </w:fldSimple>
                      <w:r>
                        <w:t xml:space="preserve">. </w:t>
                      </w:r>
                      <w:r w:rsidRPr="0040700A">
                        <w:t>Distribució de personal per àmbits d’actuació i centres de treball</w:t>
                      </w:r>
                      <w:bookmarkEnd w:id="482"/>
                    </w:p>
                  </w:txbxContent>
                </v:textbox>
              </v:shape>
            </w:pict>
          </mc:Fallback>
        </mc:AlternateContent>
      </w:r>
      <w:r w:rsidR="00AD76E0" w:rsidRPr="00EE7913">
        <w:rPr>
          <w:noProof/>
          <w:lang w:eastAsia="ca-ES"/>
        </w:rPr>
        <w:drawing>
          <wp:anchor distT="0" distB="0" distL="114300" distR="114300" simplePos="0" relativeHeight="251676672" behindDoc="0" locked="0" layoutInCell="1" allowOverlap="1" wp14:anchorId="257FBC7B" wp14:editId="306E708F">
            <wp:simplePos x="0" y="0"/>
            <wp:positionH relativeFrom="column">
              <wp:posOffset>-514748</wp:posOffset>
            </wp:positionH>
            <wp:positionV relativeFrom="paragraph">
              <wp:posOffset>71755</wp:posOffset>
            </wp:positionV>
            <wp:extent cx="9612000" cy="2732400"/>
            <wp:effectExtent l="0" t="0" r="0" b="0"/>
            <wp:wrapNone/>
            <wp:docPr id="11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9612000" cy="27324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D76E0" w:rsidRPr="00EE7913" w:rsidRDefault="00AD76E0" w:rsidP="00AD76E0">
      <w:pPr>
        <w:pStyle w:val="Llegenda"/>
        <w:spacing w:before="0" w:after="0" w:line="276" w:lineRule="auto"/>
      </w:pPr>
      <w:bookmarkStart w:id="483" w:name="_Toc465293854"/>
      <w:r w:rsidRPr="00EE7913">
        <w:t>Taula . Personal a 31</w:t>
      </w:r>
      <w:r>
        <w:t>.</w:t>
      </w:r>
      <w:r w:rsidRPr="00EE7913">
        <w:t>8</w:t>
      </w:r>
      <w:r>
        <w:t>.</w:t>
      </w:r>
      <w:r w:rsidRPr="00EE7913">
        <w:t>2016 per àmbit d</w:t>
      </w:r>
      <w:r>
        <w:t>’</w:t>
      </w:r>
      <w:r w:rsidRPr="00EE7913">
        <w:t>actuació i centre penitenciari</w:t>
      </w:r>
      <w:bookmarkEnd w:id="483"/>
    </w:p>
    <w:p w:rsidR="00AD76E0" w:rsidRDefault="00AD76E0" w:rsidP="00AD76E0">
      <w:pPr>
        <w:spacing w:before="0" w:after="0" w:line="276" w:lineRule="auto"/>
      </w:pPr>
    </w:p>
    <w:p w:rsidR="00AD76E0" w:rsidRPr="00EE7913" w:rsidRDefault="00AD76E0" w:rsidP="00AD76E0">
      <w:pPr>
        <w:spacing w:before="0" w:after="0" w:line="276" w:lineRule="auto"/>
      </w:pPr>
    </w:p>
    <w:p w:rsidR="00AD76E0" w:rsidRPr="00EE7913" w:rsidRDefault="00DB496B" w:rsidP="00AD76E0">
      <w:pPr>
        <w:spacing w:before="0" w:after="0" w:line="276" w:lineRule="auto"/>
      </w:pPr>
      <w:hyperlink w:anchor="_Estructura_organitzativa_dels" w:history="1">
        <w:r w:rsidR="00AD76E0" w:rsidRPr="00EE7913">
          <w:rPr>
            <w:rStyle w:val="Enlla"/>
          </w:rPr>
          <w:t>Estructura organitzativa dels centres penitenciaris</w:t>
        </w:r>
      </w:hyperlink>
    </w:p>
    <w:p w:rsidR="00AD76E0" w:rsidRDefault="00AD76E0" w:rsidP="00AD76E0">
      <w:pPr>
        <w:spacing w:before="0"/>
        <w:jc w:val="left"/>
      </w:pPr>
    </w:p>
    <w:p w:rsidR="00AD76E0" w:rsidRPr="00BB2968" w:rsidRDefault="00AD76E0" w:rsidP="00AD76E0"/>
    <w:p w:rsidR="00AD76E0" w:rsidRPr="00BB2968" w:rsidRDefault="00AD76E0" w:rsidP="00AD76E0"/>
    <w:p w:rsidR="00AD76E0" w:rsidRPr="00BB2968" w:rsidRDefault="00AD76E0" w:rsidP="00AD76E0"/>
    <w:p w:rsidR="00AD76E0" w:rsidRPr="00BB2968" w:rsidRDefault="00AD76E0" w:rsidP="00AD76E0"/>
    <w:p w:rsidR="00AD76E0" w:rsidRPr="00BB2968" w:rsidRDefault="00AD76E0" w:rsidP="00AD76E0"/>
    <w:p w:rsidR="00AD76E0" w:rsidRPr="00BB2968" w:rsidRDefault="00AD76E0" w:rsidP="00AD76E0"/>
    <w:p w:rsidR="00AD76E0" w:rsidRPr="00BB2968" w:rsidRDefault="00AD76E0" w:rsidP="00AD76E0"/>
    <w:p w:rsidR="00AD76E0" w:rsidRPr="00BB2968" w:rsidRDefault="00AD76E0" w:rsidP="00AD76E0"/>
    <w:p w:rsidR="00AD76E0" w:rsidRPr="00BB2968" w:rsidRDefault="00AD76E0" w:rsidP="00AD76E0">
      <w:pPr>
        <w:spacing w:before="0" w:after="0" w:line="276" w:lineRule="auto"/>
        <w:rPr>
          <w:rFonts w:eastAsia="Times New Roman" w:cs="Arial"/>
          <w:b/>
          <w:bCs/>
          <w:color w:val="4F81BD"/>
          <w:sz w:val="18"/>
          <w:szCs w:val="18"/>
          <w:lang w:eastAsia="es-ES"/>
        </w:rPr>
      </w:pPr>
      <w:r>
        <w:tab/>
      </w:r>
    </w:p>
    <w:p w:rsidR="00AD76E0" w:rsidRDefault="00AD76E0" w:rsidP="00AD76E0">
      <w:pPr>
        <w:tabs>
          <w:tab w:val="left" w:pos="780"/>
        </w:tabs>
      </w:pPr>
    </w:p>
    <w:p w:rsidR="00AD76E0" w:rsidRDefault="00AD76E0" w:rsidP="00AD76E0"/>
    <w:p w:rsidR="00AD76E0" w:rsidRPr="00BB2968" w:rsidRDefault="00AD76E0" w:rsidP="00AD76E0">
      <w:pPr>
        <w:sectPr w:rsidR="00AD76E0" w:rsidRPr="00BB2968" w:rsidSect="00AD76E0">
          <w:pgSz w:w="16838" w:h="11906" w:orient="landscape"/>
          <w:pgMar w:top="1134" w:right="820" w:bottom="1701" w:left="2268" w:header="709" w:footer="709" w:gutter="0"/>
          <w:cols w:space="708"/>
          <w:titlePg/>
          <w:docGrid w:linePitch="360"/>
        </w:sectPr>
      </w:pPr>
    </w:p>
    <w:p w:rsidR="00AD76E0" w:rsidRPr="00EE7913" w:rsidRDefault="00AD76E0" w:rsidP="00AD76E0">
      <w:pPr>
        <w:spacing w:before="0"/>
        <w:jc w:val="left"/>
      </w:pPr>
    </w:p>
    <w:p w:rsidR="00AD76E0" w:rsidRPr="00EE7913" w:rsidRDefault="00AD76E0" w:rsidP="0070401F">
      <w:pPr>
        <w:pStyle w:val="Ttol4"/>
      </w:pPr>
      <w:bookmarkStart w:id="484" w:name="_Toc464726391"/>
      <w:r w:rsidRPr="00EE7913">
        <w:t>Ordenació del temps de treball: jornada i horaris</w:t>
      </w:r>
      <w:bookmarkEnd w:id="484"/>
    </w:p>
    <w:p w:rsidR="00AD76E0" w:rsidRDefault="00AD76E0" w:rsidP="00AD76E0">
      <w:pPr>
        <w:spacing w:before="0" w:after="0" w:line="276" w:lineRule="auto"/>
      </w:pPr>
    </w:p>
    <w:p w:rsidR="00AD76E0" w:rsidRDefault="00AD76E0" w:rsidP="00AD76E0">
      <w:pPr>
        <w:spacing w:before="0" w:after="0"/>
      </w:pPr>
      <w:r>
        <w:t>L’estructura de llocs de treball dels serveis penitenciaris s’ha anat modificant i adaptant als requeriments d’especialització i a les necessitats dels serveis, unitats i centres penitenciaris d’adscripció.</w:t>
      </w:r>
    </w:p>
    <w:p w:rsidR="00AD76E0" w:rsidRDefault="00AD76E0" w:rsidP="00AD76E0">
      <w:pPr>
        <w:spacing w:before="0" w:after="0"/>
      </w:pPr>
    </w:p>
    <w:p w:rsidR="00AD76E0" w:rsidRDefault="00AD76E0" w:rsidP="00AD76E0">
      <w:pPr>
        <w:spacing w:before="0" w:after="0"/>
      </w:pPr>
      <w:r>
        <w:t>La creació o la modificació d’aquests llocs de treball, molts d’ells llocs base genèrics, als quals s’han adaptat el nom, les funcions i les retribucions, ha anat acompanyada de la creació de jornades i modalitats horàries diferents.</w:t>
      </w:r>
    </w:p>
    <w:p w:rsidR="00AD76E0" w:rsidRDefault="00AD76E0" w:rsidP="00AD76E0">
      <w:pPr>
        <w:spacing w:before="0" w:after="0"/>
      </w:pPr>
    </w:p>
    <w:p w:rsidR="00AD76E0" w:rsidRPr="008A4C13" w:rsidRDefault="00AD76E0" w:rsidP="00AD76E0">
      <w:pPr>
        <w:spacing w:before="0" w:after="0"/>
      </w:pPr>
      <w:r>
        <w:t>La profusió d’aquests llocs i d’una quantitat ingent de jornades i horaris, ha situat l’organització en un escenari complex i difícil de gestionar.</w:t>
      </w:r>
    </w:p>
    <w:p w:rsidR="00AD76E0" w:rsidRDefault="00AD76E0" w:rsidP="00AD76E0">
      <w:pPr>
        <w:spacing w:before="0" w:after="0" w:line="276" w:lineRule="auto"/>
      </w:pPr>
    </w:p>
    <w:p w:rsidR="00AD76E0" w:rsidRPr="00A83CC1" w:rsidRDefault="00AD76E0" w:rsidP="00AD76E0">
      <w:pPr>
        <w:spacing w:before="0" w:after="0" w:line="276" w:lineRule="auto"/>
        <w:rPr>
          <w:b/>
          <w:i/>
        </w:rPr>
      </w:pPr>
      <w:r w:rsidRPr="00A83CC1">
        <w:rPr>
          <w:b/>
          <w:i/>
        </w:rPr>
        <w:t xml:space="preserve">Els horaris del personal de l’àmbit penitenciari l’any 2016 són: </w:t>
      </w:r>
    </w:p>
    <w:p w:rsidR="00AD76E0" w:rsidRDefault="00AD76E0" w:rsidP="00AD76E0">
      <w:pPr>
        <w:spacing w:before="0" w:after="0" w:line="276" w:lineRule="auto"/>
        <w:rPr>
          <w:b/>
        </w:rPr>
      </w:pPr>
    </w:p>
    <w:tbl>
      <w:tblPr>
        <w:tblStyle w:val="Taulaambquadrcula"/>
        <w:tblW w:w="0" w:type="auto"/>
        <w:tblBorders>
          <w:top w:val="none" w:sz="0" w:space="0" w:color="auto"/>
          <w:left w:val="none" w:sz="0" w:space="0" w:color="auto"/>
          <w:bottom w:val="none" w:sz="0" w:space="0" w:color="auto"/>
          <w:right w:val="none" w:sz="0" w:space="0" w:color="auto"/>
          <w:insideH w:val="single" w:sz="12" w:space="0" w:color="0070C0"/>
          <w:insideV w:val="none" w:sz="0" w:space="0" w:color="auto"/>
        </w:tblBorders>
        <w:tblLook w:val="04A0" w:firstRow="1" w:lastRow="0" w:firstColumn="1" w:lastColumn="0" w:noHBand="0" w:noVBand="1"/>
      </w:tblPr>
      <w:tblGrid>
        <w:gridCol w:w="1783"/>
        <w:gridCol w:w="1323"/>
        <w:gridCol w:w="1053"/>
        <w:gridCol w:w="1761"/>
        <w:gridCol w:w="3367"/>
      </w:tblGrid>
      <w:tr w:rsidR="00AD76E0" w:rsidRPr="00687565" w:rsidTr="00AD76E0">
        <w:tc>
          <w:tcPr>
            <w:tcW w:w="0" w:type="auto"/>
            <w:tcBorders>
              <w:top w:val="nil"/>
              <w:bottom w:val="single" w:sz="12" w:space="0" w:color="0070C0"/>
            </w:tcBorders>
            <w:shd w:val="clear" w:color="auto" w:fill="C6D9F1" w:themeFill="text2" w:themeFillTint="33"/>
            <w:vAlign w:val="center"/>
          </w:tcPr>
          <w:p w:rsidR="00AD76E0" w:rsidRPr="00687565" w:rsidRDefault="00AD76E0" w:rsidP="00AD76E0">
            <w:pPr>
              <w:spacing w:before="0" w:line="276" w:lineRule="auto"/>
              <w:jc w:val="center"/>
              <w:rPr>
                <w:rFonts w:cs="Arial"/>
                <w:b/>
                <w:sz w:val="18"/>
                <w:szCs w:val="18"/>
              </w:rPr>
            </w:pPr>
            <w:r w:rsidRPr="00687565">
              <w:rPr>
                <w:rFonts w:cs="Arial"/>
                <w:b/>
                <w:sz w:val="18"/>
                <w:szCs w:val="18"/>
              </w:rPr>
              <w:t>ÀMBIT INTERIOR</w:t>
            </w:r>
          </w:p>
        </w:tc>
        <w:tc>
          <w:tcPr>
            <w:tcW w:w="0" w:type="auto"/>
            <w:tcBorders>
              <w:top w:val="nil"/>
              <w:bottom w:val="single" w:sz="12" w:space="0" w:color="0070C0"/>
            </w:tcBorders>
            <w:shd w:val="clear" w:color="auto" w:fill="C6D9F1" w:themeFill="text2" w:themeFillTint="33"/>
            <w:vAlign w:val="center"/>
          </w:tcPr>
          <w:p w:rsidR="00AD76E0" w:rsidRPr="00687565" w:rsidRDefault="00AD76E0" w:rsidP="00AD76E0">
            <w:pPr>
              <w:spacing w:before="0" w:line="276" w:lineRule="auto"/>
              <w:jc w:val="center"/>
              <w:rPr>
                <w:rFonts w:cs="Arial"/>
                <w:b/>
                <w:sz w:val="18"/>
                <w:szCs w:val="18"/>
              </w:rPr>
            </w:pPr>
            <w:r w:rsidRPr="00687565">
              <w:rPr>
                <w:rFonts w:cs="Arial"/>
                <w:b/>
                <w:sz w:val="18"/>
                <w:szCs w:val="18"/>
              </w:rPr>
              <w:t>Jornada</w:t>
            </w:r>
          </w:p>
        </w:tc>
        <w:tc>
          <w:tcPr>
            <w:tcW w:w="0" w:type="auto"/>
            <w:tcBorders>
              <w:top w:val="nil"/>
              <w:bottom w:val="single" w:sz="12" w:space="0" w:color="0070C0"/>
            </w:tcBorders>
            <w:shd w:val="clear" w:color="auto" w:fill="C6D9F1" w:themeFill="text2" w:themeFillTint="33"/>
            <w:vAlign w:val="center"/>
          </w:tcPr>
          <w:p w:rsidR="00AD76E0" w:rsidRPr="00687565" w:rsidRDefault="00AD76E0" w:rsidP="00AD76E0">
            <w:pPr>
              <w:spacing w:before="0" w:line="276" w:lineRule="auto"/>
              <w:jc w:val="center"/>
              <w:rPr>
                <w:rFonts w:cs="Arial"/>
                <w:b/>
                <w:sz w:val="18"/>
                <w:szCs w:val="18"/>
              </w:rPr>
            </w:pPr>
            <w:r w:rsidRPr="00687565">
              <w:rPr>
                <w:rFonts w:cs="Arial"/>
                <w:b/>
                <w:sz w:val="18"/>
                <w:szCs w:val="18"/>
              </w:rPr>
              <w:t>Hores anuals</w:t>
            </w:r>
          </w:p>
        </w:tc>
        <w:tc>
          <w:tcPr>
            <w:tcW w:w="1761" w:type="dxa"/>
            <w:tcBorders>
              <w:top w:val="nil"/>
              <w:bottom w:val="single" w:sz="12" w:space="0" w:color="0070C0"/>
            </w:tcBorders>
            <w:shd w:val="clear" w:color="auto" w:fill="C6D9F1" w:themeFill="text2" w:themeFillTint="33"/>
            <w:vAlign w:val="center"/>
          </w:tcPr>
          <w:p w:rsidR="00AD76E0" w:rsidRPr="00687565" w:rsidRDefault="00AD76E0" w:rsidP="00AD76E0">
            <w:pPr>
              <w:spacing w:before="0" w:line="276" w:lineRule="auto"/>
              <w:jc w:val="center"/>
              <w:rPr>
                <w:rFonts w:cs="Arial"/>
                <w:b/>
                <w:sz w:val="18"/>
                <w:szCs w:val="18"/>
              </w:rPr>
            </w:pPr>
            <w:r w:rsidRPr="00687565">
              <w:rPr>
                <w:rFonts w:cs="Arial"/>
                <w:b/>
                <w:sz w:val="18"/>
                <w:szCs w:val="18"/>
              </w:rPr>
              <w:t>Modalitats horàries</w:t>
            </w:r>
          </w:p>
        </w:tc>
        <w:tc>
          <w:tcPr>
            <w:tcW w:w="3367" w:type="dxa"/>
            <w:tcBorders>
              <w:top w:val="nil"/>
              <w:bottom w:val="single" w:sz="12" w:space="0" w:color="0070C0"/>
            </w:tcBorders>
            <w:shd w:val="clear" w:color="auto" w:fill="C6D9F1" w:themeFill="text2" w:themeFillTint="33"/>
            <w:vAlign w:val="center"/>
          </w:tcPr>
          <w:p w:rsidR="00AD76E0" w:rsidRPr="00687565" w:rsidRDefault="00AD76E0" w:rsidP="00AD76E0">
            <w:pPr>
              <w:spacing w:before="0" w:line="276" w:lineRule="auto"/>
              <w:jc w:val="center"/>
              <w:rPr>
                <w:rFonts w:cs="Arial"/>
                <w:b/>
                <w:sz w:val="18"/>
                <w:szCs w:val="18"/>
              </w:rPr>
            </w:pPr>
            <w:r w:rsidRPr="00687565">
              <w:rPr>
                <w:rFonts w:cs="Arial"/>
                <w:b/>
                <w:sz w:val="18"/>
                <w:szCs w:val="18"/>
              </w:rPr>
              <w:t>Observacions</w:t>
            </w:r>
          </w:p>
        </w:tc>
      </w:tr>
      <w:tr w:rsidR="00AD76E0" w:rsidRPr="00687565" w:rsidTr="00AD76E0">
        <w:tc>
          <w:tcPr>
            <w:tcW w:w="0" w:type="auto"/>
            <w:tcBorders>
              <w:top w:val="single" w:sz="12" w:space="0" w:color="0070C0"/>
            </w:tcBorders>
          </w:tcPr>
          <w:p w:rsidR="00AD76E0" w:rsidRPr="00687565" w:rsidRDefault="00AD76E0" w:rsidP="00AD76E0">
            <w:pPr>
              <w:spacing w:before="0" w:line="276" w:lineRule="auto"/>
              <w:jc w:val="left"/>
              <w:rPr>
                <w:rFonts w:cs="Arial"/>
                <w:sz w:val="18"/>
                <w:szCs w:val="18"/>
              </w:rPr>
            </w:pPr>
            <w:r w:rsidRPr="00687565">
              <w:rPr>
                <w:rFonts w:cs="Arial"/>
                <w:sz w:val="18"/>
                <w:szCs w:val="18"/>
              </w:rPr>
              <w:t>Genèric Servei Interior</w:t>
            </w:r>
          </w:p>
        </w:tc>
        <w:tc>
          <w:tcPr>
            <w:tcW w:w="0" w:type="auto"/>
            <w:tcBorders>
              <w:top w:val="single" w:sz="12" w:space="0" w:color="0070C0"/>
            </w:tcBorders>
          </w:tcPr>
          <w:p w:rsidR="00AD76E0" w:rsidRPr="00687565" w:rsidRDefault="00AD76E0" w:rsidP="00AD76E0">
            <w:pPr>
              <w:spacing w:before="0" w:line="276" w:lineRule="auto"/>
              <w:jc w:val="left"/>
              <w:rPr>
                <w:rFonts w:cs="Arial"/>
                <w:sz w:val="18"/>
                <w:szCs w:val="18"/>
              </w:rPr>
            </w:pPr>
            <w:r w:rsidRPr="00687565">
              <w:rPr>
                <w:rFonts w:cs="Arial"/>
                <w:sz w:val="18"/>
                <w:szCs w:val="18"/>
              </w:rPr>
              <w:t>40h en cicles de 8 dies</w:t>
            </w:r>
          </w:p>
        </w:tc>
        <w:tc>
          <w:tcPr>
            <w:tcW w:w="0" w:type="auto"/>
            <w:tcBorders>
              <w:top w:val="single" w:sz="12" w:space="0" w:color="0070C0"/>
            </w:tcBorders>
          </w:tcPr>
          <w:p w:rsidR="00AD76E0" w:rsidRPr="00687565" w:rsidRDefault="00AD76E0" w:rsidP="00AD76E0">
            <w:pPr>
              <w:spacing w:before="0" w:line="276" w:lineRule="auto"/>
              <w:jc w:val="left"/>
              <w:rPr>
                <w:rFonts w:cs="Arial"/>
                <w:sz w:val="18"/>
                <w:szCs w:val="18"/>
              </w:rPr>
            </w:pPr>
            <w:r w:rsidRPr="00687565">
              <w:rPr>
                <w:rFonts w:cs="Arial"/>
                <w:sz w:val="18"/>
                <w:szCs w:val="18"/>
              </w:rPr>
              <w:t>1.640,8</w:t>
            </w:r>
          </w:p>
        </w:tc>
        <w:tc>
          <w:tcPr>
            <w:tcW w:w="1761" w:type="dxa"/>
            <w:tcBorders>
              <w:top w:val="single" w:sz="12" w:space="0" w:color="0070C0"/>
            </w:tcBorders>
          </w:tcPr>
          <w:p w:rsidR="00AD76E0" w:rsidRPr="00687565" w:rsidRDefault="00AD76E0" w:rsidP="00AD76E0">
            <w:pPr>
              <w:spacing w:before="0" w:line="276" w:lineRule="auto"/>
              <w:jc w:val="left"/>
              <w:rPr>
                <w:rFonts w:cs="Arial"/>
                <w:sz w:val="18"/>
                <w:szCs w:val="18"/>
              </w:rPr>
            </w:pPr>
            <w:r w:rsidRPr="00687565">
              <w:rPr>
                <w:rFonts w:cs="Arial"/>
                <w:sz w:val="18"/>
                <w:szCs w:val="18"/>
              </w:rPr>
              <w:t>&gt;</w:t>
            </w:r>
            <w:r>
              <w:rPr>
                <w:rFonts w:cs="Arial"/>
                <w:sz w:val="18"/>
                <w:szCs w:val="18"/>
              </w:rPr>
              <w:t>2</w:t>
            </w:r>
            <w:r w:rsidRPr="00687565">
              <w:rPr>
                <w:rFonts w:cs="Arial"/>
                <w:sz w:val="18"/>
                <w:szCs w:val="18"/>
              </w:rPr>
              <w:t>M/</w:t>
            </w:r>
            <w:r>
              <w:rPr>
                <w:rFonts w:cs="Arial"/>
                <w:sz w:val="18"/>
                <w:szCs w:val="18"/>
              </w:rPr>
              <w:t>2T/1N/3 LL</w:t>
            </w:r>
          </w:p>
          <w:p w:rsidR="00AD76E0" w:rsidRPr="00687565" w:rsidRDefault="00AD76E0" w:rsidP="00AD76E0">
            <w:pPr>
              <w:spacing w:before="0" w:line="276" w:lineRule="auto"/>
              <w:jc w:val="left"/>
              <w:rPr>
                <w:rFonts w:cs="Arial"/>
                <w:sz w:val="18"/>
                <w:szCs w:val="18"/>
              </w:rPr>
            </w:pPr>
            <w:r w:rsidRPr="00687565">
              <w:rPr>
                <w:rFonts w:cs="Arial"/>
                <w:sz w:val="18"/>
                <w:szCs w:val="18"/>
              </w:rPr>
              <w:t>&gt;M/T-M/N-T-</w:t>
            </w:r>
            <w:r>
              <w:rPr>
                <w:rFonts w:cs="Arial"/>
                <w:sz w:val="18"/>
                <w:szCs w:val="18"/>
              </w:rPr>
              <w:t>3 LL</w:t>
            </w:r>
          </w:p>
          <w:p w:rsidR="00AD76E0" w:rsidRPr="00687565" w:rsidRDefault="00AD76E0" w:rsidP="00AD76E0">
            <w:pPr>
              <w:spacing w:before="0" w:line="276" w:lineRule="auto"/>
              <w:jc w:val="left"/>
              <w:rPr>
                <w:rFonts w:cs="Arial"/>
                <w:sz w:val="18"/>
                <w:szCs w:val="18"/>
              </w:rPr>
            </w:pPr>
            <w:r w:rsidRPr="00687565">
              <w:rPr>
                <w:rFonts w:cs="Arial"/>
                <w:sz w:val="18"/>
                <w:szCs w:val="18"/>
              </w:rPr>
              <w:t>&gt;4M/1N o  4T/1N i 3LL</w:t>
            </w:r>
          </w:p>
          <w:p w:rsidR="00AD76E0" w:rsidRPr="00687565" w:rsidRDefault="00AD76E0" w:rsidP="00AD76E0">
            <w:pPr>
              <w:spacing w:before="0" w:line="276" w:lineRule="auto"/>
              <w:jc w:val="left"/>
              <w:rPr>
                <w:rFonts w:cs="Arial"/>
                <w:sz w:val="18"/>
                <w:szCs w:val="18"/>
              </w:rPr>
            </w:pPr>
            <w:r w:rsidRPr="00687565">
              <w:rPr>
                <w:rFonts w:cs="Arial"/>
                <w:sz w:val="18"/>
                <w:szCs w:val="18"/>
              </w:rPr>
              <w:t>&gt;M/N-T-M-T-</w:t>
            </w:r>
            <w:r>
              <w:rPr>
                <w:rFonts w:cs="Arial"/>
                <w:sz w:val="18"/>
                <w:szCs w:val="18"/>
              </w:rPr>
              <w:t>3LL</w:t>
            </w:r>
          </w:p>
        </w:tc>
        <w:tc>
          <w:tcPr>
            <w:tcW w:w="3367" w:type="dxa"/>
            <w:tcBorders>
              <w:top w:val="single" w:sz="12" w:space="0" w:color="0070C0"/>
            </w:tcBorders>
          </w:tcPr>
          <w:p w:rsidR="00AD76E0" w:rsidRPr="00687565" w:rsidRDefault="00AD76E0" w:rsidP="00AD76E0">
            <w:pPr>
              <w:spacing w:before="0" w:line="276" w:lineRule="auto"/>
              <w:jc w:val="left"/>
              <w:rPr>
                <w:rFonts w:cs="Arial"/>
                <w:sz w:val="18"/>
                <w:szCs w:val="18"/>
              </w:rPr>
            </w:pPr>
            <w:r w:rsidRPr="00687565">
              <w:rPr>
                <w:rFonts w:cs="Arial"/>
                <w:sz w:val="18"/>
                <w:szCs w:val="18"/>
              </w:rPr>
              <w:t>Gaudiran de 14 dies de compensació de festius</w:t>
            </w:r>
          </w:p>
          <w:p w:rsidR="00AD76E0" w:rsidRPr="00687565" w:rsidRDefault="00AD76E0" w:rsidP="00AD76E0">
            <w:pPr>
              <w:spacing w:before="0" w:line="276" w:lineRule="auto"/>
              <w:jc w:val="left"/>
              <w:rPr>
                <w:rFonts w:cs="Arial"/>
                <w:sz w:val="18"/>
                <w:szCs w:val="18"/>
              </w:rPr>
            </w:pPr>
            <w:r w:rsidRPr="00687565">
              <w:rPr>
                <w:rFonts w:cs="Arial"/>
                <w:sz w:val="18"/>
                <w:szCs w:val="18"/>
              </w:rPr>
              <w:t>*Matí i tarda: jornades de 7,5hores. Nit: jornada de 10 hores</w:t>
            </w:r>
          </w:p>
          <w:p w:rsidR="00AD76E0" w:rsidRPr="00687565" w:rsidRDefault="00AD76E0" w:rsidP="00AD76E0">
            <w:pPr>
              <w:spacing w:before="0" w:line="276" w:lineRule="auto"/>
              <w:jc w:val="left"/>
              <w:rPr>
                <w:rFonts w:cs="Arial"/>
                <w:sz w:val="18"/>
                <w:szCs w:val="18"/>
              </w:rPr>
            </w:pPr>
          </w:p>
        </w:tc>
      </w:tr>
      <w:tr w:rsidR="00AD76E0" w:rsidRPr="00687565" w:rsidTr="00AD76E0">
        <w:tc>
          <w:tcPr>
            <w:tcW w:w="0" w:type="auto"/>
          </w:tcPr>
          <w:p w:rsidR="00AD76E0" w:rsidRPr="00687565" w:rsidRDefault="00AD76E0" w:rsidP="00AD76E0">
            <w:pPr>
              <w:spacing w:before="0" w:line="276" w:lineRule="auto"/>
              <w:jc w:val="left"/>
              <w:rPr>
                <w:rFonts w:cs="Arial"/>
                <w:sz w:val="18"/>
                <w:szCs w:val="18"/>
              </w:rPr>
            </w:pPr>
            <w:r w:rsidRPr="00687565">
              <w:rPr>
                <w:rFonts w:cs="Arial"/>
                <w:sz w:val="18"/>
                <w:szCs w:val="18"/>
              </w:rPr>
              <w:t>Genèric Àrea Mixta</w:t>
            </w:r>
          </w:p>
        </w:tc>
        <w:tc>
          <w:tcPr>
            <w:tcW w:w="0" w:type="auto"/>
          </w:tcPr>
          <w:p w:rsidR="00AD76E0" w:rsidRPr="00687565" w:rsidRDefault="00AD76E0" w:rsidP="00AD76E0">
            <w:pPr>
              <w:spacing w:before="0" w:line="276" w:lineRule="auto"/>
              <w:jc w:val="left"/>
              <w:rPr>
                <w:rFonts w:cs="Arial"/>
                <w:sz w:val="18"/>
                <w:szCs w:val="18"/>
              </w:rPr>
            </w:pPr>
            <w:r w:rsidRPr="00687565">
              <w:rPr>
                <w:rFonts w:cs="Arial"/>
                <w:sz w:val="18"/>
                <w:szCs w:val="18"/>
              </w:rPr>
              <w:t>37,5h en cicles de 7 dies</w:t>
            </w:r>
          </w:p>
        </w:tc>
        <w:tc>
          <w:tcPr>
            <w:tcW w:w="0" w:type="auto"/>
          </w:tcPr>
          <w:p w:rsidR="00AD76E0" w:rsidRPr="00687565" w:rsidRDefault="00AD76E0" w:rsidP="00AD76E0">
            <w:pPr>
              <w:spacing w:before="0" w:line="276" w:lineRule="auto"/>
              <w:jc w:val="left"/>
              <w:rPr>
                <w:rFonts w:cs="Arial"/>
                <w:sz w:val="18"/>
                <w:szCs w:val="18"/>
              </w:rPr>
            </w:pPr>
            <w:r w:rsidRPr="00687565">
              <w:rPr>
                <w:rFonts w:cs="Arial"/>
                <w:sz w:val="18"/>
                <w:szCs w:val="18"/>
              </w:rPr>
              <w:t>1.782,85</w:t>
            </w:r>
          </w:p>
        </w:tc>
        <w:tc>
          <w:tcPr>
            <w:tcW w:w="1761" w:type="dxa"/>
          </w:tcPr>
          <w:p w:rsidR="00AD76E0" w:rsidRPr="00687565" w:rsidRDefault="00AD76E0" w:rsidP="00AD76E0">
            <w:pPr>
              <w:spacing w:before="0" w:line="276" w:lineRule="auto"/>
              <w:jc w:val="left"/>
              <w:rPr>
                <w:rFonts w:cs="Arial"/>
                <w:sz w:val="18"/>
                <w:szCs w:val="18"/>
              </w:rPr>
            </w:pPr>
            <w:r w:rsidRPr="00687565">
              <w:rPr>
                <w:rFonts w:cs="Arial"/>
                <w:sz w:val="18"/>
                <w:szCs w:val="18"/>
              </w:rPr>
              <w:t>&gt; 5M o 5T+2LL</w:t>
            </w:r>
          </w:p>
          <w:p w:rsidR="00AD76E0" w:rsidRPr="00687565" w:rsidRDefault="00AD76E0" w:rsidP="00AD76E0">
            <w:pPr>
              <w:spacing w:before="0" w:line="276" w:lineRule="auto"/>
              <w:jc w:val="left"/>
              <w:rPr>
                <w:rFonts w:cs="Arial"/>
                <w:sz w:val="18"/>
                <w:szCs w:val="18"/>
              </w:rPr>
            </w:pPr>
            <w:r w:rsidRPr="00687565">
              <w:rPr>
                <w:rFonts w:cs="Arial"/>
                <w:sz w:val="18"/>
                <w:szCs w:val="18"/>
              </w:rPr>
              <w:t>&gt; 3M-1M/T+3LL</w:t>
            </w:r>
          </w:p>
        </w:tc>
        <w:tc>
          <w:tcPr>
            <w:tcW w:w="3367" w:type="dxa"/>
          </w:tcPr>
          <w:p w:rsidR="00AD76E0" w:rsidRPr="00687565" w:rsidRDefault="00AD76E0" w:rsidP="00AD76E0">
            <w:pPr>
              <w:spacing w:before="0" w:line="276" w:lineRule="auto"/>
              <w:jc w:val="left"/>
              <w:rPr>
                <w:rFonts w:cs="Arial"/>
                <w:sz w:val="18"/>
                <w:szCs w:val="18"/>
              </w:rPr>
            </w:pPr>
            <w:r w:rsidRPr="00687565">
              <w:rPr>
                <w:rFonts w:cs="Arial"/>
                <w:sz w:val="18"/>
                <w:szCs w:val="18"/>
              </w:rPr>
              <w:t>Aquest personal pot treballar festius o no; si treballen festius gaudiran de 14 dies de compensació de festius</w:t>
            </w:r>
          </w:p>
        </w:tc>
      </w:tr>
      <w:tr w:rsidR="00AD76E0" w:rsidRPr="00687565" w:rsidTr="00AD76E0">
        <w:tc>
          <w:tcPr>
            <w:tcW w:w="0" w:type="auto"/>
          </w:tcPr>
          <w:p w:rsidR="00AD76E0" w:rsidRPr="00687565" w:rsidRDefault="00AD76E0" w:rsidP="00AD76E0">
            <w:pPr>
              <w:spacing w:before="0" w:line="276" w:lineRule="auto"/>
              <w:jc w:val="left"/>
              <w:rPr>
                <w:rFonts w:cs="Arial"/>
                <w:sz w:val="18"/>
                <w:szCs w:val="18"/>
              </w:rPr>
            </w:pPr>
            <w:r w:rsidRPr="00687565">
              <w:rPr>
                <w:rFonts w:cs="Arial"/>
                <w:sz w:val="18"/>
                <w:szCs w:val="18"/>
              </w:rPr>
              <w:t>Genèric Àrea Mixta</w:t>
            </w:r>
          </w:p>
        </w:tc>
        <w:tc>
          <w:tcPr>
            <w:tcW w:w="0" w:type="auto"/>
          </w:tcPr>
          <w:p w:rsidR="00AD76E0" w:rsidRPr="00687565" w:rsidRDefault="00AD76E0" w:rsidP="00AD76E0">
            <w:pPr>
              <w:spacing w:before="0" w:line="276" w:lineRule="auto"/>
              <w:jc w:val="left"/>
              <w:rPr>
                <w:rFonts w:cs="Arial"/>
                <w:sz w:val="18"/>
                <w:szCs w:val="18"/>
              </w:rPr>
            </w:pPr>
            <w:r w:rsidRPr="00687565">
              <w:rPr>
                <w:rFonts w:cs="Arial"/>
                <w:sz w:val="18"/>
                <w:szCs w:val="18"/>
              </w:rPr>
              <w:t>Caps de setmana</w:t>
            </w:r>
          </w:p>
        </w:tc>
        <w:tc>
          <w:tcPr>
            <w:tcW w:w="0" w:type="auto"/>
          </w:tcPr>
          <w:p w:rsidR="00AD76E0" w:rsidRPr="00687565" w:rsidRDefault="00AD76E0" w:rsidP="00AD76E0">
            <w:pPr>
              <w:spacing w:before="0" w:line="276" w:lineRule="auto"/>
              <w:jc w:val="left"/>
              <w:rPr>
                <w:rFonts w:cs="Arial"/>
                <w:sz w:val="18"/>
                <w:szCs w:val="18"/>
              </w:rPr>
            </w:pPr>
            <w:r w:rsidRPr="00687565">
              <w:rPr>
                <w:rFonts w:cs="Arial"/>
                <w:sz w:val="18"/>
                <w:szCs w:val="18"/>
              </w:rPr>
              <w:t>1.391,7</w:t>
            </w:r>
          </w:p>
        </w:tc>
        <w:tc>
          <w:tcPr>
            <w:tcW w:w="1761" w:type="dxa"/>
          </w:tcPr>
          <w:p w:rsidR="00AD76E0" w:rsidRPr="00687565" w:rsidRDefault="00AD76E0" w:rsidP="00AD76E0">
            <w:pPr>
              <w:spacing w:before="0" w:line="276" w:lineRule="auto"/>
              <w:jc w:val="left"/>
              <w:rPr>
                <w:rFonts w:cs="Arial"/>
                <w:sz w:val="18"/>
                <w:szCs w:val="18"/>
              </w:rPr>
            </w:pPr>
            <w:r w:rsidRPr="00687565">
              <w:rPr>
                <w:rFonts w:cs="Arial"/>
                <w:sz w:val="18"/>
                <w:szCs w:val="18"/>
              </w:rPr>
              <w:t>&gt; 15h Ds i 15h Dg</w:t>
            </w:r>
          </w:p>
          <w:p w:rsidR="00AD76E0" w:rsidRPr="00687565" w:rsidRDefault="00AD76E0" w:rsidP="00AD76E0">
            <w:pPr>
              <w:spacing w:before="0" w:line="276" w:lineRule="auto"/>
              <w:jc w:val="left"/>
              <w:rPr>
                <w:rFonts w:cs="Arial"/>
                <w:sz w:val="18"/>
                <w:szCs w:val="18"/>
              </w:rPr>
            </w:pPr>
            <w:r w:rsidRPr="00687565">
              <w:rPr>
                <w:rFonts w:cs="Arial"/>
                <w:sz w:val="18"/>
                <w:szCs w:val="18"/>
              </w:rPr>
              <w:t>&gt; 6h Dv, 12h Ds i 12h Dg</w:t>
            </w:r>
          </w:p>
        </w:tc>
        <w:tc>
          <w:tcPr>
            <w:tcW w:w="3367" w:type="dxa"/>
          </w:tcPr>
          <w:p w:rsidR="00AD76E0" w:rsidRPr="00687565" w:rsidRDefault="00AD76E0" w:rsidP="00AD76E0">
            <w:pPr>
              <w:spacing w:before="0" w:line="276" w:lineRule="auto"/>
              <w:jc w:val="left"/>
              <w:rPr>
                <w:rFonts w:cs="Arial"/>
                <w:sz w:val="18"/>
                <w:szCs w:val="18"/>
              </w:rPr>
            </w:pPr>
            <w:r w:rsidRPr="00687565">
              <w:rPr>
                <w:rFonts w:cs="Arial"/>
                <w:sz w:val="18"/>
                <w:szCs w:val="18"/>
              </w:rPr>
              <w:t>Gaudiran de 39 hores de compensació de festius</w:t>
            </w:r>
          </w:p>
        </w:tc>
      </w:tr>
      <w:tr w:rsidR="00AD76E0" w:rsidRPr="00687565" w:rsidTr="00AD76E0">
        <w:tc>
          <w:tcPr>
            <w:tcW w:w="0" w:type="auto"/>
          </w:tcPr>
          <w:p w:rsidR="00AD76E0" w:rsidRPr="00687565" w:rsidRDefault="00AD76E0" w:rsidP="00AD76E0">
            <w:pPr>
              <w:spacing w:before="0" w:line="276" w:lineRule="auto"/>
              <w:jc w:val="left"/>
              <w:rPr>
                <w:rFonts w:cs="Arial"/>
                <w:sz w:val="18"/>
                <w:szCs w:val="18"/>
              </w:rPr>
            </w:pPr>
            <w:r w:rsidRPr="00687565">
              <w:rPr>
                <w:rFonts w:cs="Arial"/>
                <w:sz w:val="18"/>
                <w:szCs w:val="18"/>
              </w:rPr>
              <w:t>Cap unitat</w:t>
            </w:r>
          </w:p>
          <w:p w:rsidR="00AD76E0" w:rsidRPr="00687565" w:rsidRDefault="00AD76E0" w:rsidP="00AD76E0">
            <w:pPr>
              <w:spacing w:before="0" w:line="276" w:lineRule="auto"/>
              <w:jc w:val="left"/>
              <w:rPr>
                <w:rFonts w:cs="Arial"/>
                <w:sz w:val="18"/>
                <w:szCs w:val="18"/>
              </w:rPr>
            </w:pPr>
            <w:r w:rsidRPr="00687565">
              <w:rPr>
                <w:rFonts w:cs="Arial"/>
                <w:sz w:val="18"/>
                <w:szCs w:val="18"/>
              </w:rPr>
              <w:t xml:space="preserve">Cap Àrea Funcional </w:t>
            </w:r>
          </w:p>
          <w:p w:rsidR="00AD76E0" w:rsidRPr="00687565" w:rsidRDefault="00AD76E0" w:rsidP="00AD76E0">
            <w:pPr>
              <w:spacing w:before="0" w:line="276" w:lineRule="auto"/>
              <w:jc w:val="left"/>
              <w:rPr>
                <w:rFonts w:cs="Arial"/>
                <w:sz w:val="18"/>
                <w:szCs w:val="18"/>
              </w:rPr>
            </w:pPr>
            <w:r w:rsidRPr="00687565">
              <w:rPr>
                <w:rFonts w:cs="Arial"/>
                <w:sz w:val="18"/>
                <w:szCs w:val="18"/>
              </w:rPr>
              <w:t>Tècnic Mitjà</w:t>
            </w:r>
          </w:p>
        </w:tc>
        <w:tc>
          <w:tcPr>
            <w:tcW w:w="0" w:type="auto"/>
          </w:tcPr>
          <w:p w:rsidR="00AD76E0" w:rsidRPr="00687565" w:rsidRDefault="00AD76E0" w:rsidP="00AD76E0">
            <w:pPr>
              <w:spacing w:before="0" w:line="276" w:lineRule="auto"/>
              <w:jc w:val="left"/>
              <w:rPr>
                <w:rFonts w:cs="Arial"/>
                <w:sz w:val="18"/>
                <w:szCs w:val="18"/>
              </w:rPr>
            </w:pPr>
            <w:r w:rsidRPr="00687565">
              <w:rPr>
                <w:rFonts w:cs="Arial"/>
                <w:sz w:val="18"/>
                <w:szCs w:val="18"/>
              </w:rPr>
              <w:t>37,5h en cicles de 7 dies</w:t>
            </w:r>
          </w:p>
        </w:tc>
        <w:tc>
          <w:tcPr>
            <w:tcW w:w="0" w:type="auto"/>
          </w:tcPr>
          <w:p w:rsidR="00AD76E0" w:rsidRPr="00687565" w:rsidRDefault="00AD76E0" w:rsidP="00AD76E0">
            <w:pPr>
              <w:spacing w:before="0" w:line="276" w:lineRule="auto"/>
              <w:jc w:val="left"/>
              <w:rPr>
                <w:rFonts w:cs="Arial"/>
                <w:sz w:val="18"/>
                <w:szCs w:val="18"/>
              </w:rPr>
            </w:pPr>
            <w:r w:rsidRPr="00687565">
              <w:rPr>
                <w:rFonts w:cs="Arial"/>
                <w:sz w:val="18"/>
                <w:szCs w:val="18"/>
              </w:rPr>
              <w:t>1.782,85</w:t>
            </w:r>
          </w:p>
        </w:tc>
        <w:tc>
          <w:tcPr>
            <w:tcW w:w="1761" w:type="dxa"/>
          </w:tcPr>
          <w:p w:rsidR="00AD76E0" w:rsidRPr="00687565" w:rsidRDefault="00AD76E0" w:rsidP="00AD76E0">
            <w:pPr>
              <w:spacing w:before="0" w:line="276" w:lineRule="auto"/>
              <w:jc w:val="left"/>
              <w:rPr>
                <w:rFonts w:cs="Arial"/>
                <w:sz w:val="18"/>
                <w:szCs w:val="18"/>
              </w:rPr>
            </w:pPr>
            <w:r w:rsidRPr="00687565">
              <w:rPr>
                <w:rFonts w:cs="Arial"/>
                <w:sz w:val="18"/>
                <w:szCs w:val="18"/>
              </w:rPr>
              <w:t>&gt; 5M o 5T+2LL*</w:t>
            </w:r>
          </w:p>
          <w:p w:rsidR="00AD76E0" w:rsidRPr="00687565" w:rsidRDefault="00AD76E0" w:rsidP="00AD76E0">
            <w:pPr>
              <w:spacing w:before="0" w:line="276" w:lineRule="auto"/>
              <w:jc w:val="left"/>
              <w:rPr>
                <w:rFonts w:cs="Arial"/>
                <w:sz w:val="18"/>
                <w:szCs w:val="18"/>
              </w:rPr>
            </w:pPr>
            <w:r w:rsidRPr="00687565">
              <w:rPr>
                <w:rFonts w:cs="Arial"/>
                <w:sz w:val="18"/>
                <w:szCs w:val="18"/>
              </w:rPr>
              <w:t>&gt; 3M-1M/T+3LL</w:t>
            </w:r>
          </w:p>
        </w:tc>
        <w:tc>
          <w:tcPr>
            <w:tcW w:w="3367" w:type="dxa"/>
          </w:tcPr>
          <w:p w:rsidR="00AD76E0" w:rsidRPr="00687565" w:rsidRDefault="00AD76E0" w:rsidP="00AD76E0">
            <w:pPr>
              <w:spacing w:before="0" w:line="276" w:lineRule="auto"/>
              <w:jc w:val="left"/>
              <w:rPr>
                <w:rFonts w:cs="Arial"/>
                <w:sz w:val="18"/>
                <w:szCs w:val="18"/>
              </w:rPr>
            </w:pPr>
            <w:r w:rsidRPr="00687565">
              <w:rPr>
                <w:rFonts w:cs="Arial"/>
                <w:sz w:val="18"/>
                <w:szCs w:val="18"/>
              </w:rPr>
              <w:t>No treballen festius.</w:t>
            </w:r>
          </w:p>
          <w:p w:rsidR="00AD76E0" w:rsidRPr="00687565" w:rsidRDefault="00AD76E0" w:rsidP="00AD76E0">
            <w:pPr>
              <w:spacing w:before="0" w:line="276" w:lineRule="auto"/>
              <w:jc w:val="left"/>
              <w:rPr>
                <w:rFonts w:cs="Arial"/>
                <w:sz w:val="18"/>
                <w:szCs w:val="18"/>
              </w:rPr>
            </w:pPr>
            <w:r w:rsidRPr="00687565">
              <w:rPr>
                <w:rFonts w:cs="Arial"/>
                <w:sz w:val="18"/>
                <w:szCs w:val="18"/>
              </w:rPr>
              <w:t>* Matí i tarda: jornades de 7,5hores</w:t>
            </w:r>
          </w:p>
          <w:p w:rsidR="00AD76E0" w:rsidRPr="00687565" w:rsidRDefault="00AD76E0" w:rsidP="00AD76E0">
            <w:pPr>
              <w:spacing w:before="0" w:line="276" w:lineRule="auto"/>
              <w:jc w:val="left"/>
              <w:rPr>
                <w:rFonts w:cs="Arial"/>
                <w:sz w:val="18"/>
                <w:szCs w:val="18"/>
              </w:rPr>
            </w:pPr>
          </w:p>
        </w:tc>
      </w:tr>
      <w:tr w:rsidR="00AD76E0" w:rsidRPr="00687565" w:rsidTr="00AD76E0">
        <w:tc>
          <w:tcPr>
            <w:tcW w:w="0" w:type="auto"/>
          </w:tcPr>
          <w:p w:rsidR="00AD76E0" w:rsidRPr="00687565" w:rsidRDefault="00AD76E0" w:rsidP="00AD76E0">
            <w:pPr>
              <w:spacing w:before="0" w:line="276" w:lineRule="auto"/>
              <w:jc w:val="left"/>
              <w:rPr>
                <w:rFonts w:cs="Arial"/>
                <w:sz w:val="18"/>
                <w:szCs w:val="18"/>
              </w:rPr>
            </w:pPr>
            <w:r w:rsidRPr="00687565">
              <w:rPr>
                <w:rFonts w:cs="Arial"/>
                <w:sz w:val="18"/>
                <w:szCs w:val="18"/>
              </w:rPr>
              <w:t>Cap unitat</w:t>
            </w:r>
          </w:p>
          <w:p w:rsidR="00AD76E0" w:rsidRPr="00687565" w:rsidRDefault="00AD76E0" w:rsidP="00AD76E0">
            <w:pPr>
              <w:spacing w:before="0" w:line="276" w:lineRule="auto"/>
              <w:jc w:val="left"/>
              <w:rPr>
                <w:rFonts w:cs="Arial"/>
                <w:sz w:val="18"/>
                <w:szCs w:val="18"/>
              </w:rPr>
            </w:pPr>
            <w:r w:rsidRPr="00687565">
              <w:rPr>
                <w:rFonts w:cs="Arial"/>
                <w:sz w:val="18"/>
                <w:szCs w:val="18"/>
              </w:rPr>
              <w:t xml:space="preserve">Cap Àrea Funcional </w:t>
            </w:r>
          </w:p>
          <w:p w:rsidR="00AD76E0" w:rsidRPr="00687565" w:rsidRDefault="00AD76E0" w:rsidP="00AD76E0">
            <w:pPr>
              <w:spacing w:before="0" w:line="276" w:lineRule="auto"/>
              <w:jc w:val="left"/>
              <w:rPr>
                <w:rFonts w:cs="Arial"/>
                <w:sz w:val="18"/>
                <w:szCs w:val="18"/>
              </w:rPr>
            </w:pPr>
          </w:p>
        </w:tc>
        <w:tc>
          <w:tcPr>
            <w:tcW w:w="0" w:type="auto"/>
          </w:tcPr>
          <w:p w:rsidR="00AD76E0" w:rsidRPr="00687565" w:rsidRDefault="00AD76E0" w:rsidP="00AD76E0">
            <w:pPr>
              <w:spacing w:before="0" w:line="276" w:lineRule="auto"/>
              <w:jc w:val="left"/>
              <w:rPr>
                <w:rFonts w:cs="Arial"/>
                <w:sz w:val="18"/>
                <w:szCs w:val="18"/>
              </w:rPr>
            </w:pPr>
            <w:r w:rsidRPr="00687565">
              <w:rPr>
                <w:rFonts w:cs="Arial"/>
                <w:sz w:val="18"/>
                <w:szCs w:val="18"/>
              </w:rPr>
              <w:t>Caps de setmana</w:t>
            </w:r>
          </w:p>
        </w:tc>
        <w:tc>
          <w:tcPr>
            <w:tcW w:w="0" w:type="auto"/>
          </w:tcPr>
          <w:p w:rsidR="00AD76E0" w:rsidRPr="00687565" w:rsidRDefault="00AD76E0" w:rsidP="00AD76E0">
            <w:pPr>
              <w:spacing w:before="0" w:line="276" w:lineRule="auto"/>
              <w:jc w:val="left"/>
              <w:rPr>
                <w:rFonts w:cs="Arial"/>
                <w:sz w:val="18"/>
                <w:szCs w:val="18"/>
              </w:rPr>
            </w:pPr>
            <w:r w:rsidRPr="00687565">
              <w:rPr>
                <w:rFonts w:cs="Arial"/>
                <w:sz w:val="18"/>
                <w:szCs w:val="18"/>
              </w:rPr>
              <w:t>1.391,7</w:t>
            </w:r>
          </w:p>
        </w:tc>
        <w:tc>
          <w:tcPr>
            <w:tcW w:w="1761" w:type="dxa"/>
          </w:tcPr>
          <w:p w:rsidR="00AD76E0" w:rsidRPr="00687565" w:rsidRDefault="00AD76E0" w:rsidP="00AD76E0">
            <w:pPr>
              <w:spacing w:before="0" w:line="276" w:lineRule="auto"/>
              <w:jc w:val="left"/>
              <w:rPr>
                <w:rFonts w:cs="Arial"/>
                <w:sz w:val="18"/>
                <w:szCs w:val="18"/>
              </w:rPr>
            </w:pPr>
            <w:r w:rsidRPr="00687565">
              <w:rPr>
                <w:rFonts w:cs="Arial"/>
                <w:sz w:val="18"/>
                <w:szCs w:val="18"/>
              </w:rPr>
              <w:t>&gt; 15h Ds i 15h Dg</w:t>
            </w:r>
          </w:p>
          <w:p w:rsidR="00AD76E0" w:rsidRPr="00687565" w:rsidRDefault="00AD76E0" w:rsidP="00AD76E0">
            <w:pPr>
              <w:spacing w:before="0" w:line="276" w:lineRule="auto"/>
              <w:jc w:val="left"/>
              <w:rPr>
                <w:rFonts w:cs="Arial"/>
                <w:sz w:val="18"/>
                <w:szCs w:val="18"/>
              </w:rPr>
            </w:pPr>
            <w:r w:rsidRPr="00687565">
              <w:rPr>
                <w:rFonts w:cs="Arial"/>
                <w:sz w:val="18"/>
                <w:szCs w:val="18"/>
              </w:rPr>
              <w:t>&gt; 6h Dv, 12h Ds i 12h Dg</w:t>
            </w:r>
          </w:p>
        </w:tc>
        <w:tc>
          <w:tcPr>
            <w:tcW w:w="3367" w:type="dxa"/>
          </w:tcPr>
          <w:p w:rsidR="00AD76E0" w:rsidRPr="00687565" w:rsidRDefault="00AD76E0" w:rsidP="00AD76E0">
            <w:pPr>
              <w:spacing w:before="0" w:line="276" w:lineRule="auto"/>
              <w:jc w:val="left"/>
              <w:rPr>
                <w:rFonts w:cs="Arial"/>
                <w:sz w:val="18"/>
                <w:szCs w:val="18"/>
              </w:rPr>
            </w:pPr>
            <w:r w:rsidRPr="00687565">
              <w:rPr>
                <w:rFonts w:cs="Arial"/>
                <w:sz w:val="18"/>
                <w:szCs w:val="18"/>
              </w:rPr>
              <w:t>Gaudiran de 39 hores de compensació de festius</w:t>
            </w:r>
          </w:p>
        </w:tc>
      </w:tr>
      <w:tr w:rsidR="00AD76E0" w:rsidRPr="00687565" w:rsidTr="00AD76E0">
        <w:tc>
          <w:tcPr>
            <w:tcW w:w="0" w:type="auto"/>
          </w:tcPr>
          <w:p w:rsidR="00AD76E0" w:rsidRPr="00687565" w:rsidRDefault="00AD76E0" w:rsidP="00AD76E0">
            <w:pPr>
              <w:spacing w:before="0" w:line="276" w:lineRule="auto"/>
              <w:jc w:val="left"/>
              <w:rPr>
                <w:rFonts w:cs="Arial"/>
                <w:sz w:val="18"/>
                <w:szCs w:val="18"/>
              </w:rPr>
            </w:pPr>
            <w:r w:rsidRPr="00687565">
              <w:rPr>
                <w:rFonts w:cs="Arial"/>
                <w:sz w:val="18"/>
                <w:szCs w:val="18"/>
              </w:rPr>
              <w:t>Cap de serveis</w:t>
            </w:r>
          </w:p>
        </w:tc>
        <w:tc>
          <w:tcPr>
            <w:tcW w:w="0" w:type="auto"/>
          </w:tcPr>
          <w:p w:rsidR="00AD76E0" w:rsidRPr="00687565" w:rsidRDefault="00AD76E0" w:rsidP="00AD76E0">
            <w:pPr>
              <w:spacing w:before="0" w:line="276" w:lineRule="auto"/>
              <w:jc w:val="left"/>
              <w:rPr>
                <w:rFonts w:cs="Arial"/>
                <w:sz w:val="18"/>
                <w:szCs w:val="18"/>
              </w:rPr>
            </w:pPr>
          </w:p>
        </w:tc>
        <w:tc>
          <w:tcPr>
            <w:tcW w:w="0" w:type="auto"/>
          </w:tcPr>
          <w:p w:rsidR="00AD76E0" w:rsidRPr="00687565" w:rsidRDefault="00AD76E0" w:rsidP="00AD76E0">
            <w:pPr>
              <w:spacing w:before="0" w:line="276" w:lineRule="auto"/>
              <w:jc w:val="left"/>
              <w:rPr>
                <w:rFonts w:cs="Arial"/>
                <w:sz w:val="18"/>
                <w:szCs w:val="18"/>
              </w:rPr>
            </w:pPr>
            <w:r w:rsidRPr="00687565">
              <w:rPr>
                <w:rFonts w:cs="Arial"/>
                <w:sz w:val="18"/>
                <w:szCs w:val="18"/>
              </w:rPr>
              <w:t>1.550</w:t>
            </w:r>
          </w:p>
        </w:tc>
        <w:tc>
          <w:tcPr>
            <w:tcW w:w="1761" w:type="dxa"/>
          </w:tcPr>
          <w:p w:rsidR="00AD76E0" w:rsidRPr="00687565" w:rsidRDefault="00AD76E0" w:rsidP="00AD76E0">
            <w:pPr>
              <w:spacing w:before="0" w:line="276" w:lineRule="auto"/>
              <w:jc w:val="left"/>
              <w:rPr>
                <w:rFonts w:cs="Arial"/>
                <w:sz w:val="18"/>
                <w:szCs w:val="18"/>
              </w:rPr>
            </w:pPr>
            <w:r w:rsidRPr="00687565">
              <w:rPr>
                <w:rFonts w:cs="Arial"/>
                <w:sz w:val="18"/>
                <w:szCs w:val="18"/>
              </w:rPr>
              <w:t>&gt; 3M-M/N-4LL-N-3LL*</w:t>
            </w:r>
          </w:p>
          <w:p w:rsidR="00AD76E0" w:rsidRPr="00687565" w:rsidRDefault="00AD76E0" w:rsidP="00AD76E0">
            <w:pPr>
              <w:spacing w:before="0" w:line="276" w:lineRule="auto"/>
              <w:jc w:val="left"/>
              <w:rPr>
                <w:rFonts w:cs="Arial"/>
                <w:sz w:val="18"/>
                <w:szCs w:val="18"/>
              </w:rPr>
            </w:pPr>
            <w:r w:rsidRPr="00687565">
              <w:rPr>
                <w:rFonts w:cs="Arial"/>
                <w:sz w:val="18"/>
                <w:szCs w:val="18"/>
              </w:rPr>
              <w:t>&gt; 3T-T/N-4LL-N-3LL</w:t>
            </w:r>
          </w:p>
          <w:p w:rsidR="00AD76E0" w:rsidRPr="00687565" w:rsidRDefault="00AD76E0" w:rsidP="00AD76E0">
            <w:pPr>
              <w:spacing w:before="0" w:line="276" w:lineRule="auto"/>
              <w:jc w:val="left"/>
              <w:rPr>
                <w:rFonts w:cs="Arial"/>
                <w:sz w:val="18"/>
                <w:szCs w:val="18"/>
              </w:rPr>
            </w:pPr>
            <w:r w:rsidRPr="00687565">
              <w:rPr>
                <w:rFonts w:cs="Arial"/>
                <w:sz w:val="18"/>
                <w:szCs w:val="18"/>
              </w:rPr>
              <w:t>&gt; T-2M-T/N-4LL-N-3LL</w:t>
            </w:r>
          </w:p>
          <w:p w:rsidR="00AD76E0" w:rsidRPr="00687565" w:rsidRDefault="00AD76E0" w:rsidP="00AD76E0">
            <w:pPr>
              <w:spacing w:before="0" w:line="276" w:lineRule="auto"/>
              <w:jc w:val="left"/>
              <w:rPr>
                <w:rFonts w:cs="Arial"/>
                <w:sz w:val="18"/>
                <w:szCs w:val="18"/>
              </w:rPr>
            </w:pPr>
            <w:r w:rsidRPr="00687565">
              <w:rPr>
                <w:rFonts w:cs="Arial"/>
                <w:sz w:val="18"/>
                <w:szCs w:val="18"/>
              </w:rPr>
              <w:t>&gt; T-2M-T/N-4L-N-L/</w:t>
            </w:r>
          </w:p>
          <w:p w:rsidR="00AD76E0" w:rsidRPr="00687565" w:rsidRDefault="00AD76E0" w:rsidP="00AD76E0">
            <w:pPr>
              <w:spacing w:before="0" w:line="276" w:lineRule="auto"/>
              <w:jc w:val="left"/>
              <w:rPr>
                <w:rFonts w:cs="Arial"/>
                <w:sz w:val="18"/>
                <w:szCs w:val="18"/>
              </w:rPr>
            </w:pPr>
            <w:r w:rsidRPr="00687565">
              <w:rPr>
                <w:rFonts w:cs="Arial"/>
                <w:sz w:val="18"/>
                <w:szCs w:val="18"/>
              </w:rPr>
              <w:t>&gt; 4M-N-5L</w:t>
            </w:r>
          </w:p>
        </w:tc>
        <w:tc>
          <w:tcPr>
            <w:tcW w:w="3367" w:type="dxa"/>
          </w:tcPr>
          <w:p w:rsidR="00AD76E0" w:rsidRPr="00687565" w:rsidRDefault="00AD76E0" w:rsidP="00AD76E0">
            <w:pPr>
              <w:spacing w:before="0" w:line="276" w:lineRule="auto"/>
              <w:jc w:val="left"/>
              <w:rPr>
                <w:rFonts w:cs="Arial"/>
                <w:sz w:val="18"/>
                <w:szCs w:val="18"/>
              </w:rPr>
            </w:pPr>
            <w:r w:rsidRPr="00687565">
              <w:rPr>
                <w:rFonts w:cs="Arial"/>
                <w:sz w:val="18"/>
                <w:szCs w:val="18"/>
              </w:rPr>
              <w:t>Gaudeixen de 14 dies de compensació de festius.</w:t>
            </w:r>
          </w:p>
          <w:p w:rsidR="00AD76E0" w:rsidRPr="00687565" w:rsidRDefault="00AD76E0" w:rsidP="00AD76E0">
            <w:pPr>
              <w:spacing w:before="0" w:line="276" w:lineRule="auto"/>
              <w:jc w:val="left"/>
              <w:rPr>
                <w:rFonts w:cs="Arial"/>
                <w:sz w:val="18"/>
                <w:szCs w:val="18"/>
              </w:rPr>
            </w:pPr>
            <w:r w:rsidRPr="00687565">
              <w:rPr>
                <w:rFonts w:cs="Arial"/>
                <w:sz w:val="18"/>
                <w:szCs w:val="18"/>
              </w:rPr>
              <w:t>*Han de fer 11 serveis addicionals per arribar a les 1550hs/anuals.</w:t>
            </w:r>
          </w:p>
          <w:p w:rsidR="00AD76E0" w:rsidRPr="00687565" w:rsidRDefault="00AD76E0" w:rsidP="00AD76E0">
            <w:pPr>
              <w:spacing w:before="0" w:line="276" w:lineRule="auto"/>
              <w:jc w:val="left"/>
              <w:rPr>
                <w:rFonts w:cs="Arial"/>
                <w:sz w:val="18"/>
                <w:szCs w:val="18"/>
              </w:rPr>
            </w:pPr>
            <w:r w:rsidRPr="00687565">
              <w:rPr>
                <w:rFonts w:cs="Arial"/>
                <w:sz w:val="18"/>
                <w:szCs w:val="18"/>
              </w:rPr>
              <w:t xml:space="preserve">Matí i tarda: jornades de 7,5hores. Nit: jornada de 10 hores </w:t>
            </w:r>
          </w:p>
          <w:p w:rsidR="00AD76E0" w:rsidRPr="00687565" w:rsidRDefault="00AD76E0" w:rsidP="00AD76E0">
            <w:pPr>
              <w:spacing w:before="0" w:line="276" w:lineRule="auto"/>
              <w:jc w:val="left"/>
              <w:rPr>
                <w:rFonts w:cs="Arial"/>
                <w:sz w:val="18"/>
                <w:szCs w:val="18"/>
              </w:rPr>
            </w:pPr>
          </w:p>
        </w:tc>
      </w:tr>
      <w:tr w:rsidR="00AD76E0" w:rsidRPr="00687565" w:rsidTr="00AD76E0">
        <w:tc>
          <w:tcPr>
            <w:tcW w:w="0" w:type="auto"/>
          </w:tcPr>
          <w:p w:rsidR="00AD76E0" w:rsidRPr="00687565" w:rsidRDefault="00B42758" w:rsidP="00AD76E0">
            <w:pPr>
              <w:spacing w:before="0" w:line="276" w:lineRule="auto"/>
              <w:jc w:val="left"/>
              <w:rPr>
                <w:rFonts w:cs="Arial"/>
                <w:sz w:val="18"/>
                <w:szCs w:val="18"/>
              </w:rPr>
            </w:pPr>
            <w:r>
              <w:rPr>
                <w:rFonts w:cs="Arial"/>
                <w:sz w:val="18"/>
                <w:szCs w:val="18"/>
              </w:rPr>
              <w:t>Coordinador Unitat E</w:t>
            </w:r>
            <w:r w:rsidR="00AD76E0" w:rsidRPr="00687565">
              <w:rPr>
                <w:rFonts w:cs="Arial"/>
                <w:sz w:val="18"/>
                <w:szCs w:val="18"/>
              </w:rPr>
              <w:t>pecialitzada</w:t>
            </w:r>
          </w:p>
        </w:tc>
        <w:tc>
          <w:tcPr>
            <w:tcW w:w="0" w:type="auto"/>
          </w:tcPr>
          <w:p w:rsidR="00AD76E0" w:rsidRDefault="00AD76E0" w:rsidP="00AD76E0">
            <w:pPr>
              <w:spacing w:before="0" w:line="276" w:lineRule="auto"/>
              <w:jc w:val="left"/>
              <w:rPr>
                <w:rFonts w:cs="Arial"/>
                <w:sz w:val="18"/>
                <w:szCs w:val="18"/>
              </w:rPr>
            </w:pPr>
            <w:r w:rsidRPr="00687565">
              <w:rPr>
                <w:rFonts w:cs="Arial"/>
                <w:sz w:val="18"/>
                <w:szCs w:val="18"/>
              </w:rPr>
              <w:t>37,5h de Dll a Dv</w:t>
            </w:r>
          </w:p>
          <w:p w:rsidR="00AD76E0" w:rsidRDefault="00AD76E0" w:rsidP="00AD76E0">
            <w:pPr>
              <w:spacing w:before="0" w:line="276" w:lineRule="auto"/>
              <w:jc w:val="left"/>
              <w:rPr>
                <w:rFonts w:cs="Arial"/>
                <w:sz w:val="18"/>
                <w:szCs w:val="18"/>
              </w:rPr>
            </w:pPr>
          </w:p>
          <w:p w:rsidR="00AD76E0" w:rsidRDefault="00AD76E0" w:rsidP="00AD76E0">
            <w:pPr>
              <w:spacing w:before="0" w:line="276" w:lineRule="auto"/>
              <w:jc w:val="left"/>
              <w:rPr>
                <w:rFonts w:cs="Arial"/>
                <w:sz w:val="18"/>
                <w:szCs w:val="18"/>
              </w:rPr>
            </w:pPr>
          </w:p>
          <w:p w:rsidR="00AD76E0" w:rsidRDefault="00AD76E0" w:rsidP="00AD76E0">
            <w:pPr>
              <w:spacing w:before="0" w:line="276" w:lineRule="auto"/>
              <w:jc w:val="left"/>
              <w:rPr>
                <w:rFonts w:cs="Arial"/>
                <w:sz w:val="18"/>
                <w:szCs w:val="18"/>
              </w:rPr>
            </w:pPr>
          </w:p>
          <w:p w:rsidR="00AD76E0" w:rsidRPr="00687565" w:rsidRDefault="00AD76E0" w:rsidP="00AD76E0">
            <w:pPr>
              <w:spacing w:before="0" w:line="276" w:lineRule="auto"/>
              <w:jc w:val="left"/>
              <w:rPr>
                <w:rFonts w:cs="Arial"/>
                <w:sz w:val="18"/>
                <w:szCs w:val="18"/>
              </w:rPr>
            </w:pPr>
          </w:p>
        </w:tc>
        <w:tc>
          <w:tcPr>
            <w:tcW w:w="0" w:type="auto"/>
          </w:tcPr>
          <w:p w:rsidR="00AD76E0" w:rsidRPr="00687565" w:rsidRDefault="00AD76E0" w:rsidP="00AD76E0">
            <w:pPr>
              <w:spacing w:before="0" w:line="276" w:lineRule="auto"/>
              <w:jc w:val="left"/>
              <w:rPr>
                <w:rFonts w:cs="Arial"/>
                <w:sz w:val="18"/>
                <w:szCs w:val="18"/>
              </w:rPr>
            </w:pPr>
            <w:r w:rsidRPr="00687565">
              <w:rPr>
                <w:rFonts w:cs="Arial"/>
                <w:sz w:val="18"/>
                <w:szCs w:val="18"/>
              </w:rPr>
              <w:t>1.782,85</w:t>
            </w:r>
          </w:p>
        </w:tc>
        <w:tc>
          <w:tcPr>
            <w:tcW w:w="1761" w:type="dxa"/>
          </w:tcPr>
          <w:p w:rsidR="00AD76E0" w:rsidRPr="00687565" w:rsidRDefault="00AD76E0" w:rsidP="00AD76E0">
            <w:pPr>
              <w:spacing w:before="0" w:line="276" w:lineRule="auto"/>
              <w:jc w:val="left"/>
              <w:rPr>
                <w:rFonts w:cs="Arial"/>
                <w:sz w:val="18"/>
                <w:szCs w:val="18"/>
              </w:rPr>
            </w:pPr>
          </w:p>
        </w:tc>
        <w:tc>
          <w:tcPr>
            <w:tcW w:w="3367" w:type="dxa"/>
          </w:tcPr>
          <w:p w:rsidR="00AD76E0" w:rsidRPr="00687565" w:rsidRDefault="00AD76E0" w:rsidP="00AD76E0">
            <w:pPr>
              <w:spacing w:before="0" w:line="276" w:lineRule="auto"/>
              <w:rPr>
                <w:rFonts w:cs="Arial"/>
                <w:sz w:val="18"/>
                <w:szCs w:val="18"/>
              </w:rPr>
            </w:pPr>
            <w:r w:rsidRPr="00687565">
              <w:rPr>
                <w:rFonts w:cs="Arial"/>
                <w:sz w:val="18"/>
                <w:szCs w:val="18"/>
              </w:rPr>
              <w:t>Pot ocupar el lloc de treball personal de l’àmbit d’interior o de rehabilitació.</w:t>
            </w:r>
          </w:p>
          <w:p w:rsidR="00AD76E0" w:rsidRPr="00687565" w:rsidRDefault="00AD76E0" w:rsidP="00AD76E0">
            <w:pPr>
              <w:spacing w:before="0" w:line="276" w:lineRule="auto"/>
              <w:jc w:val="left"/>
              <w:rPr>
                <w:rFonts w:cs="Arial"/>
                <w:sz w:val="18"/>
                <w:szCs w:val="18"/>
              </w:rPr>
            </w:pPr>
            <w:r w:rsidRPr="00687565">
              <w:rPr>
                <w:rFonts w:cs="Arial"/>
                <w:sz w:val="18"/>
                <w:szCs w:val="18"/>
              </w:rPr>
              <w:t>No presta serveis cap tarda de la setmana</w:t>
            </w:r>
          </w:p>
        </w:tc>
      </w:tr>
    </w:tbl>
    <w:p w:rsidR="00AD76E0" w:rsidRDefault="00AD76E0" w:rsidP="00AD76E0">
      <w:pPr>
        <w:spacing w:before="0" w:after="0" w:line="276" w:lineRule="auto"/>
        <w:rPr>
          <w:b/>
        </w:rPr>
      </w:pPr>
    </w:p>
    <w:p w:rsidR="00AD76E0" w:rsidRDefault="00AD76E0" w:rsidP="00AD76E0">
      <w:pPr>
        <w:spacing w:before="0" w:after="0" w:line="276" w:lineRule="auto"/>
        <w:rPr>
          <w:b/>
        </w:rPr>
      </w:pPr>
    </w:p>
    <w:tbl>
      <w:tblPr>
        <w:tblStyle w:val="Taulaambquadrcula"/>
        <w:tblW w:w="0" w:type="auto"/>
        <w:tblBorders>
          <w:top w:val="none" w:sz="0" w:space="0" w:color="auto"/>
          <w:left w:val="none" w:sz="0" w:space="0" w:color="auto"/>
          <w:bottom w:val="none" w:sz="0" w:space="0" w:color="auto"/>
          <w:right w:val="none" w:sz="0" w:space="0" w:color="auto"/>
          <w:insideH w:val="single" w:sz="12" w:space="0" w:color="0070C0"/>
          <w:insideV w:val="none" w:sz="0" w:space="0" w:color="auto"/>
        </w:tblBorders>
        <w:tblLook w:val="04A0" w:firstRow="1" w:lastRow="0" w:firstColumn="1" w:lastColumn="0" w:noHBand="0" w:noVBand="1"/>
      </w:tblPr>
      <w:tblGrid>
        <w:gridCol w:w="2966"/>
        <w:gridCol w:w="1969"/>
        <w:gridCol w:w="4352"/>
      </w:tblGrid>
      <w:tr w:rsidR="00AD76E0" w:rsidRPr="00687565" w:rsidTr="00AD76E0">
        <w:tc>
          <w:tcPr>
            <w:tcW w:w="0" w:type="auto"/>
            <w:tcBorders>
              <w:top w:val="nil"/>
              <w:bottom w:val="single" w:sz="12" w:space="0" w:color="0070C0"/>
            </w:tcBorders>
            <w:shd w:val="clear" w:color="auto" w:fill="C6D9F1" w:themeFill="text2" w:themeFillTint="33"/>
            <w:vAlign w:val="center"/>
          </w:tcPr>
          <w:p w:rsidR="00AD76E0" w:rsidRPr="00687565" w:rsidRDefault="00AD76E0" w:rsidP="00AD76E0">
            <w:pPr>
              <w:spacing w:before="0" w:line="276" w:lineRule="auto"/>
              <w:jc w:val="center"/>
              <w:rPr>
                <w:rFonts w:cs="Arial"/>
                <w:b/>
                <w:sz w:val="18"/>
                <w:szCs w:val="18"/>
              </w:rPr>
            </w:pPr>
            <w:r w:rsidRPr="00687565">
              <w:rPr>
                <w:rFonts w:cs="Arial"/>
                <w:b/>
                <w:sz w:val="18"/>
                <w:szCs w:val="18"/>
              </w:rPr>
              <w:t>ÀMBIT</w:t>
            </w:r>
          </w:p>
          <w:p w:rsidR="00AD76E0" w:rsidRPr="00687565" w:rsidRDefault="00AD76E0" w:rsidP="00AD76E0">
            <w:pPr>
              <w:spacing w:before="0" w:line="276" w:lineRule="auto"/>
              <w:jc w:val="center"/>
              <w:rPr>
                <w:rFonts w:cs="Arial"/>
                <w:b/>
                <w:sz w:val="18"/>
                <w:szCs w:val="18"/>
              </w:rPr>
            </w:pPr>
            <w:r w:rsidRPr="00687565">
              <w:rPr>
                <w:rFonts w:cs="Arial"/>
                <w:b/>
                <w:sz w:val="18"/>
                <w:szCs w:val="18"/>
              </w:rPr>
              <w:t>REHABILITACIÓ</w:t>
            </w:r>
          </w:p>
        </w:tc>
        <w:tc>
          <w:tcPr>
            <w:tcW w:w="0" w:type="auto"/>
            <w:tcBorders>
              <w:top w:val="nil"/>
              <w:bottom w:val="single" w:sz="12" w:space="0" w:color="0070C0"/>
            </w:tcBorders>
            <w:shd w:val="clear" w:color="auto" w:fill="C6D9F1" w:themeFill="text2" w:themeFillTint="33"/>
            <w:vAlign w:val="center"/>
          </w:tcPr>
          <w:p w:rsidR="00AD76E0" w:rsidRPr="00687565" w:rsidRDefault="00AD76E0" w:rsidP="00AD76E0">
            <w:pPr>
              <w:spacing w:before="0" w:line="276" w:lineRule="auto"/>
              <w:jc w:val="center"/>
              <w:rPr>
                <w:rFonts w:cs="Arial"/>
                <w:b/>
                <w:sz w:val="18"/>
                <w:szCs w:val="18"/>
              </w:rPr>
            </w:pPr>
            <w:r w:rsidRPr="00687565">
              <w:rPr>
                <w:rFonts w:cs="Arial"/>
                <w:b/>
                <w:sz w:val="18"/>
                <w:szCs w:val="18"/>
              </w:rPr>
              <w:t>Jornada</w:t>
            </w:r>
          </w:p>
        </w:tc>
        <w:tc>
          <w:tcPr>
            <w:tcW w:w="0" w:type="auto"/>
            <w:tcBorders>
              <w:top w:val="nil"/>
              <w:bottom w:val="single" w:sz="12" w:space="0" w:color="0070C0"/>
            </w:tcBorders>
            <w:shd w:val="clear" w:color="auto" w:fill="C6D9F1" w:themeFill="text2" w:themeFillTint="33"/>
            <w:vAlign w:val="center"/>
          </w:tcPr>
          <w:p w:rsidR="00AD76E0" w:rsidRPr="00687565" w:rsidRDefault="00AD76E0" w:rsidP="00AD76E0">
            <w:pPr>
              <w:spacing w:before="0" w:line="276" w:lineRule="auto"/>
              <w:jc w:val="center"/>
              <w:rPr>
                <w:rFonts w:cs="Arial"/>
                <w:b/>
                <w:sz w:val="18"/>
                <w:szCs w:val="18"/>
              </w:rPr>
            </w:pPr>
            <w:r w:rsidRPr="00687565">
              <w:rPr>
                <w:rFonts w:cs="Arial"/>
                <w:b/>
                <w:sz w:val="18"/>
                <w:szCs w:val="18"/>
              </w:rPr>
              <w:t>Modalitats horàries</w:t>
            </w:r>
          </w:p>
        </w:tc>
      </w:tr>
      <w:tr w:rsidR="00AD76E0" w:rsidRPr="00687565" w:rsidTr="00AD76E0">
        <w:tc>
          <w:tcPr>
            <w:tcW w:w="0" w:type="auto"/>
            <w:tcBorders>
              <w:top w:val="single" w:sz="12" w:space="0" w:color="0070C0"/>
            </w:tcBorders>
          </w:tcPr>
          <w:p w:rsidR="00AD76E0" w:rsidRPr="00687565" w:rsidRDefault="00AD76E0" w:rsidP="00AD76E0">
            <w:pPr>
              <w:spacing w:before="0" w:line="276" w:lineRule="auto"/>
              <w:jc w:val="left"/>
              <w:rPr>
                <w:rFonts w:cs="Arial"/>
                <w:sz w:val="18"/>
                <w:szCs w:val="18"/>
              </w:rPr>
            </w:pPr>
            <w:r w:rsidRPr="00687565">
              <w:rPr>
                <w:rFonts w:cs="Arial"/>
                <w:sz w:val="18"/>
                <w:szCs w:val="18"/>
              </w:rPr>
              <w:t>Titulats superiors</w:t>
            </w:r>
          </w:p>
          <w:p w:rsidR="00AD76E0" w:rsidRPr="00687565" w:rsidRDefault="00AD76E0" w:rsidP="00AD76E0">
            <w:pPr>
              <w:spacing w:before="0" w:line="276" w:lineRule="auto"/>
              <w:jc w:val="left"/>
              <w:rPr>
                <w:rFonts w:cs="Arial"/>
                <w:sz w:val="18"/>
                <w:szCs w:val="18"/>
              </w:rPr>
            </w:pPr>
            <w:r w:rsidRPr="00687565">
              <w:rPr>
                <w:rFonts w:cs="Arial"/>
                <w:sz w:val="18"/>
                <w:szCs w:val="18"/>
              </w:rPr>
              <w:t>Treballadors socials</w:t>
            </w:r>
          </w:p>
          <w:p w:rsidR="00AD76E0" w:rsidRPr="00687565" w:rsidRDefault="00AD76E0" w:rsidP="00AD76E0">
            <w:pPr>
              <w:spacing w:before="0" w:line="276" w:lineRule="auto"/>
              <w:jc w:val="left"/>
              <w:rPr>
                <w:rFonts w:cs="Arial"/>
                <w:sz w:val="18"/>
                <w:szCs w:val="18"/>
              </w:rPr>
            </w:pPr>
            <w:r w:rsidRPr="00687565">
              <w:rPr>
                <w:rFonts w:cs="Arial"/>
                <w:sz w:val="18"/>
                <w:szCs w:val="18"/>
              </w:rPr>
              <w:t>Bibliotecaris</w:t>
            </w:r>
          </w:p>
        </w:tc>
        <w:tc>
          <w:tcPr>
            <w:tcW w:w="0" w:type="auto"/>
            <w:tcBorders>
              <w:top w:val="single" w:sz="12" w:space="0" w:color="0070C0"/>
            </w:tcBorders>
          </w:tcPr>
          <w:p w:rsidR="00AD76E0" w:rsidRPr="00687565" w:rsidRDefault="00AD76E0" w:rsidP="00AD76E0">
            <w:pPr>
              <w:spacing w:before="0" w:line="276" w:lineRule="auto"/>
              <w:jc w:val="left"/>
              <w:rPr>
                <w:rFonts w:cs="Arial"/>
                <w:sz w:val="18"/>
                <w:szCs w:val="18"/>
              </w:rPr>
            </w:pPr>
            <w:r w:rsidRPr="00687565">
              <w:rPr>
                <w:rFonts w:cs="Arial"/>
                <w:sz w:val="18"/>
                <w:szCs w:val="18"/>
              </w:rPr>
              <w:t>37,5h en cicles de 7 dies</w:t>
            </w:r>
          </w:p>
        </w:tc>
        <w:tc>
          <w:tcPr>
            <w:tcW w:w="0" w:type="auto"/>
            <w:tcBorders>
              <w:top w:val="single" w:sz="12" w:space="0" w:color="0070C0"/>
            </w:tcBorders>
          </w:tcPr>
          <w:p w:rsidR="00AD76E0" w:rsidRPr="00687565" w:rsidRDefault="00AD76E0" w:rsidP="00AD76E0">
            <w:pPr>
              <w:spacing w:before="0" w:line="276" w:lineRule="auto"/>
              <w:jc w:val="left"/>
              <w:rPr>
                <w:rFonts w:cs="Arial"/>
                <w:sz w:val="18"/>
                <w:szCs w:val="18"/>
              </w:rPr>
            </w:pPr>
            <w:r w:rsidRPr="00687565">
              <w:rPr>
                <w:rFonts w:cs="Arial"/>
                <w:sz w:val="18"/>
                <w:szCs w:val="18"/>
              </w:rPr>
              <w:t>Ordinària (7h + 1 tarda)</w:t>
            </w:r>
          </w:p>
          <w:p w:rsidR="00AD76E0" w:rsidRPr="00687565" w:rsidRDefault="00AD76E0" w:rsidP="00AD76E0">
            <w:pPr>
              <w:spacing w:before="0" w:line="276" w:lineRule="auto"/>
              <w:jc w:val="left"/>
              <w:rPr>
                <w:rFonts w:cs="Arial"/>
                <w:sz w:val="18"/>
                <w:szCs w:val="18"/>
              </w:rPr>
            </w:pPr>
            <w:r w:rsidRPr="00687565">
              <w:rPr>
                <w:rFonts w:cs="Arial"/>
                <w:sz w:val="18"/>
                <w:szCs w:val="18"/>
              </w:rPr>
              <w:t>Acumulat (2 dies en torn de matí i 2 dies en torn matí i tarda)</w:t>
            </w:r>
          </w:p>
        </w:tc>
      </w:tr>
      <w:tr w:rsidR="00AD76E0" w:rsidRPr="00687565" w:rsidTr="00AD76E0">
        <w:tc>
          <w:tcPr>
            <w:tcW w:w="0" w:type="auto"/>
          </w:tcPr>
          <w:p w:rsidR="00AD76E0" w:rsidRPr="00687565" w:rsidRDefault="00AD76E0" w:rsidP="00AD76E0">
            <w:pPr>
              <w:spacing w:before="0" w:line="276" w:lineRule="auto"/>
              <w:jc w:val="left"/>
              <w:rPr>
                <w:rFonts w:cs="Arial"/>
                <w:sz w:val="18"/>
                <w:szCs w:val="18"/>
              </w:rPr>
            </w:pPr>
            <w:r w:rsidRPr="00687565">
              <w:rPr>
                <w:rFonts w:cs="Arial"/>
                <w:sz w:val="18"/>
                <w:szCs w:val="18"/>
              </w:rPr>
              <w:t>Educadors socials</w:t>
            </w:r>
          </w:p>
        </w:tc>
        <w:tc>
          <w:tcPr>
            <w:tcW w:w="0" w:type="auto"/>
          </w:tcPr>
          <w:p w:rsidR="00AD76E0" w:rsidRPr="00687565" w:rsidRDefault="00AD76E0" w:rsidP="00AD76E0">
            <w:pPr>
              <w:spacing w:before="0" w:line="276" w:lineRule="auto"/>
              <w:jc w:val="left"/>
              <w:rPr>
                <w:rFonts w:cs="Arial"/>
                <w:sz w:val="18"/>
                <w:szCs w:val="18"/>
              </w:rPr>
            </w:pPr>
            <w:r w:rsidRPr="00687565">
              <w:rPr>
                <w:rFonts w:cs="Arial"/>
                <w:sz w:val="18"/>
                <w:szCs w:val="18"/>
              </w:rPr>
              <w:t>37,5h en cicles de 7 dies</w:t>
            </w:r>
          </w:p>
        </w:tc>
        <w:tc>
          <w:tcPr>
            <w:tcW w:w="0" w:type="auto"/>
          </w:tcPr>
          <w:p w:rsidR="00AD76E0" w:rsidRPr="00687565" w:rsidRDefault="00AD76E0" w:rsidP="00AD76E0">
            <w:pPr>
              <w:spacing w:before="0" w:line="276" w:lineRule="auto"/>
              <w:jc w:val="left"/>
              <w:rPr>
                <w:rFonts w:cs="Arial"/>
                <w:sz w:val="18"/>
                <w:szCs w:val="18"/>
              </w:rPr>
            </w:pPr>
            <w:r w:rsidRPr="00687565">
              <w:rPr>
                <w:rFonts w:cs="Arial"/>
                <w:sz w:val="18"/>
                <w:szCs w:val="18"/>
              </w:rPr>
              <w:t>Ordinària (matí o tarda 7,5h)</w:t>
            </w:r>
          </w:p>
          <w:p w:rsidR="00AD76E0" w:rsidRPr="00687565" w:rsidRDefault="00AD76E0" w:rsidP="00AD76E0">
            <w:pPr>
              <w:spacing w:before="0" w:line="276" w:lineRule="auto"/>
              <w:jc w:val="left"/>
              <w:rPr>
                <w:rFonts w:cs="Arial"/>
                <w:sz w:val="18"/>
                <w:szCs w:val="18"/>
              </w:rPr>
            </w:pPr>
            <w:r w:rsidRPr="00687565">
              <w:rPr>
                <w:rFonts w:cs="Arial"/>
                <w:sz w:val="18"/>
                <w:szCs w:val="18"/>
              </w:rPr>
              <w:t>Acumulat (2 dies en torn de matí i 2 dies en torn matí i tarda)</w:t>
            </w:r>
          </w:p>
        </w:tc>
      </w:tr>
      <w:tr w:rsidR="00AD76E0" w:rsidRPr="00687565" w:rsidTr="00AD76E0">
        <w:tc>
          <w:tcPr>
            <w:tcW w:w="0" w:type="auto"/>
          </w:tcPr>
          <w:p w:rsidR="00AD76E0" w:rsidRPr="00687565" w:rsidRDefault="00AD76E0" w:rsidP="00AD76E0">
            <w:pPr>
              <w:spacing w:before="0" w:line="276" w:lineRule="auto"/>
              <w:jc w:val="left"/>
              <w:rPr>
                <w:rFonts w:cs="Arial"/>
                <w:sz w:val="18"/>
                <w:szCs w:val="18"/>
              </w:rPr>
            </w:pPr>
            <w:r w:rsidRPr="00687565">
              <w:rPr>
                <w:rFonts w:cs="Arial"/>
                <w:sz w:val="18"/>
                <w:szCs w:val="18"/>
              </w:rPr>
              <w:t>Caps de Programa</w:t>
            </w:r>
          </w:p>
          <w:p w:rsidR="00AD76E0" w:rsidRPr="00687565" w:rsidRDefault="00AD76E0" w:rsidP="00AD76E0">
            <w:pPr>
              <w:spacing w:before="0" w:line="276" w:lineRule="auto"/>
              <w:jc w:val="left"/>
              <w:rPr>
                <w:rFonts w:cs="Arial"/>
                <w:sz w:val="18"/>
                <w:szCs w:val="18"/>
              </w:rPr>
            </w:pPr>
            <w:r w:rsidRPr="00687565">
              <w:rPr>
                <w:rFonts w:cs="Arial"/>
                <w:sz w:val="18"/>
                <w:szCs w:val="18"/>
              </w:rPr>
              <w:t>Coordinadors Equips multidisciplinaris</w:t>
            </w:r>
          </w:p>
        </w:tc>
        <w:tc>
          <w:tcPr>
            <w:tcW w:w="0" w:type="auto"/>
          </w:tcPr>
          <w:p w:rsidR="00AD76E0" w:rsidRPr="00687565" w:rsidRDefault="00AD76E0" w:rsidP="00AD76E0">
            <w:pPr>
              <w:spacing w:before="0" w:line="276" w:lineRule="auto"/>
              <w:jc w:val="left"/>
              <w:rPr>
                <w:rFonts w:cs="Arial"/>
                <w:sz w:val="18"/>
                <w:szCs w:val="18"/>
              </w:rPr>
            </w:pPr>
            <w:r w:rsidRPr="00687565">
              <w:rPr>
                <w:rFonts w:cs="Arial"/>
                <w:sz w:val="18"/>
                <w:szCs w:val="18"/>
              </w:rPr>
              <w:t>37,5h en cicles de 7 dies</w:t>
            </w:r>
          </w:p>
        </w:tc>
        <w:tc>
          <w:tcPr>
            <w:tcW w:w="0" w:type="auto"/>
          </w:tcPr>
          <w:p w:rsidR="00AD76E0" w:rsidRPr="00687565" w:rsidRDefault="00AD76E0" w:rsidP="00AD76E0">
            <w:pPr>
              <w:spacing w:before="0" w:line="276" w:lineRule="auto"/>
              <w:jc w:val="left"/>
              <w:rPr>
                <w:rFonts w:cs="Arial"/>
                <w:sz w:val="18"/>
                <w:szCs w:val="18"/>
              </w:rPr>
            </w:pPr>
            <w:r w:rsidRPr="00687565">
              <w:rPr>
                <w:rFonts w:cs="Arial"/>
                <w:sz w:val="18"/>
                <w:szCs w:val="18"/>
              </w:rPr>
              <w:t>Ordinària (7h + 2 tardes)</w:t>
            </w:r>
          </w:p>
          <w:p w:rsidR="00AD76E0" w:rsidRPr="00687565" w:rsidRDefault="00AD76E0" w:rsidP="00AD76E0">
            <w:pPr>
              <w:spacing w:before="0" w:line="276" w:lineRule="auto"/>
              <w:jc w:val="left"/>
              <w:rPr>
                <w:rFonts w:cs="Arial"/>
                <w:sz w:val="18"/>
                <w:szCs w:val="18"/>
              </w:rPr>
            </w:pPr>
            <w:r w:rsidRPr="00687565">
              <w:rPr>
                <w:rFonts w:cs="Arial"/>
                <w:sz w:val="18"/>
                <w:szCs w:val="18"/>
              </w:rPr>
              <w:t>Acumulat (2 dies en torn de matí i 2 dies en torn matí i tarda)</w:t>
            </w:r>
          </w:p>
        </w:tc>
      </w:tr>
    </w:tbl>
    <w:p w:rsidR="00AD76E0" w:rsidRDefault="00AD76E0" w:rsidP="00AD76E0">
      <w:pPr>
        <w:spacing w:before="0" w:after="0" w:line="276" w:lineRule="auto"/>
        <w:rPr>
          <w:b/>
        </w:rPr>
      </w:pPr>
    </w:p>
    <w:p w:rsidR="00AD76E0" w:rsidRDefault="00AD76E0" w:rsidP="00AD76E0">
      <w:pPr>
        <w:spacing w:before="0" w:after="0" w:line="276" w:lineRule="auto"/>
        <w:rPr>
          <w:b/>
        </w:rPr>
      </w:pPr>
    </w:p>
    <w:tbl>
      <w:tblPr>
        <w:tblStyle w:val="Taulaambquadrcula"/>
        <w:tblW w:w="0" w:type="auto"/>
        <w:tblBorders>
          <w:top w:val="none" w:sz="0" w:space="0" w:color="auto"/>
          <w:left w:val="none" w:sz="0" w:space="0" w:color="auto"/>
          <w:bottom w:val="none" w:sz="0" w:space="0" w:color="auto"/>
          <w:right w:val="none" w:sz="0" w:space="0" w:color="auto"/>
          <w:insideH w:val="single" w:sz="12" w:space="0" w:color="0070C0"/>
          <w:insideV w:val="none" w:sz="0" w:space="0" w:color="auto"/>
        </w:tblBorders>
        <w:tblLook w:val="04A0" w:firstRow="1" w:lastRow="0" w:firstColumn="1" w:lastColumn="0" w:noHBand="0" w:noVBand="1"/>
      </w:tblPr>
      <w:tblGrid>
        <w:gridCol w:w="1636"/>
        <w:gridCol w:w="1647"/>
        <w:gridCol w:w="5500"/>
      </w:tblGrid>
      <w:tr w:rsidR="00AD76E0" w:rsidRPr="00687565" w:rsidTr="00AD76E0">
        <w:tc>
          <w:tcPr>
            <w:tcW w:w="0" w:type="auto"/>
            <w:tcBorders>
              <w:top w:val="nil"/>
              <w:bottom w:val="single" w:sz="12" w:space="0" w:color="0070C0"/>
            </w:tcBorders>
            <w:shd w:val="clear" w:color="auto" w:fill="C6D9F1" w:themeFill="text2" w:themeFillTint="33"/>
            <w:vAlign w:val="center"/>
          </w:tcPr>
          <w:p w:rsidR="00AD76E0" w:rsidRPr="00687565" w:rsidRDefault="00AD76E0" w:rsidP="00AD76E0">
            <w:pPr>
              <w:spacing w:before="0" w:line="276" w:lineRule="auto"/>
              <w:jc w:val="center"/>
              <w:rPr>
                <w:rFonts w:cs="Arial"/>
                <w:b/>
                <w:sz w:val="18"/>
                <w:szCs w:val="18"/>
              </w:rPr>
            </w:pPr>
            <w:r w:rsidRPr="00687565">
              <w:rPr>
                <w:rFonts w:cs="Arial"/>
                <w:b/>
                <w:sz w:val="18"/>
                <w:szCs w:val="18"/>
              </w:rPr>
              <w:t>ÀMBIT</w:t>
            </w:r>
          </w:p>
          <w:p w:rsidR="00AD76E0" w:rsidRPr="00687565" w:rsidRDefault="00AD76E0" w:rsidP="00AD76E0">
            <w:pPr>
              <w:spacing w:before="0" w:line="276" w:lineRule="auto"/>
              <w:jc w:val="center"/>
              <w:rPr>
                <w:rFonts w:cs="Arial"/>
                <w:b/>
                <w:sz w:val="18"/>
                <w:szCs w:val="18"/>
              </w:rPr>
            </w:pPr>
            <w:r w:rsidRPr="00687565">
              <w:rPr>
                <w:rFonts w:cs="Arial"/>
                <w:b/>
                <w:sz w:val="18"/>
                <w:szCs w:val="18"/>
              </w:rPr>
              <w:t>ADMINISTRATIU</w:t>
            </w:r>
          </w:p>
        </w:tc>
        <w:tc>
          <w:tcPr>
            <w:tcW w:w="0" w:type="auto"/>
            <w:tcBorders>
              <w:top w:val="nil"/>
              <w:bottom w:val="single" w:sz="12" w:space="0" w:color="0070C0"/>
            </w:tcBorders>
            <w:shd w:val="clear" w:color="auto" w:fill="C6D9F1" w:themeFill="text2" w:themeFillTint="33"/>
            <w:vAlign w:val="center"/>
          </w:tcPr>
          <w:p w:rsidR="00AD76E0" w:rsidRPr="00687565" w:rsidRDefault="00AD76E0" w:rsidP="00AD76E0">
            <w:pPr>
              <w:spacing w:before="0" w:line="276" w:lineRule="auto"/>
              <w:jc w:val="center"/>
              <w:rPr>
                <w:rFonts w:cs="Arial"/>
                <w:b/>
                <w:sz w:val="18"/>
                <w:szCs w:val="18"/>
              </w:rPr>
            </w:pPr>
            <w:r w:rsidRPr="00687565">
              <w:rPr>
                <w:rFonts w:cs="Arial"/>
                <w:b/>
                <w:sz w:val="18"/>
                <w:szCs w:val="18"/>
              </w:rPr>
              <w:t>Jornada</w:t>
            </w:r>
          </w:p>
        </w:tc>
        <w:tc>
          <w:tcPr>
            <w:tcW w:w="0" w:type="auto"/>
            <w:tcBorders>
              <w:top w:val="nil"/>
              <w:bottom w:val="single" w:sz="12" w:space="0" w:color="0070C0"/>
            </w:tcBorders>
            <w:shd w:val="clear" w:color="auto" w:fill="C6D9F1" w:themeFill="text2" w:themeFillTint="33"/>
            <w:vAlign w:val="center"/>
          </w:tcPr>
          <w:p w:rsidR="00AD76E0" w:rsidRPr="00687565" w:rsidRDefault="00AD76E0" w:rsidP="00AD76E0">
            <w:pPr>
              <w:spacing w:before="0" w:line="276" w:lineRule="auto"/>
              <w:jc w:val="center"/>
              <w:rPr>
                <w:rFonts w:cs="Arial"/>
                <w:b/>
                <w:sz w:val="18"/>
                <w:szCs w:val="18"/>
              </w:rPr>
            </w:pPr>
            <w:r w:rsidRPr="00687565">
              <w:rPr>
                <w:rFonts w:cs="Arial"/>
                <w:b/>
                <w:sz w:val="18"/>
                <w:szCs w:val="18"/>
              </w:rPr>
              <w:t>Modalitats horàries</w:t>
            </w:r>
          </w:p>
        </w:tc>
      </w:tr>
      <w:tr w:rsidR="00AD76E0" w:rsidRPr="00687565" w:rsidTr="00AD76E0">
        <w:tc>
          <w:tcPr>
            <w:tcW w:w="0" w:type="auto"/>
            <w:tcBorders>
              <w:top w:val="single" w:sz="12" w:space="0" w:color="0070C0"/>
            </w:tcBorders>
          </w:tcPr>
          <w:p w:rsidR="00AD76E0" w:rsidRPr="00687565" w:rsidRDefault="00AD76E0" w:rsidP="00AD76E0">
            <w:pPr>
              <w:spacing w:before="0" w:line="276" w:lineRule="auto"/>
              <w:jc w:val="left"/>
              <w:rPr>
                <w:rFonts w:cs="Arial"/>
                <w:sz w:val="18"/>
                <w:szCs w:val="18"/>
              </w:rPr>
            </w:pPr>
            <w:r w:rsidRPr="00687565">
              <w:rPr>
                <w:rFonts w:cs="Arial"/>
                <w:sz w:val="18"/>
                <w:szCs w:val="18"/>
              </w:rPr>
              <w:t>Oficines</w:t>
            </w:r>
          </w:p>
        </w:tc>
        <w:tc>
          <w:tcPr>
            <w:tcW w:w="0" w:type="auto"/>
            <w:tcBorders>
              <w:top w:val="single" w:sz="12" w:space="0" w:color="0070C0"/>
            </w:tcBorders>
          </w:tcPr>
          <w:p w:rsidR="00AD76E0" w:rsidRPr="00687565" w:rsidRDefault="00AD76E0" w:rsidP="00AD76E0">
            <w:pPr>
              <w:spacing w:before="0" w:line="276" w:lineRule="auto"/>
              <w:jc w:val="left"/>
              <w:rPr>
                <w:rFonts w:cs="Arial"/>
                <w:sz w:val="18"/>
                <w:szCs w:val="18"/>
              </w:rPr>
            </w:pPr>
            <w:r w:rsidRPr="00687565">
              <w:rPr>
                <w:rFonts w:cs="Arial"/>
                <w:sz w:val="18"/>
                <w:szCs w:val="18"/>
              </w:rPr>
              <w:t>37,5h  de Dll a Dv</w:t>
            </w:r>
          </w:p>
        </w:tc>
        <w:tc>
          <w:tcPr>
            <w:tcW w:w="0" w:type="auto"/>
            <w:tcBorders>
              <w:top w:val="single" w:sz="12" w:space="0" w:color="0070C0"/>
            </w:tcBorders>
          </w:tcPr>
          <w:p w:rsidR="00AD76E0" w:rsidRPr="00687565" w:rsidRDefault="00AD76E0" w:rsidP="00AD76E0">
            <w:pPr>
              <w:spacing w:before="0" w:line="276" w:lineRule="auto"/>
              <w:rPr>
                <w:rFonts w:cs="Arial"/>
                <w:sz w:val="18"/>
                <w:szCs w:val="18"/>
              </w:rPr>
            </w:pPr>
            <w:r w:rsidRPr="00687565">
              <w:rPr>
                <w:rFonts w:cs="Arial"/>
                <w:sz w:val="18"/>
                <w:szCs w:val="18"/>
              </w:rPr>
              <w:t>Horari entre les 7.30 i les 17.00h. Presència obligatòria de 9 a 14h</w:t>
            </w:r>
          </w:p>
        </w:tc>
      </w:tr>
    </w:tbl>
    <w:p w:rsidR="00AD76E0" w:rsidRDefault="00AD76E0" w:rsidP="00AD76E0">
      <w:pPr>
        <w:spacing w:before="0" w:after="0" w:line="276" w:lineRule="auto"/>
        <w:rPr>
          <w:b/>
        </w:rPr>
      </w:pPr>
    </w:p>
    <w:p w:rsidR="00AD76E0" w:rsidRDefault="00AD76E0" w:rsidP="00AD76E0">
      <w:pPr>
        <w:spacing w:before="0" w:after="0" w:line="276" w:lineRule="auto"/>
        <w:rPr>
          <w:b/>
        </w:rPr>
      </w:pPr>
    </w:p>
    <w:tbl>
      <w:tblPr>
        <w:tblStyle w:val="Taulaambquadrcula"/>
        <w:tblW w:w="0" w:type="auto"/>
        <w:tblBorders>
          <w:top w:val="none" w:sz="0" w:space="0" w:color="auto"/>
          <w:left w:val="none" w:sz="0" w:space="0" w:color="auto"/>
          <w:bottom w:val="none" w:sz="0" w:space="0" w:color="auto"/>
          <w:right w:val="none" w:sz="0" w:space="0" w:color="auto"/>
          <w:insideH w:val="single" w:sz="12" w:space="0" w:color="0070C0"/>
          <w:insideV w:val="none" w:sz="0" w:space="0" w:color="auto"/>
        </w:tblBorders>
        <w:tblLook w:val="04A0" w:firstRow="1" w:lastRow="0" w:firstColumn="1" w:lastColumn="0" w:noHBand="0" w:noVBand="1"/>
      </w:tblPr>
      <w:tblGrid>
        <w:gridCol w:w="1825"/>
        <w:gridCol w:w="7462"/>
      </w:tblGrid>
      <w:tr w:rsidR="00AD76E0" w:rsidRPr="00687565" w:rsidTr="00AD76E0">
        <w:tc>
          <w:tcPr>
            <w:tcW w:w="0" w:type="auto"/>
            <w:tcBorders>
              <w:top w:val="nil"/>
              <w:bottom w:val="single" w:sz="12" w:space="0" w:color="0070C0"/>
            </w:tcBorders>
            <w:shd w:val="clear" w:color="auto" w:fill="C6D9F1" w:themeFill="text2" w:themeFillTint="33"/>
            <w:vAlign w:val="center"/>
          </w:tcPr>
          <w:p w:rsidR="00AD76E0" w:rsidRPr="00687565" w:rsidRDefault="00AD76E0" w:rsidP="00AD76E0">
            <w:pPr>
              <w:spacing w:before="0" w:line="276" w:lineRule="auto"/>
              <w:jc w:val="center"/>
              <w:rPr>
                <w:rFonts w:cs="Arial"/>
                <w:b/>
                <w:sz w:val="18"/>
                <w:szCs w:val="18"/>
              </w:rPr>
            </w:pPr>
            <w:r w:rsidRPr="00687565">
              <w:rPr>
                <w:rFonts w:cs="Arial"/>
                <w:b/>
                <w:sz w:val="18"/>
                <w:szCs w:val="18"/>
              </w:rPr>
              <w:t>MEDI OBERT</w:t>
            </w:r>
          </w:p>
        </w:tc>
        <w:tc>
          <w:tcPr>
            <w:tcW w:w="0" w:type="auto"/>
            <w:tcBorders>
              <w:top w:val="nil"/>
              <w:bottom w:val="single" w:sz="12" w:space="0" w:color="0070C0"/>
            </w:tcBorders>
            <w:shd w:val="clear" w:color="auto" w:fill="C6D9F1" w:themeFill="text2" w:themeFillTint="33"/>
            <w:vAlign w:val="center"/>
          </w:tcPr>
          <w:p w:rsidR="00AD76E0" w:rsidRPr="00687565" w:rsidRDefault="00AD76E0" w:rsidP="00AD76E0">
            <w:pPr>
              <w:spacing w:before="0" w:line="276" w:lineRule="auto"/>
              <w:jc w:val="center"/>
              <w:rPr>
                <w:rFonts w:cs="Arial"/>
                <w:b/>
                <w:sz w:val="18"/>
                <w:szCs w:val="18"/>
              </w:rPr>
            </w:pPr>
            <w:r w:rsidRPr="00687565">
              <w:rPr>
                <w:rFonts w:cs="Arial"/>
                <w:b/>
                <w:sz w:val="18"/>
                <w:szCs w:val="18"/>
              </w:rPr>
              <w:t>Modalitats horàries</w:t>
            </w:r>
          </w:p>
        </w:tc>
      </w:tr>
      <w:tr w:rsidR="00AD76E0" w:rsidRPr="00687565" w:rsidTr="00AD76E0">
        <w:tc>
          <w:tcPr>
            <w:tcW w:w="0" w:type="auto"/>
            <w:tcBorders>
              <w:top w:val="single" w:sz="12" w:space="0" w:color="0070C0"/>
            </w:tcBorders>
          </w:tcPr>
          <w:p w:rsidR="00AD76E0" w:rsidRPr="00687565" w:rsidRDefault="00AD76E0" w:rsidP="00AD76E0">
            <w:pPr>
              <w:spacing w:before="0" w:line="276" w:lineRule="auto"/>
              <w:jc w:val="left"/>
              <w:rPr>
                <w:rFonts w:cs="Arial"/>
                <w:sz w:val="18"/>
                <w:szCs w:val="18"/>
              </w:rPr>
            </w:pPr>
            <w:r w:rsidRPr="00687565">
              <w:rPr>
                <w:rFonts w:cs="Arial"/>
                <w:sz w:val="18"/>
                <w:szCs w:val="18"/>
              </w:rPr>
              <w:t>Rehabilitació</w:t>
            </w:r>
          </w:p>
        </w:tc>
        <w:tc>
          <w:tcPr>
            <w:tcW w:w="0" w:type="auto"/>
            <w:tcBorders>
              <w:top w:val="single" w:sz="12" w:space="0" w:color="0070C0"/>
            </w:tcBorders>
          </w:tcPr>
          <w:p w:rsidR="00AD76E0" w:rsidRPr="00687565" w:rsidRDefault="00AD76E0" w:rsidP="00AD76E0">
            <w:pPr>
              <w:spacing w:before="0" w:line="276" w:lineRule="auto"/>
              <w:rPr>
                <w:rFonts w:cs="Arial"/>
                <w:sz w:val="18"/>
                <w:szCs w:val="18"/>
              </w:rPr>
            </w:pPr>
            <w:r w:rsidRPr="00687565">
              <w:rPr>
                <w:rFonts w:cs="Arial"/>
                <w:sz w:val="18"/>
                <w:szCs w:val="18"/>
              </w:rPr>
              <w:t>4 jornades de matí i 1 jornada en horari de tarda.</w:t>
            </w:r>
          </w:p>
        </w:tc>
      </w:tr>
      <w:tr w:rsidR="00AD76E0" w:rsidRPr="00687565" w:rsidTr="00AD76E0">
        <w:tc>
          <w:tcPr>
            <w:tcW w:w="0" w:type="auto"/>
          </w:tcPr>
          <w:p w:rsidR="00AD76E0" w:rsidRPr="00687565" w:rsidRDefault="00AD76E0" w:rsidP="00AD76E0">
            <w:pPr>
              <w:spacing w:before="0" w:line="276" w:lineRule="auto"/>
              <w:jc w:val="left"/>
              <w:rPr>
                <w:rFonts w:cs="Arial"/>
                <w:sz w:val="18"/>
                <w:szCs w:val="18"/>
              </w:rPr>
            </w:pPr>
            <w:r w:rsidRPr="00687565">
              <w:rPr>
                <w:rFonts w:cs="Arial"/>
                <w:sz w:val="18"/>
                <w:szCs w:val="18"/>
              </w:rPr>
              <w:t>Genèric MO</w:t>
            </w:r>
          </w:p>
        </w:tc>
        <w:tc>
          <w:tcPr>
            <w:tcW w:w="0" w:type="auto"/>
          </w:tcPr>
          <w:p w:rsidR="00AD76E0" w:rsidRPr="00687565" w:rsidRDefault="00AD76E0" w:rsidP="00AD76E0">
            <w:pPr>
              <w:spacing w:before="0" w:line="276" w:lineRule="auto"/>
              <w:rPr>
                <w:rFonts w:cs="Arial"/>
                <w:sz w:val="18"/>
                <w:szCs w:val="18"/>
              </w:rPr>
            </w:pPr>
            <w:r w:rsidRPr="00687565">
              <w:rPr>
                <w:rFonts w:cs="Arial"/>
                <w:sz w:val="18"/>
                <w:szCs w:val="18"/>
              </w:rPr>
              <w:t>En els CO BCN i LLD: cicles de 8 dies: 3M-1M/N- 4LL o 3T-1T/N-4LL o M/T, M/T-N. En els CO TRN i GRN: M/T-T/N- 4LL</w:t>
            </w:r>
          </w:p>
        </w:tc>
      </w:tr>
      <w:tr w:rsidR="00AD76E0" w:rsidRPr="00687565" w:rsidTr="00AD76E0">
        <w:tc>
          <w:tcPr>
            <w:tcW w:w="0" w:type="auto"/>
          </w:tcPr>
          <w:p w:rsidR="00AD76E0" w:rsidRPr="00687565" w:rsidRDefault="00AD76E0" w:rsidP="00AD76E0">
            <w:pPr>
              <w:spacing w:before="0" w:line="276" w:lineRule="auto"/>
              <w:jc w:val="left"/>
              <w:rPr>
                <w:rFonts w:cs="Arial"/>
                <w:sz w:val="18"/>
                <w:szCs w:val="18"/>
              </w:rPr>
            </w:pPr>
            <w:r w:rsidRPr="00687565">
              <w:rPr>
                <w:rFonts w:cs="Arial"/>
                <w:sz w:val="18"/>
                <w:szCs w:val="18"/>
              </w:rPr>
              <w:t>Comandament Règim Interior</w:t>
            </w:r>
          </w:p>
        </w:tc>
        <w:tc>
          <w:tcPr>
            <w:tcW w:w="0" w:type="auto"/>
          </w:tcPr>
          <w:p w:rsidR="00AD76E0" w:rsidRPr="00687565" w:rsidRDefault="00AD76E0" w:rsidP="00AD76E0">
            <w:pPr>
              <w:spacing w:before="0" w:line="276" w:lineRule="auto"/>
              <w:rPr>
                <w:rFonts w:cs="Arial"/>
                <w:sz w:val="18"/>
                <w:szCs w:val="18"/>
              </w:rPr>
            </w:pPr>
            <w:r w:rsidRPr="00687565">
              <w:rPr>
                <w:rFonts w:cs="Arial"/>
                <w:sz w:val="18"/>
                <w:szCs w:val="18"/>
              </w:rPr>
              <w:t>Torns de matí, tarda i nit. Jornades diürnes de 7,30hores. Nocturnes d’ 11 hores. M: 7.45 a 15.15h., T: 14.45 a 22.15h., N: 24.45 a 8.15h.</w:t>
            </w:r>
          </w:p>
          <w:p w:rsidR="00AD76E0" w:rsidRPr="00687565" w:rsidRDefault="00AD76E0" w:rsidP="00AD76E0">
            <w:pPr>
              <w:spacing w:before="0" w:line="276" w:lineRule="auto"/>
              <w:jc w:val="center"/>
              <w:rPr>
                <w:rFonts w:cs="Arial"/>
                <w:sz w:val="18"/>
                <w:szCs w:val="18"/>
              </w:rPr>
            </w:pPr>
            <w:r w:rsidRPr="00687565">
              <w:rPr>
                <w:rFonts w:cs="Arial"/>
                <w:sz w:val="18"/>
                <w:szCs w:val="18"/>
              </w:rPr>
              <w:t xml:space="preserve">&gt; De l’1/01 al 30/06 i l’1/10 al 31/12 la cadència és de 2*4, de manera que la </w:t>
            </w:r>
            <w:r w:rsidRPr="00673D88">
              <w:rPr>
                <w:rFonts w:cs="Arial"/>
                <w:b/>
                <w:sz w:val="18"/>
                <w:szCs w:val="18"/>
              </w:rPr>
              <w:t>primera</w:t>
            </w:r>
            <w:r w:rsidRPr="00687565">
              <w:rPr>
                <w:rFonts w:cs="Arial"/>
                <w:sz w:val="18"/>
                <w:szCs w:val="18"/>
              </w:rPr>
              <w:t xml:space="preserve"> jornada laboral del cicle es desenvolupa en horari de matí; i la segona, de tarda-nit. A aquestes dues jornades li segueixen 4 dies de lliurança.</w:t>
            </w:r>
          </w:p>
          <w:p w:rsidR="00AD76E0" w:rsidRPr="00687565" w:rsidRDefault="00AD76E0" w:rsidP="00AD76E0">
            <w:pPr>
              <w:spacing w:before="0" w:line="276" w:lineRule="auto"/>
              <w:rPr>
                <w:rFonts w:cs="Arial"/>
                <w:sz w:val="18"/>
                <w:szCs w:val="18"/>
              </w:rPr>
            </w:pPr>
            <w:r w:rsidRPr="00687565">
              <w:rPr>
                <w:rFonts w:cs="Arial"/>
                <w:sz w:val="18"/>
                <w:szCs w:val="18"/>
              </w:rPr>
              <w:t>&gt; De l’1/07 al 30/09 la cadència és de 1*3, de manera que la primera i única jornada laboral del cicle es desenvolupa en horari de tarda-nit, a aquesta li segueixen 3 dies de lliurança.</w:t>
            </w:r>
          </w:p>
          <w:p w:rsidR="00AD76E0" w:rsidRPr="00687565" w:rsidRDefault="00AD76E0" w:rsidP="00AD76E0">
            <w:pPr>
              <w:spacing w:before="0" w:line="276" w:lineRule="auto"/>
              <w:rPr>
                <w:rFonts w:cs="Arial"/>
                <w:sz w:val="18"/>
                <w:szCs w:val="18"/>
              </w:rPr>
            </w:pPr>
            <w:r w:rsidRPr="00687565">
              <w:rPr>
                <w:rFonts w:cs="Arial"/>
                <w:sz w:val="18"/>
                <w:szCs w:val="18"/>
              </w:rPr>
              <w:t>&gt; CO Tarragona i CO Girona: Horari 2*3: M/T-N-LL-LL-LL. Horari M/T: De 7.30 a 22h. Horari N: De 21.15 a 7.45h.</w:t>
            </w:r>
          </w:p>
        </w:tc>
      </w:tr>
    </w:tbl>
    <w:p w:rsidR="004F79B9" w:rsidRDefault="004F79B9" w:rsidP="004F79B9"/>
    <w:tbl>
      <w:tblPr>
        <w:tblpPr w:leftFromText="45" w:rightFromText="45" w:vertAnchor="text"/>
        <w:tblW w:w="5000" w:type="pct"/>
        <w:tblCellSpacing w:w="0" w:type="dxa"/>
        <w:tblCellMar>
          <w:left w:w="0" w:type="dxa"/>
          <w:right w:w="0" w:type="dxa"/>
        </w:tblCellMar>
        <w:tblLook w:val="04A0" w:firstRow="1" w:lastRow="0" w:firstColumn="1" w:lastColumn="0" w:noHBand="0" w:noVBand="1"/>
      </w:tblPr>
      <w:tblGrid>
        <w:gridCol w:w="9086"/>
      </w:tblGrid>
      <w:tr w:rsidR="004F79B9" w:rsidTr="004F79B9">
        <w:trPr>
          <w:tblCellSpacing w:w="0" w:type="dxa"/>
        </w:trPr>
        <w:tc>
          <w:tcPr>
            <w:tcW w:w="0" w:type="auto"/>
            <w:tcMar>
              <w:top w:w="15" w:type="dxa"/>
              <w:left w:w="15" w:type="dxa"/>
              <w:bottom w:w="210" w:type="dxa"/>
              <w:right w:w="0" w:type="dxa"/>
            </w:tcMar>
            <w:vAlign w:val="center"/>
          </w:tcPr>
          <w:p w:rsidR="004F79B9" w:rsidRDefault="004F79B9">
            <w:pPr>
              <w:spacing w:line="276" w:lineRule="auto"/>
              <w:rPr>
                <w:rFonts w:ascii="Verdana" w:hAnsi="Verdana"/>
              </w:rPr>
            </w:pPr>
            <w:r>
              <w:t>Les modalitats horàries</w:t>
            </w:r>
            <w:r>
              <w:rPr>
                <w:color w:val="000000"/>
              </w:rPr>
              <w:t xml:space="preserve"> - sovint amb decisió dels treballadors- </w:t>
            </w:r>
            <w:r>
              <w:t>que recull aquest quadre dificulten la gestió, tenen un compliment diferenciat segons els centres i</w:t>
            </w:r>
            <w:r>
              <w:rPr>
                <w:color w:val="000000"/>
              </w:rPr>
              <w:t>,</w:t>
            </w:r>
            <w:r>
              <w:t xml:space="preserve"> en la pràctica</w:t>
            </w:r>
            <w:r>
              <w:rPr>
                <w:color w:val="000000"/>
              </w:rPr>
              <w:t>,</w:t>
            </w:r>
            <w:r>
              <w:t xml:space="preserve"> estan generant problemes en alguns dels col·lectius afectats.</w:t>
            </w:r>
          </w:p>
          <w:p w:rsidR="004F79B9" w:rsidRDefault="004F79B9">
            <w:pPr>
              <w:spacing w:line="276" w:lineRule="auto"/>
            </w:pPr>
            <w:r>
              <w:t xml:space="preserve">En el concepte de jornada </w:t>
            </w:r>
            <w:r>
              <w:rPr>
                <w:color w:val="000000"/>
              </w:rPr>
              <w:t>doble/</w:t>
            </w:r>
            <w:r>
              <w:t>acumulada</w:t>
            </w:r>
            <w:r>
              <w:rPr>
                <w:color w:val="000000"/>
              </w:rPr>
              <w:t xml:space="preserve"> en un únic dia natural és de tot necessari </w:t>
            </w:r>
            <w:r>
              <w:t> valorar</w:t>
            </w:r>
            <w:r>
              <w:rPr>
                <w:color w:val="000000"/>
              </w:rPr>
              <w:t xml:space="preserve"> aquesta </w:t>
            </w:r>
            <w:r>
              <w:t xml:space="preserve">concentració horària que es produeix en poques jornades de treball, </w:t>
            </w:r>
            <w:r>
              <w:rPr>
                <w:color w:val="000000"/>
              </w:rPr>
              <w:t xml:space="preserve">ja que </w:t>
            </w:r>
            <w:r>
              <w:t>que pot contravenir la normativa laboral general i els descansos mínims exigits entre jornades de treball</w:t>
            </w:r>
            <w:r>
              <w:rPr>
                <w:color w:val="000000"/>
              </w:rPr>
              <w:t>.</w:t>
            </w:r>
          </w:p>
          <w:p w:rsidR="004F79B9" w:rsidRPr="00A60BB6" w:rsidRDefault="004F79B9" w:rsidP="00A60BB6">
            <w:pPr>
              <w:spacing w:line="276" w:lineRule="auto"/>
            </w:pPr>
            <w:r>
              <w:rPr>
                <w:color w:val="000000"/>
              </w:rPr>
              <w:t xml:space="preserve">Per aquest motiu, és </w:t>
            </w:r>
            <w:r>
              <w:t>important la valoració de les necessitats del servei</w:t>
            </w:r>
            <w:r>
              <w:rPr>
                <w:color w:val="000000"/>
              </w:rPr>
              <w:t xml:space="preserve"> (permanència i continuïtat en el centre de treball) amb</w:t>
            </w:r>
            <w:r>
              <w:t xml:space="preserve"> una bona adaptació de l’horari i jornada de treball, per poder fer un correcte dimensionament de plantilles amb criteris d’eficàcia, eficiència i legalitat a la normativa laboral.</w:t>
            </w:r>
          </w:p>
        </w:tc>
      </w:tr>
    </w:tbl>
    <w:p w:rsidR="00AD76E0" w:rsidRPr="00EE7913" w:rsidRDefault="00AD76E0" w:rsidP="004F79B9">
      <w:pPr>
        <w:spacing w:before="0" w:after="0" w:line="276" w:lineRule="auto"/>
      </w:pPr>
    </w:p>
    <w:p w:rsidR="00AD76E0" w:rsidRPr="00AC6895" w:rsidRDefault="00AD76E0" w:rsidP="0070401F">
      <w:pPr>
        <w:pStyle w:val="Ttol4"/>
      </w:pPr>
      <w:bookmarkStart w:id="485" w:name="_Toc464726392"/>
      <w:r w:rsidRPr="00AC6895">
        <w:lastRenderedPageBreak/>
        <w:t>Sistema retributiu: complements personals i complements del lloc</w:t>
      </w:r>
      <w:bookmarkEnd w:id="485"/>
    </w:p>
    <w:p w:rsidR="00AD76E0" w:rsidRPr="00EE7913" w:rsidRDefault="00AD76E0" w:rsidP="00AD76E0">
      <w:pPr>
        <w:spacing w:before="0" w:after="0" w:line="276" w:lineRule="auto"/>
      </w:pPr>
    </w:p>
    <w:p w:rsidR="00AD76E0" w:rsidRDefault="00AD76E0" w:rsidP="00AD76E0">
      <w:pPr>
        <w:spacing w:before="0" w:after="0" w:line="276" w:lineRule="auto"/>
      </w:pPr>
      <w:r>
        <w:t>Les retribucions del personal funcionari es classifiquen en retribucions bàsiques (sou, triennis i pagues extraordinàries) i retribucions complementàries (complement de destinació, complement específic, complement de productivitat i gratificacions extraordinàries).</w:t>
      </w:r>
    </w:p>
    <w:p w:rsidR="00AD76E0" w:rsidRDefault="00AD76E0" w:rsidP="00AD76E0">
      <w:pPr>
        <w:spacing w:before="0" w:after="0" w:line="276" w:lineRule="auto"/>
      </w:pPr>
    </w:p>
    <w:p w:rsidR="00AD76E0" w:rsidRDefault="00AD76E0" w:rsidP="00AD76E0">
      <w:pPr>
        <w:spacing w:before="0" w:after="0" w:line="276" w:lineRule="auto"/>
      </w:pPr>
      <w:r>
        <w:t>L’estructura de llocs i l’estructura retributiva dels llocs de treball dels centres penitenciaris, per raó de l’especificitat del medi, així com dels factors de perillositat i de penalitat que comporta el desenvolupament de les funcions d’aquests llocs, s’ha caracteritzat per l’assignació d’uns nivells de destinació, d’uns complements de destinació i d’uns complements específics més alts que els que s’assignen ordinàriament als llocs de treball adscrits a les dependències administratives dels departaments.</w:t>
      </w:r>
    </w:p>
    <w:p w:rsidR="00AD76E0" w:rsidRDefault="00AD76E0" w:rsidP="00AD76E0">
      <w:pPr>
        <w:spacing w:before="0" w:after="0" w:line="276" w:lineRule="auto"/>
      </w:pPr>
    </w:p>
    <w:p w:rsidR="00AD76E0" w:rsidRDefault="00AD76E0" w:rsidP="00AD76E0">
      <w:pPr>
        <w:spacing w:before="0" w:after="0" w:line="276" w:lineRule="auto"/>
      </w:pPr>
      <w:r>
        <w:t>A banda d’aquestes diferències retributives en relació amb altres col·lectius de funcionaris de l’Administració de la Generalitat de Catalunya, per reconèixer la importància de la funció penitenciària, per motivar el personal que treballa als centres penitenciaris i per reduir els índexs d’absentisme laboral, en el decurs de la història dels serveis penitenciaris de Catalunya s’han articulat diferents programes, que han portat associats els complements retributius</w:t>
      </w:r>
      <w:r w:rsidRPr="00B37CEE">
        <w:t xml:space="preserve"> </w:t>
      </w:r>
      <w:r>
        <w:t>corresponents: el Programa per a la incentivació de la presència efectiva (PIPE), el Programa de normalització dels horaris i de millora del model de prestació del servei (PINHO) i el Programa de rendiment professional (PRP).</w:t>
      </w:r>
    </w:p>
    <w:p w:rsidR="00AD76E0" w:rsidRDefault="00AD76E0" w:rsidP="00AD76E0">
      <w:pPr>
        <w:spacing w:before="0" w:after="0" w:line="276" w:lineRule="auto"/>
      </w:pPr>
    </w:p>
    <w:p w:rsidR="00AD76E0" w:rsidRDefault="00AD76E0" w:rsidP="00AD76E0">
      <w:pPr>
        <w:spacing w:before="0" w:after="0" w:line="276" w:lineRule="auto"/>
      </w:pPr>
      <w:r>
        <w:t>En aquests 32 anys d’història de les institucions penitenciàries catalanes, com a fruit dels diferents acords de condicions de treball i pactes signats per l’Administració de la Generalitat de Catalunya i les organitzacions sindicals, a banda dels increments retributius aplicats amb caràcter general a tots els treballadors de la funció pública, s’han incrementat els nivells de destinació, els complements de destinació i els complements específics dels llocs de treball de l’àmbit penitenciari, s’han requalificat llocs de treball i s’han portat a terme tres convocatòries de promoció en el mateix lloc de treball, amb el resultat de 1.716 promocions de grau.</w:t>
      </w:r>
    </w:p>
    <w:p w:rsidR="00AD76E0" w:rsidRDefault="00AD76E0" w:rsidP="00AD76E0">
      <w:pPr>
        <w:spacing w:before="0" w:after="0" w:line="276" w:lineRule="auto"/>
      </w:pPr>
    </w:p>
    <w:p w:rsidR="00AD76E0" w:rsidRDefault="00AD76E0" w:rsidP="00AD76E0">
      <w:pPr>
        <w:spacing w:before="0" w:after="0" w:line="276" w:lineRule="auto"/>
      </w:pPr>
      <w:r>
        <w:t>Aquestes requalificacions i millores salarials i la implantació dels diferents programes han comportat que, des de l’any 1990 fins a l’any 2016, les retribucions mitjanes brutes del personal penitenciari s’hagin incrementat un 135,85 %.</w:t>
      </w:r>
    </w:p>
    <w:p w:rsidR="00AD76E0" w:rsidRDefault="00AD76E0" w:rsidP="00AD76E0">
      <w:pPr>
        <w:spacing w:before="0" w:after="0" w:line="276" w:lineRule="auto"/>
      </w:pPr>
    </w:p>
    <w:p w:rsidR="00AD76E0" w:rsidRDefault="00AD76E0" w:rsidP="00AD76E0">
      <w:pPr>
        <w:spacing w:before="0" w:after="0" w:line="276" w:lineRule="auto"/>
      </w:pPr>
      <w:r>
        <w:t>Comparant l’evolució de les retribucions del personal de l’àmbit penitenciari amb les del personal de cossos d’administració general i especial que ocupa llocs de treball adscrits a les unitats administratives dels departaments, veiem que en el mateix període de temps, 1990-2016, les retribucions mitjanes brutes d’aquest personal només s’han incrementat un 80,32 %.</w:t>
      </w:r>
    </w:p>
    <w:p w:rsidR="00AD76E0" w:rsidRDefault="00AD76E0" w:rsidP="00AD76E0">
      <w:pPr>
        <w:spacing w:before="0" w:after="0" w:line="276" w:lineRule="auto"/>
      </w:pPr>
    </w:p>
    <w:p w:rsidR="00AD76E0" w:rsidRDefault="00AD76E0" w:rsidP="00AD76E0">
      <w:pPr>
        <w:spacing w:before="0" w:after="0" w:line="276" w:lineRule="auto"/>
      </w:pPr>
      <w:r>
        <w:t>Si comparem les retribucions del personal de l’àmbit penitenciari català amb les del personal d’institucions penitenciàries de l’Estat (IIPP), les retribucions mitjanes del personal de l’àmbit penitenciari català són de l’ordre d’un 11 % més altes que les de l’IIPP.</w:t>
      </w:r>
    </w:p>
    <w:p w:rsidR="00A60BB6" w:rsidRDefault="00AD76E0" w:rsidP="00A60BB6">
      <w:pPr>
        <w:keepNext/>
        <w:tabs>
          <w:tab w:val="left" w:pos="5529"/>
        </w:tabs>
      </w:pPr>
      <w:r w:rsidRPr="00442EE6">
        <w:rPr>
          <w:noProof/>
          <w:lang w:eastAsia="ca-ES"/>
        </w:rPr>
        <w:lastRenderedPageBreak/>
        <w:drawing>
          <wp:inline distT="0" distB="0" distL="0" distR="0" wp14:anchorId="6E277AA7" wp14:editId="7B9937DC">
            <wp:extent cx="5753100" cy="1504950"/>
            <wp:effectExtent l="0" t="0" r="0" b="0"/>
            <wp:docPr id="111" name="Imatg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753100" cy="1504950"/>
                    </a:xfrm>
                    <a:prstGeom prst="rect">
                      <a:avLst/>
                    </a:prstGeom>
                    <a:noFill/>
                    <a:ln>
                      <a:noFill/>
                    </a:ln>
                  </pic:spPr>
                </pic:pic>
              </a:graphicData>
            </a:graphic>
          </wp:inline>
        </w:drawing>
      </w:r>
    </w:p>
    <w:p w:rsidR="00AD76E0" w:rsidRPr="00EE7913" w:rsidRDefault="009A1F67" w:rsidP="00A60BB6">
      <w:pPr>
        <w:pStyle w:val="Llegenda"/>
        <w:jc w:val="center"/>
      </w:pPr>
      <w:bookmarkStart w:id="486" w:name="_Toc465293855"/>
      <w:r>
        <w:t>Gràfic</w:t>
      </w:r>
      <w:r w:rsidR="00A60BB6">
        <w:t xml:space="preserve"> </w:t>
      </w:r>
      <w:r w:rsidR="00DB496B">
        <w:fldChar w:fldCharType="begin"/>
      </w:r>
      <w:r w:rsidR="00DB496B">
        <w:instrText xml:space="preserve"> SEQ Il·lustració \* ARABIC </w:instrText>
      </w:r>
      <w:r w:rsidR="00DB496B">
        <w:fldChar w:fldCharType="separate"/>
      </w:r>
      <w:r w:rsidR="00C952DF">
        <w:rPr>
          <w:noProof/>
        </w:rPr>
        <w:t>48</w:t>
      </w:r>
      <w:r w:rsidR="00DB496B">
        <w:rPr>
          <w:noProof/>
        </w:rPr>
        <w:fldChar w:fldCharType="end"/>
      </w:r>
      <w:r w:rsidR="00A60BB6">
        <w:t xml:space="preserve">. </w:t>
      </w:r>
      <w:r w:rsidR="00A60BB6" w:rsidRPr="0096447D">
        <w:t>Comparativa de despeses de personal dels centres penitenciaris de Catalunya i d'Institucions Penitenciàries de l'Estat</w:t>
      </w:r>
      <w:bookmarkEnd w:id="486"/>
    </w:p>
    <w:p w:rsidR="00AD76E0" w:rsidRPr="00EE7913" w:rsidRDefault="00AD76E0" w:rsidP="00AD76E0">
      <w:pPr>
        <w:spacing w:before="0" w:after="0"/>
        <w:jc w:val="center"/>
        <w:rPr>
          <w:rFonts w:eastAsia="Times New Roman" w:cs="Arial"/>
          <w:b/>
          <w:bCs/>
          <w:color w:val="4F81BD"/>
          <w:sz w:val="18"/>
          <w:szCs w:val="18"/>
          <w:lang w:eastAsia="es-ES"/>
        </w:rPr>
      </w:pPr>
    </w:p>
    <w:p w:rsidR="00AD76E0" w:rsidRDefault="00AD76E0" w:rsidP="00AD76E0">
      <w:pPr>
        <w:spacing w:before="0" w:after="0" w:line="276" w:lineRule="auto"/>
      </w:pPr>
    </w:p>
    <w:p w:rsidR="007A1E03" w:rsidRDefault="007A1E03" w:rsidP="00AD76E0">
      <w:pPr>
        <w:spacing w:before="0"/>
        <w:jc w:val="left"/>
        <w:sectPr w:rsidR="007A1E03" w:rsidSect="0020770F">
          <w:footerReference w:type="default" r:id="rId67"/>
          <w:type w:val="continuous"/>
          <w:pgSz w:w="11906" w:h="16838"/>
          <w:pgMar w:top="1135" w:right="1134" w:bottom="1985" w:left="1701" w:header="709" w:footer="109" w:gutter="0"/>
          <w:cols w:space="708"/>
          <w:titlePg/>
          <w:docGrid w:linePitch="360"/>
        </w:sectPr>
      </w:pPr>
    </w:p>
    <w:p w:rsidR="00AD76E0" w:rsidRDefault="00AD76E0" w:rsidP="00AD76E0">
      <w:pPr>
        <w:spacing w:before="0"/>
        <w:jc w:val="left"/>
      </w:pPr>
    </w:p>
    <w:p w:rsidR="00A60BB6" w:rsidRDefault="00AD76E0" w:rsidP="00A60BB6">
      <w:pPr>
        <w:keepNext/>
        <w:spacing w:before="0" w:after="0" w:line="276" w:lineRule="auto"/>
        <w:ind w:left="-709"/>
        <w:jc w:val="left"/>
      </w:pPr>
      <w:r w:rsidRPr="00EE7913">
        <w:rPr>
          <w:noProof/>
          <w:lang w:eastAsia="ca-ES"/>
        </w:rPr>
        <w:drawing>
          <wp:inline distT="0" distB="0" distL="0" distR="0" wp14:anchorId="5570C620" wp14:editId="626DAE49">
            <wp:extent cx="8751090" cy="3618000"/>
            <wp:effectExtent l="0" t="0" r="0" b="1905"/>
            <wp:docPr id="112" name="Imatg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8751090" cy="3618000"/>
                    </a:xfrm>
                    <a:prstGeom prst="rect">
                      <a:avLst/>
                    </a:prstGeom>
                    <a:noFill/>
                    <a:ln>
                      <a:noFill/>
                    </a:ln>
                  </pic:spPr>
                </pic:pic>
              </a:graphicData>
            </a:graphic>
          </wp:inline>
        </w:drawing>
      </w:r>
    </w:p>
    <w:p w:rsidR="00AD76E0" w:rsidRPr="00EE7913" w:rsidRDefault="009A1F67" w:rsidP="00A60BB6">
      <w:pPr>
        <w:pStyle w:val="Llegenda"/>
        <w:jc w:val="center"/>
      </w:pPr>
      <w:bookmarkStart w:id="487" w:name="_Toc465293856"/>
      <w:r>
        <w:t>Gràfic</w:t>
      </w:r>
      <w:r w:rsidR="00A60BB6">
        <w:t xml:space="preserve"> </w:t>
      </w:r>
      <w:r w:rsidR="00DB496B">
        <w:fldChar w:fldCharType="begin"/>
      </w:r>
      <w:r w:rsidR="00DB496B">
        <w:instrText xml:space="preserve"> SEQ Il·lustració \* ARABIC </w:instrText>
      </w:r>
      <w:r w:rsidR="00DB496B">
        <w:fldChar w:fldCharType="separate"/>
      </w:r>
      <w:r w:rsidR="00C952DF">
        <w:rPr>
          <w:noProof/>
        </w:rPr>
        <w:t>49</w:t>
      </w:r>
      <w:r w:rsidR="00DB496B">
        <w:rPr>
          <w:noProof/>
        </w:rPr>
        <w:fldChar w:fldCharType="end"/>
      </w:r>
      <w:r w:rsidR="00A60BB6">
        <w:t xml:space="preserve">. </w:t>
      </w:r>
      <w:r w:rsidR="00A60BB6" w:rsidRPr="004E214E">
        <w:t>Evolució de la despesa del personal dels centres penitenciaris 2010-2016</w:t>
      </w:r>
      <w:bookmarkEnd w:id="487"/>
    </w:p>
    <w:p w:rsidR="00AD76E0" w:rsidRDefault="00AD76E0" w:rsidP="00AD76E0">
      <w:pPr>
        <w:spacing w:before="0"/>
        <w:jc w:val="left"/>
      </w:pPr>
    </w:p>
    <w:p w:rsidR="007A1E03" w:rsidRDefault="007A1E03" w:rsidP="00AD76E0">
      <w:pPr>
        <w:spacing w:before="0"/>
        <w:jc w:val="left"/>
        <w:sectPr w:rsidR="007A1E03" w:rsidSect="007A1E03">
          <w:pgSz w:w="16838" w:h="11906" w:orient="landscape"/>
          <w:pgMar w:top="1701" w:right="1135" w:bottom="1134" w:left="1985" w:header="709" w:footer="109" w:gutter="0"/>
          <w:cols w:space="708"/>
          <w:titlePg/>
          <w:docGrid w:linePitch="360"/>
        </w:sectPr>
      </w:pPr>
    </w:p>
    <w:p w:rsidR="00AD76E0" w:rsidRDefault="00AD76E0" w:rsidP="00AD76E0">
      <w:pPr>
        <w:spacing w:before="0"/>
        <w:jc w:val="left"/>
      </w:pPr>
    </w:p>
    <w:p w:rsidR="00AD76E0" w:rsidRDefault="00AD76E0" w:rsidP="00AD76E0">
      <w:pPr>
        <w:spacing w:before="0"/>
        <w:jc w:val="left"/>
      </w:pPr>
    </w:p>
    <w:p w:rsidR="00AD76E0" w:rsidRPr="00EE7913" w:rsidRDefault="00AD76E0" w:rsidP="0070401F">
      <w:pPr>
        <w:pStyle w:val="Ttol4"/>
      </w:pPr>
      <w:bookmarkStart w:id="488" w:name="_Toc464726393"/>
      <w:r w:rsidRPr="00EE7913">
        <w:t>La prevenció dels riscos laborals</w:t>
      </w:r>
      <w:bookmarkEnd w:id="488"/>
    </w:p>
    <w:p w:rsidR="00AD76E0" w:rsidRPr="00EE7913" w:rsidRDefault="00AD76E0" w:rsidP="00AD76E0"/>
    <w:p w:rsidR="00AD76E0" w:rsidRPr="00F31C3C" w:rsidRDefault="00AD76E0" w:rsidP="007A1E03">
      <w:pPr>
        <w:pStyle w:val="Ttol5"/>
      </w:pPr>
      <w:r w:rsidRPr="00F31C3C">
        <w:t>Organització de la prevenció de riscos laborals al Departament de Justícia</w:t>
      </w:r>
    </w:p>
    <w:p w:rsidR="00AD76E0" w:rsidRPr="00EE7913" w:rsidRDefault="00AD76E0" w:rsidP="00AD76E0">
      <w:pPr>
        <w:spacing w:before="0" w:after="0" w:line="276" w:lineRule="auto"/>
      </w:pPr>
    </w:p>
    <w:p w:rsidR="00AD76E0" w:rsidRPr="00EE7913" w:rsidRDefault="00AD76E0" w:rsidP="00A60BB6">
      <w:r w:rsidRPr="00EE7913">
        <w:t>La Llei 31/1995, de 8 de novembre, de prevenció de riscos laborals (LPRL), té l'objectiu de determinar el cos bàsic de garanties i responsabilitats necessari per establir un nivell adequat de protecció de la salut dels treballadors davant els riscos derivats de les condicions de treball.</w:t>
      </w:r>
    </w:p>
    <w:p w:rsidR="00AD76E0" w:rsidRPr="00EE7913" w:rsidRDefault="00AD76E0" w:rsidP="00A60BB6"/>
    <w:p w:rsidR="00AD76E0" w:rsidRPr="00EE7913" w:rsidRDefault="00AD76E0" w:rsidP="00A60BB6">
      <w:r w:rsidRPr="00EE7913">
        <w:t>Aquesta norma també s'ha d’aplicar en l'àmbit de les administracions públiques, raó per la qual la Llei no sols té el caràcter de legislació laboral, sinó que constitueix, en els seus aspectes fonamentals, norma bàsica del règim estatutari dels funcionaris públics.</w:t>
      </w:r>
    </w:p>
    <w:p w:rsidR="00AD76E0" w:rsidRPr="00EE7913" w:rsidRDefault="00AD76E0" w:rsidP="00A60BB6"/>
    <w:p w:rsidR="00AD76E0" w:rsidRPr="00EE7913" w:rsidRDefault="00AD76E0" w:rsidP="00A60BB6">
      <w:r w:rsidRPr="00EE7913">
        <w:t>Així, l'àmbit d'aplicació de la Llei inclou el personal civil amb relació de caràcter administratiu o estatutari al servei de les administracions públiques, sense cap més exclusió que les corresponents, en l'àmbit de la funció pública, a determinades activitats, les particularitats de les quals impedeixin l'aplicació de la Llei, que inspirarà, això no obstant, la normativa específica que es dicti a fi de protegir la seguretat i la salut dels treballadors en aquestes activitats; en aquest sentit, la Llei en preveu l'adaptació a les característiques pròpies dels centres i establiments militars i dels establiments penitenciaris.</w:t>
      </w:r>
    </w:p>
    <w:p w:rsidR="00AD76E0" w:rsidRPr="00EE7913" w:rsidRDefault="00AD76E0" w:rsidP="00A60BB6"/>
    <w:p w:rsidR="00AD76E0" w:rsidRPr="00EE7913" w:rsidRDefault="00AD76E0" w:rsidP="00A60BB6">
      <w:r w:rsidRPr="00EE7913">
        <w:t>Art. 3 LPRL. Àmbit d’aplicació.</w:t>
      </w:r>
    </w:p>
    <w:p w:rsidR="00AD76E0" w:rsidRPr="00EE7913" w:rsidRDefault="00AD76E0" w:rsidP="00A60BB6"/>
    <w:p w:rsidR="00AD76E0" w:rsidRPr="00EE7913" w:rsidRDefault="00AD76E0" w:rsidP="00A60BB6">
      <w:r w:rsidRPr="00EE7913">
        <w:t>1. Aquesta Llei i les seves normes de desenvolupament són d'aplicació tant en l'àmbit de les relacions laborals regulades al Text refós de la Llei de l'estatut dels treballadors com en el de les relacions de caràcter administratiu o estatutari del personal civil al servei de les administracions públiques.</w:t>
      </w:r>
    </w:p>
    <w:p w:rsidR="00AD76E0" w:rsidRPr="00EE7913" w:rsidRDefault="00AD76E0" w:rsidP="00A60BB6">
      <w:r>
        <w:t xml:space="preserve">3. </w:t>
      </w:r>
      <w:r w:rsidRPr="00EE7913">
        <w:t xml:space="preserve">En els establiments penitenciaris, s'han d'adaptar a aquesta Llei aquelles activitats les característiques de les quals justifiquin una regulació especial, cosa que s'ha de dur a terme en els termes indicats </w:t>
      </w:r>
      <w:r>
        <w:t>a</w:t>
      </w:r>
      <w:r w:rsidRPr="00EE7913">
        <w:t xml:space="preserve"> la Llei 7/1990, de 19 de juliol, sobre negociació col·lectiva i participació en la determinació de les condicions de treball dels treballadors públics.</w:t>
      </w:r>
    </w:p>
    <w:p w:rsidR="00AD76E0" w:rsidRPr="00EE7913" w:rsidRDefault="00AD76E0" w:rsidP="00A60BB6"/>
    <w:p w:rsidR="00AD76E0" w:rsidRPr="00EE7913" w:rsidRDefault="00AD76E0" w:rsidP="00A60BB6">
      <w:r w:rsidRPr="00EE7913">
        <w:t xml:space="preserve">La LPRL, a l’article 14 (dret a la protecció davant els riscos laborals), indica que, en el marc de les seves responsabilitats, l’empresari realitzarà la prevenció dels riscos laborals mitjançant la integració de l’activitat preventiva a l’empresa i </w:t>
      </w:r>
      <w:r>
        <w:t>[</w:t>
      </w:r>
      <w:r w:rsidRPr="00EE7913">
        <w:t>...</w:t>
      </w:r>
      <w:r>
        <w:t xml:space="preserve">] </w:t>
      </w:r>
      <w:r w:rsidRPr="00EE7913">
        <w:t>mitjançant la constitució d’una organització i dels mitjans necessaris en els termes establerts al capítol IV.</w:t>
      </w:r>
    </w:p>
    <w:p w:rsidR="00AD76E0" w:rsidRPr="00EE7913" w:rsidRDefault="00AD76E0" w:rsidP="00A60BB6"/>
    <w:p w:rsidR="00AD76E0" w:rsidRPr="00EE7913" w:rsidRDefault="00AD76E0" w:rsidP="00A60BB6">
      <w:r w:rsidRPr="00EE7913">
        <w:t>El Reial decret 39/1997, de 17 de gener, pel qual s'aprova el Reglament dels serveis de prevenció, obliga (article 14) a constituir un servei de prevenció propi a les empreses que tenen més de 500 treballadors.</w:t>
      </w:r>
    </w:p>
    <w:p w:rsidR="00AD76E0" w:rsidRPr="00EE7913" w:rsidRDefault="00AD76E0" w:rsidP="00AD76E0">
      <w:pPr>
        <w:spacing w:before="0" w:after="0" w:line="276" w:lineRule="auto"/>
      </w:pPr>
    </w:p>
    <w:p w:rsidR="00AD76E0" w:rsidRPr="00EE7913" w:rsidRDefault="00AD76E0" w:rsidP="00B517F7">
      <w:r w:rsidRPr="00EE7913">
        <w:lastRenderedPageBreak/>
        <w:t xml:space="preserve">En aquest context es configura el Servei de Prevenció del Departament de Justícia (SPJ), a partir de la publicació del Decret 312/1998, d'1 de desembre, pel qual es creen els serveis de </w:t>
      </w:r>
      <w:r>
        <w:t>p</w:t>
      </w:r>
      <w:r w:rsidRPr="00EE7913">
        <w:t xml:space="preserve">revenció de </w:t>
      </w:r>
      <w:r>
        <w:t>r</w:t>
      </w:r>
      <w:r w:rsidRPr="00EE7913">
        <w:t xml:space="preserve">iscos </w:t>
      </w:r>
      <w:r>
        <w:t>l</w:t>
      </w:r>
      <w:r w:rsidRPr="00EE7913">
        <w:t>aborals per al personal al servei de l'Administració de la Generalitat.</w:t>
      </w:r>
    </w:p>
    <w:p w:rsidR="00AD76E0" w:rsidRPr="00EE7913" w:rsidRDefault="00AD76E0" w:rsidP="00B517F7"/>
    <w:p w:rsidR="00AD76E0" w:rsidRPr="00EE7913" w:rsidRDefault="00AD76E0" w:rsidP="00B517F7">
      <w:r w:rsidRPr="00EE7913">
        <w:t>El SPJ té assumides totes les especialitats preventives (seguretat en el treball, higiene industrial, ergonomia i psicosociologia aplicada i medicina del treball).</w:t>
      </w:r>
    </w:p>
    <w:p w:rsidR="00AD76E0" w:rsidRPr="00EE7913" w:rsidRDefault="00AD76E0" w:rsidP="00B517F7"/>
    <w:p w:rsidR="00AD76E0" w:rsidRPr="00EE7913" w:rsidRDefault="00AD76E0" w:rsidP="00B517F7">
      <w:r w:rsidRPr="00EE7913">
        <w:t xml:space="preserve">La composició actual del SPJ és d’un cap del servei, dos coordinadors d’activitats preventives (un d’ells </w:t>
      </w:r>
      <w:r>
        <w:t>en</w:t>
      </w:r>
      <w:r w:rsidRPr="00EE7913">
        <w:t xml:space="preserve"> l’àmbit d’execució penal), tres tècnics superiors en prevenció de riscos laborals, </w:t>
      </w:r>
      <w:r>
        <w:t>un</w:t>
      </w:r>
      <w:r w:rsidRPr="00EE7913">
        <w:t xml:space="preserve"> tècnic intermedi en PRL, una metgessa del treball a la Unitat Bàsica de Salut Ciutat de la Justícia (UBSCJ), una altra metgessa del treball, a temps parcial (50 hores/mes), als serveis centrals, una DUI d’empresa (UBSCJ), una tècnica de gestió i dos auxiliars administratius.</w:t>
      </w:r>
    </w:p>
    <w:p w:rsidR="00AD76E0" w:rsidRPr="00EE7913" w:rsidRDefault="00AD76E0" w:rsidP="00B517F7"/>
    <w:p w:rsidR="00AD76E0" w:rsidRPr="00EE7913" w:rsidRDefault="00AD76E0" w:rsidP="00B517F7">
      <w:r w:rsidRPr="00EE7913">
        <w:t>Un dels coordinadors i un tècnic superior es dediquen a l’àmbit d’execució penal de manera exclusiva. La resta del personal intervé en aquesta àrea de ma</w:t>
      </w:r>
      <w:r>
        <w:t>nera</w:t>
      </w:r>
      <w:r w:rsidRPr="00EE7913">
        <w:t xml:space="preserve"> compartida amb els altres àmbits de competències del Departament de Justícia.</w:t>
      </w:r>
    </w:p>
    <w:p w:rsidR="00AD76E0" w:rsidRPr="00EE7913" w:rsidRDefault="00AD76E0" w:rsidP="00B517F7"/>
    <w:p w:rsidR="00AD76E0" w:rsidRPr="00EE7913" w:rsidRDefault="00AD76E0" w:rsidP="00B517F7">
      <w:r w:rsidRPr="00EE7913">
        <w:t xml:space="preserve">A més, hi ha </w:t>
      </w:r>
      <w:r>
        <w:t xml:space="preserve">uns </w:t>
      </w:r>
      <w:r w:rsidRPr="00EE7913">
        <w:t>altres vuit tècnics de nivell intermedi en prevenció de riscos laborals, que depenen orgànicament de la DGSP i funciona</w:t>
      </w:r>
      <w:r>
        <w:t>l</w:t>
      </w:r>
      <w:r w:rsidRPr="00EE7913">
        <w:t>ment del SPJ, assignats a vuit dels centres penitenciaris, que col·laboren amb els tècnics superiors, pel que fa a la prevenció de riscos en el seu centre de treball.</w:t>
      </w:r>
    </w:p>
    <w:p w:rsidR="00AD76E0" w:rsidRPr="00EE7913" w:rsidRDefault="00AD76E0" w:rsidP="00B517F7"/>
    <w:p w:rsidR="00AD76E0" w:rsidRPr="00EE7913" w:rsidRDefault="00AD76E0" w:rsidP="00B517F7">
      <w:r w:rsidRPr="00EE7913">
        <w:t xml:space="preserve">La participació del personal del Departament de Justícia en matèria de prevenció de riscos laborals s’ha de canalitzar mitjançant la seva representació especialitzada en aquesta matèria (els delegats de prevenció) i a través dels òrgans creats pel pacte sobre drets de participació dels empleats i empleades públics en matèria de prevenció de riscos laborals en l’àmbit de l’Administració de la Generalitat de Catalunya, de 1996, modificat el 2005. </w:t>
      </w:r>
    </w:p>
    <w:p w:rsidR="00AD76E0" w:rsidRPr="00EE7913" w:rsidRDefault="00AD76E0" w:rsidP="00B517F7"/>
    <w:p w:rsidR="00AD76E0" w:rsidRPr="00EE7913" w:rsidRDefault="00AD76E0" w:rsidP="00B517F7">
      <w:r w:rsidRPr="00EE7913">
        <w:t xml:space="preserve">El pacte determina que els </w:t>
      </w:r>
      <w:r>
        <w:t>c</w:t>
      </w:r>
      <w:r w:rsidRPr="00EE7913">
        <w:t xml:space="preserve">omitès de seguretat i salut són els òrgans paritaris i col·legiats de participació destinats a la consulta regular i periòdica de les actuacions de l’Administració de la Generalitat en matèria de prevenció de riscos. També estableix un </w:t>
      </w:r>
      <w:r>
        <w:t>c</w:t>
      </w:r>
      <w:r w:rsidRPr="00EE7913">
        <w:t xml:space="preserve">omitè de seguretat i salut per </w:t>
      </w:r>
      <w:r>
        <w:t xml:space="preserve">a </w:t>
      </w:r>
      <w:r w:rsidRPr="00EE7913">
        <w:t>cada departament i un pe</w:t>
      </w:r>
      <w:r>
        <w:t>r a</w:t>
      </w:r>
      <w:r w:rsidRPr="00EE7913">
        <w:t>ls col·lectius de personal penitenciari, agents rurals i bombers.</w:t>
      </w:r>
    </w:p>
    <w:p w:rsidR="00AD76E0" w:rsidRPr="00EE7913" w:rsidRDefault="00AD76E0" w:rsidP="00B517F7"/>
    <w:p w:rsidR="00AD76E0" w:rsidRPr="00EE7913" w:rsidRDefault="00AD76E0" w:rsidP="00B517F7">
      <w:r w:rsidRPr="00EE7913">
        <w:t>El Comitè de Seguretat i Salut del Personal Penitenciari del Departament de Justícia es constitue</w:t>
      </w:r>
      <w:r>
        <w:t xml:space="preserve">ix el dia 28 de febrer de 1997 </w:t>
      </w:r>
      <w:r w:rsidRPr="00EE7913">
        <w:t xml:space="preserve">i es reuneix trimestralment. El Departament de Justícia té altres dos </w:t>
      </w:r>
      <w:r>
        <w:t>c</w:t>
      </w:r>
      <w:r w:rsidRPr="00EE7913">
        <w:t>omitès, un de l’àmbit general i un pel personal d’</w:t>
      </w:r>
      <w:r>
        <w:t>a</w:t>
      </w:r>
      <w:r w:rsidRPr="00EE7913">
        <w:t>dministració de justícia, que també es reuneixen trimestralment.</w:t>
      </w:r>
    </w:p>
    <w:p w:rsidR="00AD76E0" w:rsidRPr="00EE7913" w:rsidRDefault="00AD76E0" w:rsidP="00AD76E0">
      <w:pPr>
        <w:spacing w:before="0" w:after="0" w:line="276" w:lineRule="auto"/>
      </w:pPr>
    </w:p>
    <w:p w:rsidR="00AD76E0" w:rsidRPr="00EE7913" w:rsidRDefault="00AD76E0" w:rsidP="007A1E03">
      <w:pPr>
        <w:pStyle w:val="Ttol5"/>
      </w:pPr>
      <w:r w:rsidRPr="00BF2226">
        <w:t xml:space="preserve">Actuacions del Servei de Prevenció del Departament de Justícia en l’àmbit de l’execució </w:t>
      </w:r>
      <w:r>
        <w:t>penal:</w:t>
      </w:r>
    </w:p>
    <w:p w:rsidR="00AD76E0" w:rsidRPr="00EE7913" w:rsidRDefault="00AD76E0" w:rsidP="00AD76E0">
      <w:pPr>
        <w:spacing w:before="0" w:after="0" w:line="276" w:lineRule="auto"/>
      </w:pPr>
    </w:p>
    <w:p w:rsidR="00AD76E0" w:rsidRPr="0046539C" w:rsidRDefault="00AD76E0" w:rsidP="00B517F7">
      <w:pPr>
        <w:pStyle w:val="Pargrafdellista"/>
        <w:numPr>
          <w:ilvl w:val="0"/>
          <w:numId w:val="102"/>
        </w:numPr>
      </w:pPr>
      <w:r>
        <w:t>Avaluació</w:t>
      </w:r>
      <w:r w:rsidRPr="00EE7913">
        <w:t xml:space="preserve"> de riscos laborals</w:t>
      </w:r>
      <w:r>
        <w:t xml:space="preserve"> de tots els centres de treball</w:t>
      </w:r>
      <w:r w:rsidRPr="00B517F7">
        <w:rPr>
          <w:color w:val="000000" w:themeColor="text1"/>
        </w:rPr>
        <w:t>. L’avaluació es revisa cada tres anys.</w:t>
      </w:r>
    </w:p>
    <w:p w:rsidR="00AD76E0" w:rsidRPr="0046539C" w:rsidRDefault="00AD76E0" w:rsidP="00B517F7">
      <w:pPr>
        <w:pStyle w:val="Pargrafdellista"/>
        <w:numPr>
          <w:ilvl w:val="0"/>
          <w:numId w:val="102"/>
        </w:numPr>
      </w:pPr>
      <w:r w:rsidRPr="0046539C">
        <w:lastRenderedPageBreak/>
        <w:t xml:space="preserve">Dins d’aquesta tasca, en destaquem l’avaluació </w:t>
      </w:r>
      <w:r>
        <w:t>ps</w:t>
      </w:r>
      <w:r w:rsidRPr="0046539C">
        <w:t xml:space="preserve">icosocial. El Departament de Justícia considera l’avaluació de riscos psicosocials com a part integral i necessària del procés d’avaluació de riscos. </w:t>
      </w:r>
    </w:p>
    <w:p w:rsidR="00AD76E0" w:rsidRDefault="00AD76E0" w:rsidP="00B517F7">
      <w:pPr>
        <w:pStyle w:val="Pargrafdellista"/>
        <w:numPr>
          <w:ilvl w:val="0"/>
          <w:numId w:val="102"/>
        </w:numPr>
      </w:pPr>
      <w:r w:rsidRPr="0046539C">
        <w:t>Concretament</w:t>
      </w:r>
      <w:r>
        <w:t>,</w:t>
      </w:r>
      <w:r w:rsidRPr="0046539C">
        <w:t xml:space="preserve"> </w:t>
      </w:r>
      <w:r>
        <w:t>en</w:t>
      </w:r>
      <w:r w:rsidRPr="0046539C">
        <w:t xml:space="preserve"> l’àmbit d’execució penal l’avaluació psicosocial ha finalitzat i les mesures preventives derivades es troben en fase d’implantació.</w:t>
      </w:r>
    </w:p>
    <w:p w:rsidR="00AD76E0" w:rsidRDefault="00AD76E0" w:rsidP="00B517F7"/>
    <w:p w:rsidR="00AD76E0" w:rsidRDefault="00AD76E0" w:rsidP="00B517F7">
      <w:pPr>
        <w:pStyle w:val="Pargrafdellista"/>
        <w:numPr>
          <w:ilvl w:val="0"/>
          <w:numId w:val="102"/>
        </w:numPr>
      </w:pPr>
      <w:r w:rsidRPr="00EE7913">
        <w:t>Formació i informació dels treballadors en matèria de prevenció de riscos laborals.</w:t>
      </w:r>
      <w:r>
        <w:t xml:space="preserve"> </w:t>
      </w:r>
      <w:r w:rsidRPr="00EE7913">
        <w:t>Conjuntament amb el Centre d'Estudis Jurídics i Formació Especialitzada (CEJFE), el Departament de Justícia ha elaborat un pla estratègic de formació triennal que pretén, entre d’altres objectius, formar en els riscos específics dels seus llocs de treball respectius tot el personal del Departament. Aquest pla comporta realitzar sessions específiques obligatòries per als diferents col·lectius, segons els llocs de treball.</w:t>
      </w:r>
      <w:r>
        <w:t xml:space="preserve"> D</w:t>
      </w:r>
      <w:r w:rsidRPr="00EE7913">
        <w:t xml:space="preserve">urant aquest període de </w:t>
      </w:r>
      <w:r>
        <w:t>tres</w:t>
      </w:r>
      <w:r w:rsidRPr="00EE7913">
        <w:t xml:space="preserve"> anys, aproximadament 320 cursos de riscos específics i 40 cursos de prevenció avançada. D’aquests 320 cursos de riscos específics, aproximadament 100 es duran a terme en l’àmbit d’execució penal.</w:t>
      </w:r>
    </w:p>
    <w:p w:rsidR="00AD76E0" w:rsidRDefault="00AD76E0" w:rsidP="00B517F7"/>
    <w:p w:rsidR="00AD76E0" w:rsidRPr="00EE7913" w:rsidRDefault="00AD76E0" w:rsidP="00B517F7">
      <w:pPr>
        <w:pStyle w:val="Pargrafdellista"/>
        <w:numPr>
          <w:ilvl w:val="0"/>
          <w:numId w:val="102"/>
        </w:numPr>
      </w:pPr>
      <w:r w:rsidRPr="00EE7913">
        <w:t xml:space="preserve">Investigar els accidents laborals </w:t>
      </w:r>
      <w:r>
        <w:t>que s’han p</w:t>
      </w:r>
      <w:r w:rsidRPr="00EE7913">
        <w:t xml:space="preserve">roduït. Del total de 441 accidents </w:t>
      </w:r>
      <w:r>
        <w:t xml:space="preserve">que hi ha hagut </w:t>
      </w:r>
      <w:r w:rsidRPr="00EE7913">
        <w:t xml:space="preserve">durant l’any 2015 </w:t>
      </w:r>
      <w:r>
        <w:t>en</w:t>
      </w:r>
      <w:r w:rsidRPr="00EE7913">
        <w:t xml:space="preserve"> l’àmbit penitenciari</w:t>
      </w:r>
      <w:r>
        <w:t xml:space="preserve">, el 59 % de tot el Departament, </w:t>
      </w:r>
      <w:r w:rsidRPr="00EE7913">
        <w:t xml:space="preserve">184 van ser amb baixa i 76 es van produir </w:t>
      </w:r>
      <w:r w:rsidRPr="00B517F7">
        <w:rPr>
          <w:i/>
        </w:rPr>
        <w:t>in itinere</w:t>
      </w:r>
      <w:r w:rsidRPr="00EE7913">
        <w:t xml:space="preserve">. </w:t>
      </w:r>
      <w:r>
        <w:t>Se’n</w:t>
      </w:r>
      <w:r w:rsidRPr="00EE7913">
        <w:t xml:space="preserve"> va investigar un total de 308, sempre amb la col·laboració dels TPRL dels centres penitenciaris afectats.</w:t>
      </w:r>
    </w:p>
    <w:p w:rsidR="00AD76E0" w:rsidRPr="00EE7913" w:rsidRDefault="00AD76E0" w:rsidP="00AD76E0">
      <w:pPr>
        <w:spacing w:before="0" w:after="0" w:line="276" w:lineRule="auto"/>
        <w:ind w:left="284" w:hanging="284"/>
      </w:pPr>
    </w:p>
    <w:p w:rsidR="00AD76E0" w:rsidRPr="00EE7913" w:rsidRDefault="00AD76E0" w:rsidP="00B517F7">
      <w:r w:rsidRPr="00EE7913">
        <w:t>El quadre Q.1 mostra l’evolució de l’accidentalitat en l’àmbit penitenciari durant els darrers quatre anys.</w:t>
      </w:r>
    </w:p>
    <w:p w:rsidR="00AD76E0" w:rsidRPr="00EE7913" w:rsidRDefault="00AD76E0" w:rsidP="00AD76E0">
      <w:pPr>
        <w:spacing w:before="0" w:after="0" w:line="276" w:lineRule="auto"/>
      </w:pPr>
    </w:p>
    <w:p w:rsidR="00A60BB6" w:rsidRDefault="00AD76E0" w:rsidP="00A60BB6">
      <w:pPr>
        <w:keepNext/>
        <w:spacing w:before="0" w:after="0" w:line="276" w:lineRule="auto"/>
        <w:jc w:val="center"/>
      </w:pPr>
      <w:r w:rsidRPr="00EE7913">
        <w:rPr>
          <w:noProof/>
          <w:lang w:eastAsia="ca-ES"/>
        </w:rPr>
        <w:drawing>
          <wp:inline distT="0" distB="0" distL="0" distR="0" wp14:anchorId="33330512" wp14:editId="475656DC">
            <wp:extent cx="5400675" cy="2686050"/>
            <wp:effectExtent l="0" t="0" r="9525" b="0"/>
            <wp:docPr id="113" name="Imatg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400675" cy="2686050"/>
                    </a:xfrm>
                    <a:prstGeom prst="rect">
                      <a:avLst/>
                    </a:prstGeom>
                    <a:noFill/>
                    <a:ln>
                      <a:noFill/>
                    </a:ln>
                  </pic:spPr>
                </pic:pic>
              </a:graphicData>
            </a:graphic>
          </wp:inline>
        </w:drawing>
      </w:r>
    </w:p>
    <w:p w:rsidR="00AD76E0" w:rsidRPr="00EE7913" w:rsidRDefault="009A1F67" w:rsidP="00A60BB6">
      <w:pPr>
        <w:pStyle w:val="Llegenda"/>
        <w:jc w:val="center"/>
      </w:pPr>
      <w:bookmarkStart w:id="489" w:name="_Toc465293857"/>
      <w:r>
        <w:t>Gràfic</w:t>
      </w:r>
      <w:r w:rsidR="00A60BB6">
        <w:t xml:space="preserve"> </w:t>
      </w:r>
      <w:r w:rsidR="00DB496B">
        <w:fldChar w:fldCharType="begin"/>
      </w:r>
      <w:r w:rsidR="00DB496B">
        <w:instrText xml:space="preserve"> SEQ Il·lustració \* ARABIC </w:instrText>
      </w:r>
      <w:r w:rsidR="00DB496B">
        <w:fldChar w:fldCharType="separate"/>
      </w:r>
      <w:r w:rsidR="00C952DF">
        <w:rPr>
          <w:noProof/>
        </w:rPr>
        <w:t>50</w:t>
      </w:r>
      <w:r w:rsidR="00DB496B">
        <w:rPr>
          <w:noProof/>
        </w:rPr>
        <w:fldChar w:fldCharType="end"/>
      </w:r>
      <w:r w:rsidR="00A60BB6">
        <w:t xml:space="preserve">. </w:t>
      </w:r>
      <w:r w:rsidR="00A60BB6" w:rsidRPr="0049690B">
        <w:t>Evolució de l’accidentalitat en l’àmbit penitenciari 2012-2015</w:t>
      </w:r>
      <w:bookmarkEnd w:id="489"/>
    </w:p>
    <w:p w:rsidR="00AD76E0" w:rsidRDefault="00AD76E0" w:rsidP="00AD76E0">
      <w:pPr>
        <w:spacing w:before="0" w:after="0" w:line="276" w:lineRule="auto"/>
      </w:pPr>
    </w:p>
    <w:p w:rsidR="00AD76E0" w:rsidRDefault="00AD76E0" w:rsidP="00AD76E0">
      <w:pPr>
        <w:spacing w:before="0" w:after="0" w:line="276" w:lineRule="auto"/>
      </w:pPr>
    </w:p>
    <w:p w:rsidR="00AD76E0" w:rsidRPr="00EE7913" w:rsidRDefault="00AD76E0" w:rsidP="00AD76E0">
      <w:pPr>
        <w:spacing w:before="0" w:after="0" w:line="276" w:lineRule="auto"/>
      </w:pPr>
    </w:p>
    <w:p w:rsidR="00AD76E0" w:rsidRDefault="00AD76E0" w:rsidP="00B517F7">
      <w:pPr>
        <w:pStyle w:val="Pargrafdellista"/>
        <w:numPr>
          <w:ilvl w:val="0"/>
          <w:numId w:val="101"/>
        </w:numPr>
      </w:pPr>
      <w:r w:rsidRPr="00EE7913">
        <w:t>Vigilància de la sal</w:t>
      </w:r>
      <w:r>
        <w:t xml:space="preserve">ut dels treballadors: </w:t>
      </w:r>
      <w:r w:rsidRPr="00EE7913">
        <w:t xml:space="preserve">les activitats adreçades a cobrir la vigilància de la salut dels aproximadament 5.000 treballadors de l’àmbit d’execució penal del Departament de Justícia es fonamenten bàsicament en la realització dels </w:t>
      </w:r>
      <w:r w:rsidRPr="00EE7913">
        <w:lastRenderedPageBreak/>
        <w:t>reconeixements mèdics, inicials i periòdics, segons els riscos al qu</w:t>
      </w:r>
      <w:r>
        <w:t>è</w:t>
      </w:r>
      <w:r w:rsidRPr="00EE7913">
        <w:t xml:space="preserve"> estan sotmesos els treballadors. A banda</w:t>
      </w:r>
      <w:r>
        <w:t>,</w:t>
      </w:r>
      <w:r w:rsidRPr="00EE7913">
        <w:t xml:space="preserve"> també </w:t>
      </w:r>
      <w:r>
        <w:t>es fan</w:t>
      </w:r>
      <w:r w:rsidRPr="00EE7913">
        <w:t xml:space="preserve"> </w:t>
      </w:r>
      <w:r>
        <w:t>reconeixements mèdics</w:t>
      </w:r>
      <w:r w:rsidRPr="00EE7913">
        <w:t xml:space="preserve"> als treballadors que s’incorporen després d’una absència prolongada per motius de salut, per tal de descartar possibles implicacions professionals, </w:t>
      </w:r>
      <w:r>
        <w:t>i també</w:t>
      </w:r>
      <w:r w:rsidRPr="00EE7913">
        <w:t xml:space="preserve"> es porta a terme el seguiment de les malalties que afecten el personal per proposar, si escau, les mesures preventives adients que millorin les seves condicions de treball.</w:t>
      </w:r>
    </w:p>
    <w:p w:rsidR="00AD76E0" w:rsidRDefault="00AD76E0" w:rsidP="00AD76E0">
      <w:pPr>
        <w:pStyle w:val="Pargrafdellista"/>
        <w:spacing w:before="0" w:after="0" w:line="276" w:lineRule="auto"/>
        <w:ind w:left="1004"/>
      </w:pPr>
    </w:p>
    <w:p w:rsidR="00AD76E0" w:rsidRPr="00EE7913" w:rsidRDefault="00AD76E0" w:rsidP="00B517F7">
      <w:pPr>
        <w:pStyle w:val="Pargrafdellista"/>
        <w:numPr>
          <w:ilvl w:val="0"/>
          <w:numId w:val="101"/>
        </w:numPr>
      </w:pPr>
      <w:r w:rsidRPr="00EE7913">
        <w:t>Adaptacions de llocs de treball.</w:t>
      </w:r>
      <w:r>
        <w:t xml:space="preserve"> </w:t>
      </w:r>
      <w:r w:rsidRPr="00EE7913">
        <w:t xml:space="preserve">D’acord amb l’article 25 de la LPRL, sobre la protecció de persones  treballadores especialment sensibles a determinats riscos, l’adaptació del lloc de treball per motius de salut consisteix </w:t>
      </w:r>
      <w:r>
        <w:t>a</w:t>
      </w:r>
      <w:r w:rsidRPr="00EE7913">
        <w:t xml:space="preserve"> adequar les condicions del lloc de treball habitual a les necessitats de les persones treballadores afectades, efectuant, si escau, aquelles accions que permetin preservar la seva salut, sempre mitjançant les recomanacions derivades dels informes mèdics pertinents. </w:t>
      </w:r>
    </w:p>
    <w:p w:rsidR="00AD76E0" w:rsidRPr="00EE7913" w:rsidRDefault="00AD76E0" w:rsidP="00AD76E0">
      <w:pPr>
        <w:spacing w:before="0" w:after="0" w:line="276" w:lineRule="auto"/>
      </w:pPr>
    </w:p>
    <w:p w:rsidR="00AD76E0" w:rsidRPr="00EE7913" w:rsidRDefault="00AD76E0" w:rsidP="00B517F7">
      <w:r w:rsidRPr="00EE7913">
        <w:t>Durant l’any 2015, s’han resolt un total de 86 sol·licituds d’adaptacions de lloc de treball, de les quals 28 corresponien a l’àmbit penitenciari.</w:t>
      </w:r>
    </w:p>
    <w:p w:rsidR="00AD76E0" w:rsidRPr="00EE7913" w:rsidRDefault="00AD76E0" w:rsidP="00AD76E0">
      <w:pPr>
        <w:spacing w:before="0" w:after="0" w:line="276" w:lineRule="auto"/>
      </w:pPr>
    </w:p>
    <w:p w:rsidR="00AD76E0" w:rsidRPr="00EE7913" w:rsidRDefault="00AD76E0" w:rsidP="00B517F7">
      <w:r w:rsidRPr="00EE7913">
        <w:t>El quadre Q.2 mostra l’evolució de les adaptacions de lloc de treball en l’àmbit penitenciari dels darrers quatre anys</w:t>
      </w:r>
    </w:p>
    <w:p w:rsidR="00AD76E0" w:rsidRPr="00EE7913" w:rsidRDefault="00AD76E0" w:rsidP="00AD76E0">
      <w:pPr>
        <w:spacing w:before="0" w:after="0" w:line="276" w:lineRule="auto"/>
      </w:pPr>
    </w:p>
    <w:p w:rsidR="00A60BB6" w:rsidRDefault="00AD76E0" w:rsidP="00A60BB6">
      <w:pPr>
        <w:keepNext/>
        <w:spacing w:before="0" w:after="0" w:line="276" w:lineRule="auto"/>
        <w:jc w:val="center"/>
      </w:pPr>
      <w:r w:rsidRPr="00EE7913">
        <w:rPr>
          <w:noProof/>
          <w:lang w:eastAsia="ca-ES"/>
        </w:rPr>
        <w:drawing>
          <wp:inline distT="0" distB="0" distL="0" distR="0" wp14:anchorId="5918FC4B" wp14:editId="2E93A39C">
            <wp:extent cx="5400000" cy="2685600"/>
            <wp:effectExtent l="0" t="0" r="0" b="635"/>
            <wp:docPr id="114" name="Imatge 1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400000" cy="2685600"/>
                    </a:xfrm>
                    <a:prstGeom prst="rect">
                      <a:avLst/>
                    </a:prstGeom>
                    <a:noFill/>
                    <a:ln>
                      <a:noFill/>
                    </a:ln>
                  </pic:spPr>
                </pic:pic>
              </a:graphicData>
            </a:graphic>
          </wp:inline>
        </w:drawing>
      </w:r>
    </w:p>
    <w:p w:rsidR="00AD76E0" w:rsidRPr="00EE7913" w:rsidRDefault="009A1F67" w:rsidP="00A60BB6">
      <w:pPr>
        <w:pStyle w:val="Llegenda"/>
        <w:jc w:val="center"/>
      </w:pPr>
      <w:bookmarkStart w:id="490" w:name="_Toc465293858"/>
      <w:r>
        <w:t>Gràfic</w:t>
      </w:r>
      <w:r w:rsidR="00A60BB6">
        <w:t xml:space="preserve"> </w:t>
      </w:r>
      <w:r w:rsidR="00DB496B">
        <w:fldChar w:fldCharType="begin"/>
      </w:r>
      <w:r w:rsidR="00DB496B">
        <w:instrText xml:space="preserve"> SEQ Il·lustració \* ARABIC </w:instrText>
      </w:r>
      <w:r w:rsidR="00DB496B">
        <w:fldChar w:fldCharType="separate"/>
      </w:r>
      <w:r w:rsidR="00C952DF">
        <w:rPr>
          <w:noProof/>
        </w:rPr>
        <w:t>51</w:t>
      </w:r>
      <w:r w:rsidR="00DB496B">
        <w:rPr>
          <w:noProof/>
        </w:rPr>
        <w:fldChar w:fldCharType="end"/>
      </w:r>
      <w:r w:rsidR="00A60BB6">
        <w:t xml:space="preserve">. </w:t>
      </w:r>
      <w:r w:rsidR="00A60BB6" w:rsidRPr="00F7253B">
        <w:t>Evolució de les adaptacions de llocs de treball en l’àmbit penitenciari 2012-2015</w:t>
      </w:r>
      <w:bookmarkEnd w:id="490"/>
    </w:p>
    <w:p w:rsidR="00AD76E0" w:rsidRPr="00EE7913" w:rsidRDefault="00AD76E0" w:rsidP="00AD76E0">
      <w:pPr>
        <w:spacing w:before="0" w:after="0" w:line="276" w:lineRule="auto"/>
      </w:pPr>
    </w:p>
    <w:p w:rsidR="00AD76E0" w:rsidRPr="00EE7913" w:rsidRDefault="00AD76E0" w:rsidP="00AD76E0">
      <w:pPr>
        <w:spacing w:before="0" w:after="0" w:line="276" w:lineRule="auto"/>
      </w:pPr>
    </w:p>
    <w:p w:rsidR="00AD76E0" w:rsidRPr="00EE7913" w:rsidRDefault="00AD76E0" w:rsidP="00AD76E0">
      <w:pPr>
        <w:spacing w:before="0"/>
        <w:jc w:val="left"/>
      </w:pPr>
      <w:r w:rsidRPr="00EE7913">
        <w:br w:type="page"/>
      </w:r>
    </w:p>
    <w:p w:rsidR="00AD76E0" w:rsidRPr="00EE7913" w:rsidRDefault="00AD76E0" w:rsidP="0070401F">
      <w:pPr>
        <w:pStyle w:val="Ttol4"/>
      </w:pPr>
      <w:bookmarkStart w:id="491" w:name="_Toc464726394"/>
      <w:r w:rsidRPr="00EE7913">
        <w:lastRenderedPageBreak/>
        <w:t>La gestió de l’absentisme</w:t>
      </w:r>
      <w:bookmarkEnd w:id="491"/>
    </w:p>
    <w:p w:rsidR="00AD76E0" w:rsidRPr="00486042" w:rsidRDefault="00AD76E0" w:rsidP="007A1E03">
      <w:pPr>
        <w:pStyle w:val="Ttol5"/>
      </w:pPr>
      <w:r w:rsidRPr="00486042">
        <w:t>Estudis sobre absentisme laboral</w:t>
      </w:r>
    </w:p>
    <w:p w:rsidR="00AD76E0" w:rsidRPr="00EE7913" w:rsidRDefault="00AD76E0" w:rsidP="00AD76E0">
      <w:pPr>
        <w:spacing w:before="0" w:after="0" w:line="276" w:lineRule="auto"/>
      </w:pPr>
    </w:p>
    <w:p w:rsidR="00AD76E0" w:rsidRPr="00EE7913" w:rsidRDefault="00AD76E0" w:rsidP="009A1F67">
      <w:r w:rsidRPr="00EE7913">
        <w:t xml:space="preserve">L’absentisme laboral, pels costos que comporta i pels efectes negatius que té sobre el funcionament del servei, ha estat objecte d’estudi </w:t>
      </w:r>
      <w:r>
        <w:t>en</w:t>
      </w:r>
      <w:r w:rsidRPr="00EE7913">
        <w:t xml:space="preserve"> totes les organitzacions.</w:t>
      </w:r>
    </w:p>
    <w:p w:rsidR="00AD76E0" w:rsidRPr="00EE7913" w:rsidRDefault="00AD76E0" w:rsidP="00AD76E0">
      <w:pPr>
        <w:spacing w:before="0" w:after="0" w:line="276" w:lineRule="auto"/>
      </w:pPr>
    </w:p>
    <w:p w:rsidR="00AD76E0" w:rsidRPr="00EE7913" w:rsidRDefault="00AD76E0" w:rsidP="009A1F67">
      <w:r w:rsidRPr="00EE7913">
        <w:t xml:space="preserve">El Departament de Justícia </w:t>
      </w:r>
      <w:r>
        <w:t>f</w:t>
      </w:r>
      <w:r w:rsidRPr="00EE7913">
        <w:t>a estudis sobre l’absentisme per incapacitat temporal causada per malaltia o accident laboral des de l’any 2004.</w:t>
      </w:r>
    </w:p>
    <w:p w:rsidR="00AD76E0" w:rsidRPr="00EE7913" w:rsidRDefault="00AD76E0" w:rsidP="00AD76E0">
      <w:pPr>
        <w:spacing w:before="0" w:after="0" w:line="276" w:lineRule="auto"/>
      </w:pPr>
    </w:p>
    <w:p w:rsidR="00AD76E0" w:rsidRPr="00EE7913" w:rsidRDefault="00AD76E0" w:rsidP="009A1F67">
      <w:r w:rsidRPr="00EE7913">
        <w:t xml:space="preserve">Els estudis d’absentisme analitzen la informació a nivell agregat del Departament de Justícia i per àmbits del Departament: </w:t>
      </w:r>
      <w:r>
        <w:t>a</w:t>
      </w:r>
      <w:r w:rsidRPr="00EE7913">
        <w:t xml:space="preserve">dministració de </w:t>
      </w:r>
      <w:r>
        <w:t>j</w:t>
      </w:r>
      <w:r w:rsidRPr="00EE7913">
        <w:t>ustícia,</w:t>
      </w:r>
      <w:r>
        <w:t xml:space="preserve"> a</w:t>
      </w:r>
      <w:r w:rsidRPr="00EE7913">
        <w:t xml:space="preserve">dministració i serveis generals, </w:t>
      </w:r>
      <w:r>
        <w:t>e</w:t>
      </w:r>
      <w:r w:rsidRPr="00EE7913">
        <w:t xml:space="preserve">xecució penal d’adults i </w:t>
      </w:r>
      <w:r>
        <w:t>j</w:t>
      </w:r>
      <w:r w:rsidRPr="00EE7913">
        <w:t xml:space="preserve">ustícia </w:t>
      </w:r>
      <w:r>
        <w:t>j</w:t>
      </w:r>
      <w:r w:rsidRPr="00EE7913">
        <w:t>uvenil.</w:t>
      </w:r>
    </w:p>
    <w:p w:rsidR="00AD76E0" w:rsidRPr="00EE7913" w:rsidRDefault="00AD76E0" w:rsidP="00AD76E0">
      <w:pPr>
        <w:spacing w:before="0" w:after="0" w:line="276" w:lineRule="auto"/>
      </w:pPr>
    </w:p>
    <w:p w:rsidR="00AD76E0" w:rsidRPr="00EE7913" w:rsidRDefault="00AD76E0" w:rsidP="00AD76E0">
      <w:pPr>
        <w:spacing w:before="0" w:after="0" w:line="276" w:lineRule="auto"/>
      </w:pPr>
      <w:r w:rsidRPr="00EE7913">
        <w:t>Aquest</w:t>
      </w:r>
      <w:r>
        <w:t>s</w:t>
      </w:r>
      <w:r w:rsidRPr="00EE7913">
        <w:t xml:space="preserve"> estudis, que es publiquen a la </w:t>
      </w:r>
      <w:r>
        <w:t>i</w:t>
      </w:r>
      <w:r w:rsidRPr="00EE7913">
        <w:t>ntranet del Departament de Justícia amb periodicitat trimestral i anual (</w:t>
      </w:r>
      <w:hyperlink r:id="rId71" w:history="1">
        <w:r w:rsidRPr="00EE7913">
          <w:rPr>
            <w:rStyle w:val="Enlla"/>
          </w:rPr>
          <w:t>http://justicia.intranet.gencat.cat/personal/estudis/estudis_absentime</w:t>
        </w:r>
      </w:hyperlink>
      <w:r w:rsidRPr="00EE7913">
        <w:t>), són de gran utilitat per als directius i per als gestors del Departament.</w:t>
      </w:r>
    </w:p>
    <w:p w:rsidR="00AD76E0" w:rsidRPr="00EE7913" w:rsidRDefault="00AD76E0" w:rsidP="00AD76E0">
      <w:pPr>
        <w:spacing w:before="0" w:after="0" w:line="276" w:lineRule="auto"/>
      </w:pPr>
    </w:p>
    <w:p w:rsidR="00AD76E0" w:rsidRPr="00486042" w:rsidRDefault="00AD76E0" w:rsidP="007A1E03">
      <w:pPr>
        <w:pStyle w:val="Ttol5"/>
      </w:pPr>
      <w:r w:rsidRPr="00486042">
        <w:t>Programa d’incentivació a la presència efectiva (PIPE)</w:t>
      </w:r>
    </w:p>
    <w:p w:rsidR="00AD76E0" w:rsidRPr="00EE7913" w:rsidRDefault="00AD76E0" w:rsidP="00AD76E0">
      <w:pPr>
        <w:spacing w:before="0" w:after="0" w:line="276" w:lineRule="auto"/>
        <w:rPr>
          <w:i/>
          <w:sz w:val="12"/>
          <w:szCs w:val="12"/>
        </w:rPr>
      </w:pPr>
    </w:p>
    <w:p w:rsidR="00AD76E0" w:rsidRPr="00EE7913" w:rsidRDefault="00AD76E0" w:rsidP="009A1F67">
      <w:r w:rsidRPr="00EE7913">
        <w:t xml:space="preserve">D’altra banda, l’any 2006, amb la finalitat </w:t>
      </w:r>
      <w:r>
        <w:t xml:space="preserve">de </w:t>
      </w:r>
      <w:r w:rsidRPr="00EE7913">
        <w:t xml:space="preserve">reconèixer i incentivar la presència efectiva i continuada en el lloc de treball, es va establir per a tot el personal inclòs dins de l'àmbit d'aplicació de l’Acord de condicions de treball de personal de l’àmbit penitenciari 2006-2009 el dret a la percepció d'una quantitat econòmica mensual, sempre </w:t>
      </w:r>
      <w:r>
        <w:t>que</w:t>
      </w:r>
      <w:r w:rsidRPr="00EE7913">
        <w:t xml:space="preserve"> es complissin les condicions de presència fixades.</w:t>
      </w:r>
    </w:p>
    <w:p w:rsidR="00AD76E0" w:rsidRPr="00EE7913" w:rsidRDefault="00AD76E0" w:rsidP="00AD76E0">
      <w:pPr>
        <w:spacing w:before="0" w:after="0" w:line="276" w:lineRule="auto"/>
      </w:pPr>
    </w:p>
    <w:p w:rsidR="00AD76E0" w:rsidRPr="00EE7913" w:rsidRDefault="00AD76E0" w:rsidP="009A1F67">
      <w:r w:rsidRPr="00EE7913">
        <w:t>Qualsevol absència que es produís per causa diferent a la situació d’incapacitat per maternitat i accidents de treball, els permisos i les llicències i el règim de compensació de festius i vacances</w:t>
      </w:r>
      <w:r>
        <w:t>,</w:t>
      </w:r>
      <w:r w:rsidRPr="00EE7913">
        <w:t xml:space="preserve"> així com els supòsits excepcionals de baixa per incapacitat transitòria vinculats a incidents greus en els centres penitenciaris, tindria la consideració d’absència a efectes de la percepció del complement econòmic.</w:t>
      </w:r>
    </w:p>
    <w:p w:rsidR="00AD76E0" w:rsidRPr="00EE7913" w:rsidRDefault="00AD76E0" w:rsidP="00AD76E0">
      <w:pPr>
        <w:spacing w:before="0" w:after="0" w:line="276" w:lineRule="auto"/>
      </w:pPr>
    </w:p>
    <w:p w:rsidR="00AD76E0" w:rsidRPr="00EE7913" w:rsidRDefault="00AD76E0" w:rsidP="009A1F67">
      <w:r w:rsidRPr="00EE7913">
        <w:t>El període de còmput era trimestral i implicava, partint de la quantitat fixada, aplicar una reducció proporcional en funció</w:t>
      </w:r>
      <w:r>
        <w:t xml:space="preserve"> de les absències.</w:t>
      </w:r>
    </w:p>
    <w:p w:rsidR="00AD76E0" w:rsidRPr="00EE7913" w:rsidRDefault="00AD76E0" w:rsidP="00AD76E0">
      <w:pPr>
        <w:spacing w:before="0" w:after="0" w:line="276" w:lineRule="auto"/>
      </w:pPr>
    </w:p>
    <w:p w:rsidR="00AD76E0" w:rsidRPr="00EE7913" w:rsidRDefault="00AD76E0" w:rsidP="009A1F67">
      <w:r w:rsidRPr="00EE7913">
        <w:t xml:space="preserve">Les quantitats a percebre per aquest programa durant </w:t>
      </w:r>
      <w:r>
        <w:t xml:space="preserve">la </w:t>
      </w:r>
      <w:r w:rsidRPr="00EE7913">
        <w:t>vigència de l'Acord eren de 70 euros mensuals per</w:t>
      </w:r>
      <w:r>
        <w:t xml:space="preserve"> a</w:t>
      </w:r>
      <w:r w:rsidRPr="00EE7913">
        <w:t xml:space="preserve"> l’any 2006 i de 90 euros mensuals per a l’any 2007.</w:t>
      </w:r>
    </w:p>
    <w:p w:rsidR="00AD76E0" w:rsidRPr="00EE7913" w:rsidRDefault="00AD76E0" w:rsidP="00AD76E0">
      <w:pPr>
        <w:spacing w:before="0" w:after="0" w:line="276" w:lineRule="auto"/>
      </w:pPr>
    </w:p>
    <w:p w:rsidR="00AD76E0" w:rsidRPr="00EE7913" w:rsidRDefault="00AD76E0" w:rsidP="009A1F67">
      <w:r w:rsidRPr="00EE7913">
        <w:t>La finalitat principal d’aquest programa retributiu era reduir l’absentisme del personal penitenciari, derivat principalment d’un elevat índex d’incapacitat temporal. Amb aquest</w:t>
      </w:r>
      <w:r>
        <w:t>a</w:t>
      </w:r>
      <w:r w:rsidRPr="00EE7913">
        <w:t xml:space="preserve"> finalitat, es van establir com a condicions o fites d’aquest Programa que</w:t>
      </w:r>
      <w:r>
        <w:t>,</w:t>
      </w:r>
      <w:r w:rsidRPr="00EE7913">
        <w:t xml:space="preserve"> si durant l’any 2007 es redu</w:t>
      </w:r>
      <w:r>
        <w:t>ïa</w:t>
      </w:r>
      <w:r w:rsidRPr="00EE7913">
        <w:t xml:space="preserve"> la taxa d'absentisme global al 9</w:t>
      </w:r>
      <w:r>
        <w:t xml:space="preserve"> </w:t>
      </w:r>
      <w:r w:rsidRPr="00EE7913">
        <w:t xml:space="preserve">%, es meritaria la quantitat de 120 euros mensuals a percebre durant </w:t>
      </w:r>
      <w:r>
        <w:t>els anys</w:t>
      </w:r>
      <w:r w:rsidRPr="00EE7913">
        <w:t xml:space="preserve"> 2008 i 2009; si no s’aconsegu</w:t>
      </w:r>
      <w:r>
        <w:t>ia</w:t>
      </w:r>
      <w:r w:rsidRPr="00EE7913">
        <w:t xml:space="preserve"> aquest objectiu, però durant l’any 2008 es redu</w:t>
      </w:r>
      <w:r>
        <w:t>ïa l'</w:t>
      </w:r>
      <w:r w:rsidRPr="00EE7913">
        <w:t>absentisme fins a la taxa indicada, es meritaria igualment la quantitat de 120</w:t>
      </w:r>
      <w:r>
        <w:t xml:space="preserve"> euros mensuals a cobrar l'</w:t>
      </w:r>
      <w:r w:rsidRPr="00EE7913">
        <w:t>any 2009</w:t>
      </w:r>
      <w:r>
        <w:t>,</w:t>
      </w:r>
      <w:r w:rsidRPr="00EE7913">
        <w:t xml:space="preserve"> i</w:t>
      </w:r>
      <w:r>
        <w:t>,</w:t>
      </w:r>
      <w:r w:rsidRPr="00EE7913">
        <w:t xml:space="preserve"> si durant l’any 2008 es redu</w:t>
      </w:r>
      <w:r>
        <w:t>ïa</w:t>
      </w:r>
      <w:r w:rsidRPr="00EE7913">
        <w:t xml:space="preserve"> la taxa </w:t>
      </w:r>
      <w:r w:rsidRPr="00EE7913">
        <w:lastRenderedPageBreak/>
        <w:t>d’absentisme global al 7%, es meritaria la quantitat d</w:t>
      </w:r>
      <w:r>
        <w:t xml:space="preserve">e 140 euros mensuals a cobrar </w:t>
      </w:r>
      <w:r w:rsidRPr="00EE7913">
        <w:t xml:space="preserve"> </w:t>
      </w:r>
      <w:r>
        <w:t>l’</w:t>
      </w:r>
      <w:r w:rsidRPr="00EE7913">
        <w:t>any 2009.</w:t>
      </w:r>
    </w:p>
    <w:p w:rsidR="00AD76E0" w:rsidRPr="00EE7913" w:rsidRDefault="00AD76E0" w:rsidP="00AD76E0">
      <w:pPr>
        <w:spacing w:before="0" w:after="0" w:line="276" w:lineRule="auto"/>
      </w:pPr>
    </w:p>
    <w:p w:rsidR="00AD76E0" w:rsidRPr="00486042" w:rsidRDefault="00AD76E0" w:rsidP="007A1E03">
      <w:pPr>
        <w:pStyle w:val="Ttol5"/>
      </w:pPr>
      <w:r w:rsidRPr="00486042">
        <w:t>Programa de rendiment professional (PRP)</w:t>
      </w:r>
    </w:p>
    <w:p w:rsidR="00AD76E0" w:rsidRPr="00EE7913" w:rsidRDefault="00AD76E0" w:rsidP="00AD76E0">
      <w:pPr>
        <w:spacing w:before="0" w:after="0" w:line="276" w:lineRule="auto"/>
      </w:pPr>
    </w:p>
    <w:p w:rsidR="00AD76E0" w:rsidRPr="00EE7913" w:rsidRDefault="00AD76E0" w:rsidP="009A1F67">
      <w:r w:rsidRPr="00EE7913">
        <w:t xml:space="preserve">L’any 2012, a l’Acord de pròrroga durant els anys 2012 i 2013 de l’Acord 2006-2009 de condicions de treball de personal de l’àmbit penitenciari, vist el resultat positiu del Programa d’incentivació de la presència efectiva i la conveniència del seu manteniment, es va acordar la seva continuïtat, adaptant-ne la quantia i les condicions de percepció i transformant-lo en el </w:t>
      </w:r>
      <w:r w:rsidRPr="00EE7913">
        <w:rPr>
          <w:i/>
        </w:rPr>
        <w:t>Programa de rendiment professional (PRP),</w:t>
      </w:r>
      <w:r w:rsidRPr="00EE7913">
        <w:t xml:space="preserve"> amb la percepció dels imports i </w:t>
      </w:r>
      <w:r>
        <w:t>per als</w:t>
      </w:r>
      <w:r w:rsidRPr="00EE7913">
        <w:t xml:space="preserve"> períodes següents:</w:t>
      </w:r>
    </w:p>
    <w:p w:rsidR="00AD76E0" w:rsidRPr="00EE7913" w:rsidRDefault="00AD76E0" w:rsidP="00AD76E0">
      <w:pPr>
        <w:spacing w:before="0" w:after="0" w:line="276" w:lineRule="auto"/>
      </w:pPr>
    </w:p>
    <w:p w:rsidR="00AD76E0" w:rsidRPr="00EE7913" w:rsidRDefault="00AD76E0" w:rsidP="00AD76E0">
      <w:pPr>
        <w:spacing w:before="0" w:after="0" w:line="276" w:lineRule="auto"/>
      </w:pPr>
      <w:r w:rsidRPr="00EE7913">
        <w:t xml:space="preserve">- Període </w:t>
      </w:r>
      <w:r>
        <w:t>g</w:t>
      </w:r>
      <w:r w:rsidRPr="00EE7913">
        <w:t>ener 2012-</w:t>
      </w:r>
      <w:r>
        <w:t>d</w:t>
      </w:r>
      <w:r w:rsidRPr="00EE7913">
        <w:t>esembre 2012; quantitat a percebre: 294 euros trimestrals.</w:t>
      </w:r>
    </w:p>
    <w:p w:rsidR="00AD76E0" w:rsidRPr="00EE7913" w:rsidRDefault="00AD76E0" w:rsidP="00AD76E0">
      <w:pPr>
        <w:spacing w:before="0" w:after="0" w:line="276" w:lineRule="auto"/>
      </w:pPr>
      <w:r w:rsidRPr="00EE7913">
        <w:t xml:space="preserve">- Període </w:t>
      </w:r>
      <w:r>
        <w:t>g</w:t>
      </w:r>
      <w:r w:rsidRPr="00EE7913">
        <w:t>ener 2013-</w:t>
      </w:r>
      <w:r>
        <w:t>j</w:t>
      </w:r>
      <w:r w:rsidRPr="00EE7913">
        <w:t>uny 2013; quantitat a percebre: 330  euros trimestrals.</w:t>
      </w:r>
    </w:p>
    <w:p w:rsidR="00AD76E0" w:rsidRPr="00EE7913" w:rsidRDefault="00AD76E0" w:rsidP="00AD76E0">
      <w:pPr>
        <w:spacing w:before="0" w:after="0" w:line="276" w:lineRule="auto"/>
      </w:pPr>
      <w:r w:rsidRPr="00EE7913">
        <w:t xml:space="preserve">- Període </w:t>
      </w:r>
      <w:r>
        <w:t>j</w:t>
      </w:r>
      <w:r w:rsidRPr="00EE7913">
        <w:t xml:space="preserve">uliol 2013- </w:t>
      </w:r>
      <w:r>
        <w:t>d</w:t>
      </w:r>
      <w:r w:rsidRPr="00EE7913">
        <w:t>esembre 2013; quantitat a percebre: 360 euros trimestrals.</w:t>
      </w:r>
    </w:p>
    <w:p w:rsidR="00AD76E0" w:rsidRPr="00EE7913" w:rsidRDefault="00AD76E0" w:rsidP="00AD76E0">
      <w:pPr>
        <w:spacing w:before="0" w:after="0" w:line="276" w:lineRule="auto"/>
      </w:pPr>
    </w:p>
    <w:p w:rsidR="00AD76E0" w:rsidRPr="00EE7913" w:rsidRDefault="00AD76E0" w:rsidP="009A1F67">
      <w:r w:rsidRPr="00EE7913">
        <w:t>L’any 2014, a l’Acord de pròrroga durant els anys 2014-2015 de l’Acord 2006-2009 de condicions de treball del personal penitenciari, es va acordar la continuïtat del Programa fins al 31 de desembre de 2015, amb la percepció de 345 euros trimestrals durant l’any 2014 i 360 euros trimestrals durant l’any 2015.</w:t>
      </w:r>
    </w:p>
    <w:p w:rsidR="00AD76E0" w:rsidRPr="00EE7913" w:rsidRDefault="00AD76E0" w:rsidP="00AD76E0">
      <w:pPr>
        <w:spacing w:before="0" w:after="0" w:line="276" w:lineRule="auto"/>
      </w:pPr>
    </w:p>
    <w:p w:rsidR="00AD76E0" w:rsidRDefault="00AD76E0" w:rsidP="009A1F67">
      <w:r w:rsidRPr="00EE7913">
        <w:t xml:space="preserve">L’any 2016, per Acord de Govern, de 14 de juny de 2016, es va aprovar la proposta de la Mesa sectorial de negociació de personal d’administració i tècnic de la Generalitat de Catalunya, que ratificava la proposta de l’Administració de retribuir de manera excepcional al personal penitenciari amb un complement d’idèntica quantitat econòmica que l’extingit Programa de </w:t>
      </w:r>
      <w:r>
        <w:t>r</w:t>
      </w:r>
      <w:r w:rsidRPr="00EE7913">
        <w:t xml:space="preserve">endiment </w:t>
      </w:r>
      <w:r>
        <w:t>p</w:t>
      </w:r>
      <w:r w:rsidRPr="00EE7913">
        <w:t>rofessional.</w:t>
      </w:r>
    </w:p>
    <w:p w:rsidR="00AD76E0" w:rsidRPr="00EE7913" w:rsidRDefault="00AD76E0" w:rsidP="00AD76E0">
      <w:pPr>
        <w:spacing w:before="0" w:after="0" w:line="276" w:lineRule="auto"/>
      </w:pPr>
    </w:p>
    <w:p w:rsidR="00AD76E0" w:rsidRPr="00EE7913" w:rsidRDefault="00AD76E0" w:rsidP="0070401F">
      <w:pPr>
        <w:pStyle w:val="Ttol4"/>
      </w:pPr>
      <w:bookmarkStart w:id="492" w:name="_Toc464726395"/>
      <w:r w:rsidRPr="00EE7913">
        <w:t>La segona activitat en els cossos penitenciaris</w:t>
      </w:r>
      <w:bookmarkEnd w:id="492"/>
    </w:p>
    <w:p w:rsidR="00AD76E0" w:rsidRPr="00EE7913" w:rsidRDefault="00AD76E0" w:rsidP="00AD76E0">
      <w:pPr>
        <w:spacing w:before="0" w:after="0" w:line="276" w:lineRule="auto"/>
      </w:pPr>
    </w:p>
    <w:p w:rsidR="00AD76E0" w:rsidRPr="00EE7913" w:rsidRDefault="00AD76E0" w:rsidP="009A1F67">
      <w:r w:rsidRPr="00EE7913">
        <w:t>El Decret legislatiu 1/1997, de 31 d’octubre, pel</w:t>
      </w:r>
      <w:r>
        <w:t xml:space="preserve"> qual s’aprova la refosa en un t</w:t>
      </w:r>
      <w:r w:rsidRPr="00EE7913">
        <w:t xml:space="preserve">ext únic de determinats textos legals vigents a Catalunya en matèria de funció pública, preveu, </w:t>
      </w:r>
      <w:r>
        <w:t>a</w:t>
      </w:r>
      <w:r w:rsidRPr="00EE7913">
        <w:t xml:space="preserve"> l’article 41, la possibilitat de reglamentar els mecanismes i els efectes perquè els funcionaris que pertanyen a cossos o escales de l’Administració de la Generalitat que ocupen llocs de treball el desenvolupament dels quals requereix unes condicions físiques o psíquiques especials, sempre que no els correspongui la jubilació o la incapacitat, puguin prestar altres serveis, preferentment entre els propis del seu cos o escala o en llocs que pertanyin a altres cossos o escales.</w:t>
      </w:r>
    </w:p>
    <w:p w:rsidR="00AD76E0" w:rsidRPr="00EE7913" w:rsidRDefault="00AD76E0" w:rsidP="00AD76E0">
      <w:pPr>
        <w:spacing w:before="0" w:after="0" w:line="276" w:lineRule="auto"/>
      </w:pPr>
    </w:p>
    <w:p w:rsidR="00AD76E0" w:rsidRPr="00EE7913" w:rsidRDefault="00AD76E0" w:rsidP="009A1F67">
      <w:r>
        <w:t>L’A</w:t>
      </w:r>
      <w:r w:rsidRPr="00EE7913">
        <w:t>cord de 30 de juliol de 1999 entre l’Administració de la Generalitat de Catalunya i les organitzacions sindicals representatives del personal funcionari penitenciari en relació amb les seves condicions de treball estableix que els funcionaris dels grups de serveis penitenciaris, auxiliars tècnics, tècnics especialistes i diplomats que ocupin llocs de treball del servei interior i/o àrea mixta o llocs de comandament de cap de servei o cap de centre de servei interior o cap d’unitat tant de servei interior com d’àrea mixta, puguin passar a prestar els seus serveis en llocs de segona activitat, tant a causa de la disminució de la seva capacitat com per raó del compliment d’una determinada edat.</w:t>
      </w:r>
    </w:p>
    <w:p w:rsidR="00AD76E0" w:rsidRPr="00EE7913" w:rsidRDefault="00AD76E0" w:rsidP="00AD76E0">
      <w:pPr>
        <w:spacing w:before="0" w:after="0" w:line="276" w:lineRule="auto"/>
      </w:pPr>
    </w:p>
    <w:p w:rsidR="00AD76E0" w:rsidRPr="00EE7913" w:rsidRDefault="00AD76E0" w:rsidP="009A1F67">
      <w:r w:rsidRPr="00EE7913">
        <w:t>El contingut d’aquest acord sindical s’ha vist reflectit a la Llei 4/2000, de 26 de maig, de mesures fiscals i administratives, que addiciona una disposició</w:t>
      </w:r>
      <w:r>
        <w:t xml:space="preserve"> addicional vint-i-cinquena al t</w:t>
      </w:r>
      <w:r w:rsidRPr="00EE7913">
        <w:t>ext refós de la Llei de funció pública, segons la qual els funcionaris de grups de serveis penitenciaris esmentats poden passar a ocupar llocs de treball de segona activitat en els mateixos serveis penitenciaris o en altres llocs homologats, adequats al seu nivell de titulació, de formació i de coneixements, quan compleixin l’edat de cinquanta-set anys i tinguin l’antiguitat que es determini per reglament o quan, segons un dictamen mèdic, tinguin disminuïda la capacitat per complir el servei ordinari d’una manera previsiblement permanent.</w:t>
      </w:r>
    </w:p>
    <w:p w:rsidR="00AD76E0" w:rsidRPr="00EE7913" w:rsidRDefault="00AD76E0" w:rsidP="00AD76E0">
      <w:pPr>
        <w:spacing w:before="0" w:after="0" w:line="276" w:lineRule="auto"/>
      </w:pPr>
    </w:p>
    <w:p w:rsidR="00AD76E0" w:rsidRDefault="00AD76E0" w:rsidP="009A1F67">
      <w:r>
        <w:t>E</w:t>
      </w:r>
      <w:r w:rsidRPr="00EE7913">
        <w:t>l Decret</w:t>
      </w:r>
      <w:r>
        <w:t xml:space="preserve"> 365/2001, de 24 de desembre, regula</w:t>
      </w:r>
      <w:r w:rsidRPr="00EE7913">
        <w:t xml:space="preserve"> la situació de segona activitat en els cossos penitenciaris.</w:t>
      </w:r>
      <w:r>
        <w:t xml:space="preserve"> És una de les primeres que es va desenvolupar a Catalunya.</w:t>
      </w:r>
    </w:p>
    <w:p w:rsidR="00AD76E0" w:rsidRPr="00EE7913" w:rsidRDefault="00AD76E0" w:rsidP="00AD76E0">
      <w:pPr>
        <w:spacing w:before="0" w:after="0" w:line="276" w:lineRule="auto"/>
      </w:pPr>
    </w:p>
    <w:p w:rsidR="00AD76E0" w:rsidRDefault="00AD76E0" w:rsidP="00AD76E0">
      <w:pPr>
        <w:spacing w:before="0" w:after="0" w:line="276" w:lineRule="auto"/>
      </w:pPr>
      <w:r w:rsidRPr="00EE7913">
        <w:t>Aquesta disposició preveu com a causes per les quals es pot passar a ocupar llocs de segona activitat:</w:t>
      </w:r>
    </w:p>
    <w:p w:rsidR="00AD76E0" w:rsidRDefault="00AD76E0" w:rsidP="00AD76E0">
      <w:pPr>
        <w:spacing w:before="0" w:after="0" w:line="276" w:lineRule="auto"/>
      </w:pPr>
    </w:p>
    <w:p w:rsidR="00AD76E0" w:rsidRDefault="00AD76E0" w:rsidP="009A1F67">
      <w:pPr>
        <w:pStyle w:val="Pargrafdellista"/>
        <w:numPr>
          <w:ilvl w:val="0"/>
          <w:numId w:val="91"/>
        </w:numPr>
        <w:spacing w:before="0" w:after="0"/>
      </w:pPr>
      <w:r w:rsidRPr="00EE7913">
        <w:t>Haver complert cinquanta-set anys d’edat i l’acreditació d’haver prestat servei efectiu en unitats de servei interior o d’àrea mixta, tant de llocs base com de comandament intermedi, durant vint-i-cinc anys, dels quals els cinc darrers han de correspondre a un període ininterromput i immediatament anterior a la petició.</w:t>
      </w:r>
    </w:p>
    <w:p w:rsidR="00AD76E0" w:rsidRPr="00EE7913" w:rsidRDefault="00AD76E0" w:rsidP="009A1F67">
      <w:pPr>
        <w:pStyle w:val="Pargrafdellista"/>
        <w:numPr>
          <w:ilvl w:val="0"/>
          <w:numId w:val="91"/>
        </w:numPr>
        <w:spacing w:before="0" w:after="0"/>
      </w:pPr>
      <w:r w:rsidRPr="00EE7913">
        <w:t>Excepcionalment, quan, segons dictamen mèdic, la persona tingui disminuïda d’una manera previsiblement permanent la seva capacitat per complir les funcions ordinàries corresponents al seu lloc de treball, sempre que no correspongui l’adaptació del lloc de treball o la declaració de la situació d’incapacitat de conformitat amb la normativa sectorial de la Seguretat Social.</w:t>
      </w:r>
    </w:p>
    <w:p w:rsidR="00AD76E0" w:rsidRPr="00EE7913" w:rsidRDefault="00AD76E0" w:rsidP="00AD76E0">
      <w:pPr>
        <w:spacing w:before="0" w:after="0" w:line="276" w:lineRule="auto"/>
      </w:pPr>
    </w:p>
    <w:p w:rsidR="00AD76E0" w:rsidRPr="00EE7913" w:rsidRDefault="00AD76E0" w:rsidP="009A1F67">
      <w:r w:rsidRPr="00EE7913">
        <w:t xml:space="preserve">Les funcions dels llocs de segona activitat consistiran </w:t>
      </w:r>
      <w:r>
        <w:t>a</w:t>
      </w:r>
      <w:r w:rsidRPr="00EE7913">
        <w:t xml:space="preserve"> desenvolupar tasques de col·laboració i suport administratiu a les activitats de gestió, d’inspecció, d’execució, de control i similars, adequades al seu nivell de titulació, de formació i de coneixements.</w:t>
      </w:r>
    </w:p>
    <w:p w:rsidR="00AD76E0" w:rsidRPr="00EE7913" w:rsidRDefault="00AD76E0" w:rsidP="00AD76E0">
      <w:pPr>
        <w:spacing w:before="0" w:after="0" w:line="276" w:lineRule="auto"/>
        <w:rPr>
          <w:color w:val="000000" w:themeColor="text1"/>
        </w:rPr>
      </w:pPr>
    </w:p>
    <w:p w:rsidR="00AD76E0" w:rsidRPr="00EE7913" w:rsidRDefault="00AD76E0" w:rsidP="009A1F67">
      <w:r w:rsidRPr="00EE7913">
        <w:t xml:space="preserve">Cal esmentar que Institucions Penitenciàries de l’Administració General de l’Estat, l’any 2001 va regular l’assignació de llocs de treball a determinats funcionaris del cos </w:t>
      </w:r>
      <w:r>
        <w:t>e</w:t>
      </w:r>
      <w:r w:rsidRPr="00EE7913">
        <w:t>special i del cos d’</w:t>
      </w:r>
      <w:r>
        <w:t>a</w:t>
      </w:r>
      <w:r w:rsidRPr="00EE7913">
        <w:t>judants d’</w:t>
      </w:r>
      <w:r>
        <w:t>i</w:t>
      </w:r>
      <w:r w:rsidRPr="00EE7913">
        <w:t xml:space="preserve">nstitucions </w:t>
      </w:r>
      <w:r>
        <w:t>p</w:t>
      </w:r>
      <w:r w:rsidRPr="00EE7913">
        <w:t xml:space="preserve">enitenciàries per raons d’edat, però no ha desenvolupat </w:t>
      </w:r>
      <w:r w:rsidRPr="00A85BF6">
        <w:t>stricto sensu</w:t>
      </w:r>
      <w:r w:rsidRPr="00EE7913">
        <w:t xml:space="preserve"> una regulació de la situació de segona activitat que prevegi com a causa per passar a aquesta situació la reducció de les capacitats funcionals o de les condicions psicofísiques.</w:t>
      </w:r>
    </w:p>
    <w:p w:rsidR="00A60BB6" w:rsidRDefault="00AD76E0" w:rsidP="00A60BB6">
      <w:pPr>
        <w:keepNext/>
        <w:spacing w:before="0" w:after="0" w:line="276" w:lineRule="auto"/>
        <w:jc w:val="center"/>
      </w:pPr>
      <w:r w:rsidRPr="00EE7913">
        <w:rPr>
          <w:noProof/>
          <w:lang w:eastAsia="ca-ES"/>
        </w:rPr>
        <w:lastRenderedPageBreak/>
        <w:drawing>
          <wp:inline distT="0" distB="0" distL="0" distR="0" wp14:anchorId="002FCF3A" wp14:editId="452D9333">
            <wp:extent cx="4874304" cy="3105915"/>
            <wp:effectExtent l="0" t="0" r="2540" b="0"/>
            <wp:docPr id="115"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4876105" cy="3107063"/>
                    </a:xfrm>
                    <a:prstGeom prst="rect">
                      <a:avLst/>
                    </a:prstGeom>
                    <a:noFill/>
                    <a:ln>
                      <a:noFill/>
                    </a:ln>
                  </pic:spPr>
                </pic:pic>
              </a:graphicData>
            </a:graphic>
          </wp:inline>
        </w:drawing>
      </w:r>
    </w:p>
    <w:p w:rsidR="00AD76E0" w:rsidRPr="00EE7913" w:rsidRDefault="009A1F67" w:rsidP="00A60BB6">
      <w:pPr>
        <w:pStyle w:val="Llegenda"/>
        <w:jc w:val="center"/>
      </w:pPr>
      <w:bookmarkStart w:id="493" w:name="_Toc465293859"/>
      <w:r>
        <w:t>Gràfic</w:t>
      </w:r>
      <w:r w:rsidR="00A60BB6">
        <w:t xml:space="preserve"> </w:t>
      </w:r>
      <w:r w:rsidR="00DB496B">
        <w:fldChar w:fldCharType="begin"/>
      </w:r>
      <w:r w:rsidR="00DB496B">
        <w:instrText xml:space="preserve"> SEQ Il·lustració \</w:instrText>
      </w:r>
      <w:r w:rsidR="00DB496B">
        <w:instrText xml:space="preserve">* ARABIC </w:instrText>
      </w:r>
      <w:r w:rsidR="00DB496B">
        <w:fldChar w:fldCharType="separate"/>
      </w:r>
      <w:r w:rsidR="00C952DF">
        <w:rPr>
          <w:noProof/>
        </w:rPr>
        <w:t>52</w:t>
      </w:r>
      <w:r w:rsidR="00DB496B">
        <w:rPr>
          <w:noProof/>
        </w:rPr>
        <w:fldChar w:fldCharType="end"/>
      </w:r>
      <w:r w:rsidR="00A60BB6">
        <w:t xml:space="preserve">. </w:t>
      </w:r>
      <w:r w:rsidR="00A60BB6" w:rsidRPr="00FF1E0D">
        <w:t>Evolució de la situació de segona activitat dels cossos penitenciaris 2003-2016</w:t>
      </w:r>
      <w:bookmarkEnd w:id="493"/>
    </w:p>
    <w:p w:rsidR="00AD76E0" w:rsidRDefault="00AD76E0" w:rsidP="00AD76E0">
      <w:pPr>
        <w:spacing w:before="0" w:after="0" w:line="276" w:lineRule="auto"/>
      </w:pPr>
    </w:p>
    <w:p w:rsidR="00AD76E0" w:rsidRDefault="00AD76E0" w:rsidP="00AD76E0">
      <w:pPr>
        <w:spacing w:before="0" w:after="0" w:line="276" w:lineRule="auto"/>
      </w:pPr>
    </w:p>
    <w:p w:rsidR="00AD76E0" w:rsidRDefault="00AD76E0" w:rsidP="00AD76E0">
      <w:pPr>
        <w:spacing w:before="0" w:after="0" w:line="276" w:lineRule="auto"/>
        <w:ind w:left="-709" w:firstLine="283"/>
        <w:jc w:val="left"/>
      </w:pPr>
    </w:p>
    <w:p w:rsidR="00AD76E0" w:rsidRDefault="00AD76E0" w:rsidP="00AD76E0">
      <w:pPr>
        <w:spacing w:before="0" w:after="0" w:line="276" w:lineRule="auto"/>
        <w:ind w:left="-709" w:firstLine="283"/>
        <w:jc w:val="left"/>
      </w:pPr>
    </w:p>
    <w:p w:rsidR="00AD76E0" w:rsidRDefault="00AD76E0" w:rsidP="00AD76E0">
      <w:pPr>
        <w:spacing w:before="0" w:after="0" w:line="276" w:lineRule="auto"/>
        <w:ind w:left="-709" w:firstLine="283"/>
        <w:jc w:val="left"/>
      </w:pPr>
    </w:p>
    <w:p w:rsidR="007A1E03" w:rsidRDefault="007A1E03">
      <w:pPr>
        <w:spacing w:before="0"/>
        <w:jc w:val="left"/>
      </w:pPr>
      <w:r>
        <w:br w:type="page"/>
      </w:r>
    </w:p>
    <w:p w:rsidR="00AD76E0" w:rsidRDefault="00AD76E0" w:rsidP="00AD76E0">
      <w:pPr>
        <w:spacing w:before="0" w:after="0" w:line="276" w:lineRule="auto"/>
        <w:ind w:left="-709" w:firstLine="283"/>
        <w:jc w:val="left"/>
      </w:pPr>
    </w:p>
    <w:p w:rsidR="00AD76E0" w:rsidRDefault="00AD76E0" w:rsidP="0070401F">
      <w:pPr>
        <w:pStyle w:val="Ttol2"/>
      </w:pPr>
      <w:bookmarkStart w:id="494" w:name="_Toc464726396"/>
      <w:bookmarkStart w:id="495" w:name="_Toc465293446"/>
      <w:r w:rsidRPr="00EE7913">
        <w:t>La situació actual</w:t>
      </w:r>
      <w:bookmarkEnd w:id="494"/>
      <w:bookmarkEnd w:id="495"/>
    </w:p>
    <w:p w:rsidR="007A1E03" w:rsidRPr="007A1E03" w:rsidRDefault="007A1E03" w:rsidP="007A1E03"/>
    <w:p w:rsidR="00AD76E0" w:rsidRPr="00EE7913" w:rsidRDefault="00AD76E0" w:rsidP="0070401F">
      <w:pPr>
        <w:pStyle w:val="Ttol3"/>
      </w:pPr>
      <w:bookmarkStart w:id="496" w:name="_Toc464726397"/>
      <w:bookmarkStart w:id="497" w:name="_Toc465293447"/>
      <w:r w:rsidRPr="00EC3041">
        <w:t>Model organitzatiu i estructura de llocs dels centres penitenciaris</w:t>
      </w:r>
      <w:bookmarkEnd w:id="496"/>
      <w:bookmarkEnd w:id="497"/>
    </w:p>
    <w:p w:rsidR="00AD76E0" w:rsidRPr="00EE7913" w:rsidRDefault="00AD76E0" w:rsidP="00AD76E0">
      <w:pPr>
        <w:spacing w:before="0" w:after="0" w:line="276" w:lineRule="auto"/>
      </w:pPr>
    </w:p>
    <w:p w:rsidR="00AD76E0" w:rsidRPr="00EE7913" w:rsidRDefault="00AD76E0" w:rsidP="009A1F67">
      <w:r w:rsidRPr="00EE7913">
        <w:t>El model d</w:t>
      </w:r>
      <w:r>
        <w:t>’</w:t>
      </w:r>
      <w:r w:rsidRPr="00EE7913">
        <w:t>organització i funcionament dels centres penitenciaris de Catalunya és el que determina el Decret 329/2006, de 5 de setembre, pel qual s</w:t>
      </w:r>
      <w:r>
        <w:t>’</w:t>
      </w:r>
      <w:r w:rsidRPr="00EE7913">
        <w:t>aprova el Reglament d</w:t>
      </w:r>
      <w:r>
        <w:t>’</w:t>
      </w:r>
      <w:r w:rsidRPr="00EE7913">
        <w:t>organització i funcionament dels serve</w:t>
      </w:r>
      <w:r>
        <w:t>is d’execució penal a Catalunya, i les circulars i instruccions que despleguen la normativa interna.</w:t>
      </w:r>
    </w:p>
    <w:p w:rsidR="00AD76E0" w:rsidRPr="00EE7913" w:rsidRDefault="00AD76E0" w:rsidP="00AD76E0">
      <w:pPr>
        <w:spacing w:before="0" w:after="0" w:line="276" w:lineRule="auto"/>
      </w:pPr>
    </w:p>
    <w:p w:rsidR="00AD76E0" w:rsidRPr="00EE7913" w:rsidRDefault="00AD76E0" w:rsidP="009A1F67">
      <w:r w:rsidRPr="00EE7913">
        <w:t>El model de llocs de treball dels centres penitenciaris, resultat de l</w:t>
      </w:r>
      <w:r>
        <w:t>’</w:t>
      </w:r>
      <w:r w:rsidRPr="00EE7913">
        <w:t>execució dels diferents acords i pactes subscrits entre l</w:t>
      </w:r>
      <w:r>
        <w:t>’</w:t>
      </w:r>
      <w:r w:rsidRPr="00EE7913">
        <w:t>Administració i les organitzacions sindicals i del desplegament de la nova estructura organitzativa i de funcionament dels centres penitenciaris aprovada l</w:t>
      </w:r>
      <w:r>
        <w:t>’</w:t>
      </w:r>
      <w:r w:rsidRPr="00EE7913">
        <w:t xml:space="preserve">any 2006, és </w:t>
      </w:r>
      <w:r>
        <w:t>el que estableixen</w:t>
      </w:r>
      <w:r w:rsidRPr="00EE7913">
        <w:t xml:space="preserve"> les relacions de llocs de treball vigents.</w:t>
      </w:r>
    </w:p>
    <w:p w:rsidR="00AD76E0" w:rsidRPr="00EE7913" w:rsidRDefault="00AD76E0" w:rsidP="00AD76E0">
      <w:pPr>
        <w:spacing w:before="0" w:after="0" w:line="276" w:lineRule="auto"/>
      </w:pPr>
    </w:p>
    <w:p w:rsidR="00AD76E0" w:rsidRPr="00EE7913" w:rsidRDefault="00AD76E0" w:rsidP="009A1F67">
      <w:r w:rsidRPr="00EE7913">
        <w:t>Pel que fa a la dotació de les plantilles dels centres penitenciaris, la plantilla actual (</w:t>
      </w:r>
      <w:r>
        <w:t xml:space="preserve">a </w:t>
      </w:r>
      <w:r w:rsidRPr="00EE7913">
        <w:t>31</w:t>
      </w:r>
      <w:r>
        <w:t>.</w:t>
      </w:r>
      <w:r w:rsidRPr="00EE7913">
        <w:t>8</w:t>
      </w:r>
      <w:r>
        <w:t>.</w:t>
      </w:r>
      <w:r w:rsidRPr="00EE7913">
        <w:t>2016) és de 4.644 persones. Aquesta plantilla s</w:t>
      </w:r>
      <w:r>
        <w:t>’</w:t>
      </w:r>
      <w:r w:rsidRPr="00EE7913">
        <w:t>haurà d</w:t>
      </w:r>
      <w:r>
        <w:t>’</w:t>
      </w:r>
      <w:r w:rsidRPr="00EE7913">
        <w:t xml:space="preserve">aproximar progressivament al dimensionament de les plantilles previstes </w:t>
      </w:r>
      <w:r>
        <w:t>a</w:t>
      </w:r>
      <w:r w:rsidRPr="00EE7913">
        <w:t xml:space="preserve">l Pla </w:t>
      </w:r>
      <w:r>
        <w:t>d</w:t>
      </w:r>
      <w:r w:rsidRPr="00EE7913">
        <w:t>irector d</w:t>
      </w:r>
      <w:r>
        <w:t>’e</w:t>
      </w:r>
      <w:r w:rsidRPr="00EE7913">
        <w:t xml:space="preserve">quipaments </w:t>
      </w:r>
      <w:r>
        <w:t>p</w:t>
      </w:r>
      <w:r w:rsidRPr="00EE7913">
        <w:t>enitenciari</w:t>
      </w:r>
      <w:r>
        <w:t>s</w:t>
      </w:r>
      <w:r w:rsidRPr="00EE7913">
        <w:t xml:space="preserve"> 2013-2020, que es concreta mitjançant la Instrucció SG 2/2015, de 24 de juliol, sobre la reorganització de les plantilles dels serveis penitenciaris.</w:t>
      </w:r>
    </w:p>
    <w:p w:rsidR="00AD76E0" w:rsidRDefault="00AD76E0" w:rsidP="00AD76E0">
      <w:pPr>
        <w:spacing w:before="0" w:after="0" w:line="276" w:lineRule="auto"/>
      </w:pPr>
    </w:p>
    <w:p w:rsidR="00AD76E0" w:rsidRPr="00EC3041" w:rsidRDefault="00AD76E0" w:rsidP="0070401F">
      <w:pPr>
        <w:pStyle w:val="Ttol3"/>
      </w:pPr>
      <w:bookmarkStart w:id="498" w:name="_Toc464726398"/>
      <w:bookmarkStart w:id="499" w:name="_Toc465293448"/>
      <w:r w:rsidRPr="00EC3041">
        <w:t>Selecció i provisió</w:t>
      </w:r>
      <w:bookmarkEnd w:id="498"/>
      <w:bookmarkEnd w:id="499"/>
    </w:p>
    <w:p w:rsidR="00AD76E0" w:rsidRPr="00EE7913" w:rsidRDefault="00AD76E0" w:rsidP="00AD76E0">
      <w:pPr>
        <w:spacing w:before="0" w:after="0" w:line="276" w:lineRule="auto"/>
      </w:pPr>
    </w:p>
    <w:p w:rsidR="00AD76E0" w:rsidRDefault="00AD76E0" w:rsidP="009A1F67">
      <w:r w:rsidRPr="00EE7913">
        <w:t>L</w:t>
      </w:r>
      <w:r>
        <w:t>’</w:t>
      </w:r>
      <w:r w:rsidRPr="00EE7913">
        <w:t>any 2013, mitjançant la reestructuració del Departament de Justícia</w:t>
      </w:r>
      <w:r>
        <w:t>,</w:t>
      </w:r>
      <w:r w:rsidRPr="00EE7913">
        <w:t xml:space="preserve"> es crea el Servei de Selecció i Provisió depe</w:t>
      </w:r>
      <w:r w:rsidRPr="009A1F67">
        <w:t>n</w:t>
      </w:r>
      <w:r>
        <w:t>d</w:t>
      </w:r>
      <w:r w:rsidRPr="00EE7913">
        <w:t>ent de la Direcció de Serveis, que assumeix les funcions que en decrets anteriors s</w:t>
      </w:r>
      <w:r>
        <w:t>’</w:t>
      </w:r>
      <w:r w:rsidRPr="00EE7913">
        <w:t>assignaven al Servei de Selecció i Provisió de la Direcció Ge</w:t>
      </w:r>
      <w:r>
        <w:t>neral de Serveis Penitenciaris.</w:t>
      </w:r>
    </w:p>
    <w:p w:rsidR="00AD76E0" w:rsidRDefault="00AD76E0" w:rsidP="00AD76E0">
      <w:pPr>
        <w:spacing w:before="0" w:after="0" w:line="276" w:lineRule="auto"/>
      </w:pPr>
    </w:p>
    <w:p w:rsidR="00AD76E0" w:rsidRDefault="00AD76E0" w:rsidP="009A1F67">
      <w:r w:rsidRPr="00EE7913">
        <w:t>Efectivament</w:t>
      </w:r>
      <w:r>
        <w:t>,</w:t>
      </w:r>
      <w:r w:rsidRPr="00EE7913">
        <w:t xml:space="preserve"> des de mitjan any 2015</w:t>
      </w:r>
      <w:r>
        <w:t>,</w:t>
      </w:r>
      <w:r w:rsidRPr="00EE7913">
        <w:t xml:space="preserve"> aquesta unitat </w:t>
      </w:r>
      <w:r>
        <w:t xml:space="preserve">centralitzada </w:t>
      </w:r>
      <w:r w:rsidRPr="00EE7913">
        <w:t>s</w:t>
      </w:r>
      <w:r>
        <w:t>’</w:t>
      </w:r>
      <w:r w:rsidRPr="00EE7913">
        <w:t xml:space="preserve">encarrega, entre </w:t>
      </w:r>
      <w:r>
        <w:t>d’</w:t>
      </w:r>
      <w:r w:rsidRPr="00EE7913">
        <w:t xml:space="preserve">altres assumptes, dels processos de selecció i provisió del personal adscrit a </w:t>
      </w:r>
      <w:r>
        <w:t>la DGSP.</w:t>
      </w:r>
    </w:p>
    <w:p w:rsidR="00AD76E0" w:rsidRDefault="00AD76E0" w:rsidP="00AD76E0">
      <w:pPr>
        <w:spacing w:before="0" w:after="0" w:line="276" w:lineRule="auto"/>
      </w:pPr>
    </w:p>
    <w:p w:rsidR="00AD76E0" w:rsidRDefault="00AD76E0" w:rsidP="009A1F67">
      <w:r w:rsidRPr="00EE7913">
        <w:t>Actualment</w:t>
      </w:r>
      <w:r>
        <w:t>,</w:t>
      </w:r>
      <w:r w:rsidRPr="00EE7913">
        <w:t xml:space="preserve"> en matèria de provisió </w:t>
      </w:r>
      <w:r>
        <w:t>es</w:t>
      </w:r>
      <w:r w:rsidRPr="00EE7913">
        <w:t xml:space="preserve"> d</w:t>
      </w:r>
      <w:r>
        <w:t>óna</w:t>
      </w:r>
      <w:r w:rsidRPr="00EE7913">
        <w:t xml:space="preserve"> suport al desenvolupament de les execucions de sentència derivats de la convocatòria de concurs específic de mèrits i capacitats per a la provisió de diversos llocs de comandament de l</w:t>
      </w:r>
      <w:r>
        <w:t>’</w:t>
      </w:r>
      <w:r w:rsidRPr="00EE7913">
        <w:t>àmbit de règim interior dels centres penitenciaris (convocatòria de provisió núm. JU/CP003/2008) i de la convocatòria de concurs específic de mèrits i capacitats per a la provisió de 46 llocs de cap d</w:t>
      </w:r>
      <w:r>
        <w:t>’</w:t>
      </w:r>
      <w:r w:rsidRPr="00EE7913">
        <w:t>Unitat del Centre Penitenciari Puig de les Basses (convocatòria de provisió núm. JU/CP003/2010).</w:t>
      </w:r>
    </w:p>
    <w:p w:rsidR="00AD76E0" w:rsidRDefault="00AD76E0" w:rsidP="00AD76E0">
      <w:pPr>
        <w:spacing w:before="0" w:after="0" w:line="276" w:lineRule="auto"/>
      </w:pPr>
    </w:p>
    <w:p w:rsidR="00AD76E0" w:rsidRPr="00EE7913" w:rsidRDefault="00AD76E0" w:rsidP="009A1F67">
      <w:r w:rsidRPr="00EE7913">
        <w:t>Així mateix, s</w:t>
      </w:r>
      <w:r>
        <w:t>’</w:t>
      </w:r>
      <w:r w:rsidRPr="00EE7913">
        <w:t>està desenvolupant el procés de concurs general de mèrits i capacitats per a la provisió de llocs de treball del cos tècnic d</w:t>
      </w:r>
      <w:r>
        <w:t>’</w:t>
      </w:r>
      <w:r w:rsidRPr="00EE7913">
        <w:t xml:space="preserve">especialistes de la Generalitat de Catalunya, </w:t>
      </w:r>
      <w:r w:rsidRPr="00EE7913">
        <w:lastRenderedPageBreak/>
        <w:t>grup de serveis penitenciaris (convocatòria de provisió núm. JU/CP003/2015)</w:t>
      </w:r>
      <w:r>
        <w:t xml:space="preserve"> </w:t>
      </w:r>
      <w:r w:rsidRPr="00F744AF">
        <w:t>i s</w:t>
      </w:r>
      <w:r>
        <w:t>’</w:t>
      </w:r>
      <w:r w:rsidRPr="00F744AF">
        <w:t>han iniciat els treballs de preparació de les convocatòries de comandaments de centres penitenciaris una vegada hagin finalitzat les esmentades execucions de sentència</w:t>
      </w:r>
      <w:r w:rsidRPr="00EE7913">
        <w:t>.</w:t>
      </w:r>
    </w:p>
    <w:p w:rsidR="00AD76E0" w:rsidRPr="00EE7913" w:rsidRDefault="00AD76E0" w:rsidP="00AD76E0">
      <w:pPr>
        <w:spacing w:before="0" w:after="0" w:line="276" w:lineRule="auto"/>
      </w:pPr>
    </w:p>
    <w:p w:rsidR="00AD76E0" w:rsidRPr="00EE7913" w:rsidRDefault="00AD76E0" w:rsidP="00AD76E0">
      <w:pPr>
        <w:spacing w:before="0" w:after="0" w:line="276" w:lineRule="auto"/>
      </w:pPr>
      <w:r w:rsidRPr="00EE7913">
        <w:t>En matèria de selec</w:t>
      </w:r>
      <w:r w:rsidRPr="009A1F67">
        <w:t>ció, s’està treballant en l’elaboració de la proposta de bases dels processos corresponents</w:t>
      </w:r>
      <w:r w:rsidRPr="00EE7913">
        <w:t xml:space="preserve"> a l</w:t>
      </w:r>
      <w:r>
        <w:t>’</w:t>
      </w:r>
      <w:r w:rsidRPr="00EE7913">
        <w:t>oferta pública de l</w:t>
      </w:r>
      <w:r>
        <w:t>’</w:t>
      </w:r>
      <w:r w:rsidRPr="00EE7913">
        <w:t>any 2015</w:t>
      </w:r>
      <w:r>
        <w:t xml:space="preserve"> </w:t>
      </w:r>
      <w:r w:rsidRPr="00EE7913">
        <w:t>següents:</w:t>
      </w:r>
    </w:p>
    <w:p w:rsidR="00AD76E0" w:rsidRPr="00EE7913" w:rsidRDefault="00AD76E0" w:rsidP="00AD76E0">
      <w:pPr>
        <w:spacing w:before="0" w:after="0" w:line="276" w:lineRule="auto"/>
      </w:pPr>
    </w:p>
    <w:p w:rsidR="00AD76E0" w:rsidRPr="00EE7913" w:rsidRDefault="00AD76E0" w:rsidP="00AD76E0">
      <w:pPr>
        <w:pStyle w:val="Pargrafdellista"/>
        <w:numPr>
          <w:ilvl w:val="0"/>
          <w:numId w:val="84"/>
        </w:numPr>
        <w:spacing w:before="0" w:after="0" w:line="276" w:lineRule="auto"/>
        <w:ind w:left="284" w:hanging="284"/>
      </w:pPr>
      <w:r w:rsidRPr="00EE7913">
        <w:t>Cos de diplomatura, assistència social, de la Generalitat de Catalunya (àmbit d</w:t>
      </w:r>
      <w:r>
        <w:t>’</w:t>
      </w:r>
      <w:r w:rsidRPr="00EE7913">
        <w:t>execució penal) (grup A, subgrup A2): Total places: 70</w:t>
      </w:r>
      <w:r>
        <w:t>.</w:t>
      </w:r>
    </w:p>
    <w:p w:rsidR="00AD76E0" w:rsidRPr="00EE7913" w:rsidRDefault="00AD76E0" w:rsidP="00AD76E0">
      <w:pPr>
        <w:spacing w:before="0" w:after="0" w:line="276" w:lineRule="auto"/>
        <w:rPr>
          <w:sz w:val="12"/>
          <w:szCs w:val="12"/>
        </w:rPr>
      </w:pPr>
    </w:p>
    <w:p w:rsidR="00AD76E0" w:rsidRPr="00EE7913" w:rsidRDefault="00AD76E0" w:rsidP="00AD76E0">
      <w:pPr>
        <w:pStyle w:val="Pargrafdellista"/>
        <w:numPr>
          <w:ilvl w:val="0"/>
          <w:numId w:val="84"/>
        </w:numPr>
        <w:spacing w:before="0" w:after="0" w:line="276" w:lineRule="auto"/>
        <w:ind w:left="284" w:hanging="284"/>
      </w:pPr>
      <w:r w:rsidRPr="00EE7913">
        <w:t>Cos de titulació superior de la Generalitat de Catalunya, psicologia (àmbit d</w:t>
      </w:r>
      <w:r>
        <w:t>’</w:t>
      </w:r>
      <w:r w:rsidRPr="00EE7913">
        <w:t>execució penal) (grup A, subgrup A1): Total places: 80</w:t>
      </w:r>
      <w:r>
        <w:t>.</w:t>
      </w:r>
    </w:p>
    <w:p w:rsidR="00AD76E0" w:rsidRPr="00EE7913" w:rsidRDefault="00AD76E0" w:rsidP="00AD76E0">
      <w:pPr>
        <w:spacing w:before="0" w:after="0" w:line="276" w:lineRule="auto"/>
        <w:rPr>
          <w:sz w:val="12"/>
          <w:szCs w:val="12"/>
        </w:rPr>
      </w:pPr>
    </w:p>
    <w:p w:rsidR="00AD76E0" w:rsidRPr="00EE7913" w:rsidRDefault="00AD76E0" w:rsidP="00AD76E0">
      <w:pPr>
        <w:pStyle w:val="Pargrafdellista"/>
        <w:numPr>
          <w:ilvl w:val="0"/>
          <w:numId w:val="84"/>
        </w:numPr>
        <w:spacing w:before="0" w:after="0" w:line="276" w:lineRule="auto"/>
        <w:ind w:left="284" w:hanging="284"/>
      </w:pPr>
      <w:r w:rsidRPr="00EE7913">
        <w:t>Escala superior d</w:t>
      </w:r>
      <w:r>
        <w:t>’</w:t>
      </w:r>
      <w:r w:rsidRPr="00EE7913">
        <w:t>administració general del cos superior d</w:t>
      </w:r>
      <w:r>
        <w:t>’</w:t>
      </w:r>
      <w:r w:rsidRPr="00EE7913">
        <w:t>administració que requereixen disposar de la titulació de dret (àmbit d</w:t>
      </w:r>
      <w:r>
        <w:t>’</w:t>
      </w:r>
      <w:r w:rsidRPr="00EE7913">
        <w:t>execució penal) (grup A, subgrup A1): Total places</w:t>
      </w:r>
      <w:r>
        <w:t>:</w:t>
      </w:r>
      <w:r w:rsidRPr="00EE7913">
        <w:t xml:space="preserve"> 43, que es distribueixen en 24 per al torn lliure i 19 pe</w:t>
      </w:r>
      <w:r>
        <w:t>r a</w:t>
      </w:r>
      <w:r w:rsidRPr="00EE7913">
        <w:t>l torn de promoció interna.</w:t>
      </w:r>
    </w:p>
    <w:p w:rsidR="00AD76E0" w:rsidRPr="00EE7913" w:rsidRDefault="00AD76E0" w:rsidP="00AD76E0">
      <w:pPr>
        <w:spacing w:before="0" w:after="0" w:line="276" w:lineRule="auto"/>
      </w:pPr>
    </w:p>
    <w:p w:rsidR="00AD76E0" w:rsidRPr="00EC3041" w:rsidRDefault="00AD76E0" w:rsidP="0070401F">
      <w:pPr>
        <w:pStyle w:val="Ttol3"/>
      </w:pPr>
      <w:bookmarkStart w:id="500" w:name="_Toc464726399"/>
      <w:bookmarkStart w:id="501" w:name="_Toc465293449"/>
      <w:r w:rsidRPr="00EC3041">
        <w:t>Formació</w:t>
      </w:r>
      <w:bookmarkEnd w:id="500"/>
      <w:bookmarkEnd w:id="501"/>
    </w:p>
    <w:p w:rsidR="00AD76E0" w:rsidRPr="00EE7913" w:rsidRDefault="00AD76E0" w:rsidP="00AD76E0">
      <w:pPr>
        <w:spacing w:before="0" w:after="0" w:line="276" w:lineRule="auto"/>
      </w:pPr>
    </w:p>
    <w:p w:rsidR="00AD76E0" w:rsidRPr="00EE7913" w:rsidRDefault="00AD76E0" w:rsidP="00AD76E0">
      <w:pPr>
        <w:tabs>
          <w:tab w:val="left" w:pos="284"/>
        </w:tabs>
        <w:spacing w:before="0" w:after="0" w:line="276" w:lineRule="auto"/>
        <w:rPr>
          <w:rFonts w:cs="Arial"/>
          <w:color w:val="000000" w:themeColor="text1"/>
        </w:rPr>
      </w:pPr>
      <w:r>
        <w:rPr>
          <w:rFonts w:cs="Arial"/>
          <w:color w:val="000000" w:themeColor="text1"/>
        </w:rPr>
        <w:t>La coordinació i planificació de l’activitat formativa es porta a terme a través del CEJFE. C</w:t>
      </w:r>
      <w:r w:rsidRPr="00EE7913">
        <w:rPr>
          <w:rFonts w:cs="Arial"/>
          <w:color w:val="000000" w:themeColor="text1"/>
        </w:rPr>
        <w:t>al destaca</w:t>
      </w:r>
      <w:r>
        <w:rPr>
          <w:rFonts w:cs="Arial"/>
          <w:color w:val="000000" w:themeColor="text1"/>
        </w:rPr>
        <w:t>r dos tipus de model de formació, que de forma sistemàtica i consensuada es treballa amb les DG:</w:t>
      </w:r>
    </w:p>
    <w:p w:rsidR="00AD76E0" w:rsidRPr="00EE7913" w:rsidRDefault="00AD76E0" w:rsidP="00AD76E0">
      <w:pPr>
        <w:pStyle w:val="Pargrafdellista"/>
        <w:tabs>
          <w:tab w:val="left" w:pos="284"/>
        </w:tabs>
        <w:spacing w:before="0" w:after="0" w:line="276" w:lineRule="auto"/>
        <w:ind w:left="284"/>
        <w:rPr>
          <w:rFonts w:cs="Arial"/>
          <w:color w:val="000000" w:themeColor="text1"/>
          <w:sz w:val="12"/>
          <w:szCs w:val="12"/>
        </w:rPr>
      </w:pPr>
    </w:p>
    <w:p w:rsidR="00AD76E0" w:rsidRPr="00EE7913" w:rsidRDefault="00AD76E0" w:rsidP="00AD76E0">
      <w:pPr>
        <w:numPr>
          <w:ilvl w:val="0"/>
          <w:numId w:val="73"/>
        </w:numPr>
        <w:tabs>
          <w:tab w:val="left" w:pos="1134"/>
          <w:tab w:val="left" w:pos="2814"/>
        </w:tabs>
        <w:spacing w:before="0" w:after="0" w:line="276" w:lineRule="auto"/>
        <w:ind w:left="567" w:hanging="283"/>
        <w:jc w:val="left"/>
        <w:rPr>
          <w:rFonts w:cs="Arial"/>
          <w:color w:val="000000" w:themeColor="text1"/>
        </w:rPr>
      </w:pPr>
      <w:r w:rsidRPr="00EE7913">
        <w:rPr>
          <w:rFonts w:cs="Arial"/>
          <w:color w:val="000000" w:themeColor="text1"/>
        </w:rPr>
        <w:t>Formació centrada en competències professionals (model de base)</w:t>
      </w:r>
    </w:p>
    <w:p w:rsidR="00AD76E0" w:rsidRPr="00EE7913" w:rsidRDefault="00AD76E0" w:rsidP="00AD76E0">
      <w:pPr>
        <w:numPr>
          <w:ilvl w:val="0"/>
          <w:numId w:val="73"/>
        </w:numPr>
        <w:tabs>
          <w:tab w:val="left" w:pos="1134"/>
          <w:tab w:val="left" w:pos="2814"/>
        </w:tabs>
        <w:spacing w:before="0" w:after="0" w:line="276" w:lineRule="auto"/>
        <w:ind w:left="567" w:hanging="283"/>
        <w:jc w:val="left"/>
        <w:rPr>
          <w:rFonts w:cs="Arial"/>
          <w:color w:val="000000" w:themeColor="text1"/>
        </w:rPr>
      </w:pPr>
      <w:r w:rsidRPr="00EE7913">
        <w:rPr>
          <w:rFonts w:cs="Arial"/>
          <w:color w:val="000000" w:themeColor="text1"/>
        </w:rPr>
        <w:t>Detecció de necessitats formatives (model complementari)</w:t>
      </w:r>
    </w:p>
    <w:p w:rsidR="00AD76E0" w:rsidRPr="00EE7913" w:rsidRDefault="00AD76E0" w:rsidP="00AD76E0">
      <w:pPr>
        <w:pStyle w:val="Pargrafdellista"/>
        <w:tabs>
          <w:tab w:val="left" w:pos="284"/>
        </w:tabs>
        <w:spacing w:before="0" w:after="0" w:line="276" w:lineRule="auto"/>
        <w:ind w:left="284"/>
        <w:rPr>
          <w:rFonts w:cs="Arial"/>
          <w:color w:val="000000" w:themeColor="text1"/>
          <w:sz w:val="12"/>
          <w:szCs w:val="12"/>
        </w:rPr>
      </w:pPr>
    </w:p>
    <w:p w:rsidR="00AD76E0" w:rsidRPr="004A61CA" w:rsidRDefault="00AD76E0" w:rsidP="009A1F67">
      <w:r w:rsidRPr="004A61CA">
        <w:t>La formació que ofereix el Centre està prou al dia pel que fa a l</w:t>
      </w:r>
      <w:r>
        <w:t>’</w:t>
      </w:r>
      <w:r w:rsidRPr="004A61CA">
        <w:t>ús de metodologies eficaces i pel que fa a continguts d</w:t>
      </w:r>
      <w:r>
        <w:t>’</w:t>
      </w:r>
      <w:r w:rsidRPr="004A61CA">
        <w:t>actualitat. L</w:t>
      </w:r>
      <w:r>
        <w:t>’</w:t>
      </w:r>
      <w:r w:rsidRPr="004A61CA">
        <w:t>oferta del Centre incorpora l</w:t>
      </w:r>
      <w:r>
        <w:t>’</w:t>
      </w:r>
      <w:r w:rsidRPr="004A61CA">
        <w:t>aprenentatge pràctic (aprendre fent), l</w:t>
      </w:r>
      <w:r>
        <w:t>’</w:t>
      </w:r>
      <w:r w:rsidRPr="004A61CA">
        <w:t xml:space="preserve">aprenentatge en línia i la gestió del coneixement, </w:t>
      </w:r>
      <w:r>
        <w:t>alhora</w:t>
      </w:r>
      <w:r w:rsidRPr="004A61CA">
        <w:t xml:space="preserve"> que està oberta a la innovació i a les novetats de l</w:t>
      </w:r>
      <w:r>
        <w:t>’</w:t>
      </w:r>
      <w:r w:rsidRPr="004A61CA">
        <w:t>esfera internacional, la qual cosa queda garantida per la vinculació del Centre a organismes internacionals; l</w:t>
      </w:r>
      <w:r>
        <w:t>’</w:t>
      </w:r>
      <w:r w:rsidRPr="004A61CA">
        <w:t>actualització permanent que comporta l</w:t>
      </w:r>
      <w:r>
        <w:t>’</w:t>
      </w:r>
      <w:r w:rsidRPr="004A61CA">
        <w:t>àmbit de recerca, i la vinculació estreta amb les universitats. Cal destacar també, en aquest sentit, el paper de seminaris, conferències i tallers internacionals.</w:t>
      </w:r>
    </w:p>
    <w:p w:rsidR="00AD76E0" w:rsidRPr="00EE7913" w:rsidRDefault="00AD76E0" w:rsidP="00AD76E0">
      <w:pPr>
        <w:pStyle w:val="Pargrafdellista"/>
        <w:tabs>
          <w:tab w:val="left" w:pos="284"/>
        </w:tabs>
        <w:spacing w:before="0" w:after="0" w:line="276" w:lineRule="auto"/>
        <w:ind w:left="284"/>
        <w:rPr>
          <w:rFonts w:cs="Arial"/>
          <w:color w:val="000000" w:themeColor="text1"/>
          <w:sz w:val="12"/>
          <w:szCs w:val="12"/>
        </w:rPr>
      </w:pPr>
    </w:p>
    <w:p w:rsidR="00AD76E0" w:rsidRPr="00EE7913" w:rsidRDefault="00AD76E0" w:rsidP="00AD76E0">
      <w:pPr>
        <w:pStyle w:val="Pargrafdellista"/>
        <w:tabs>
          <w:tab w:val="left" w:pos="284"/>
        </w:tabs>
        <w:spacing w:before="0" w:after="0" w:line="276" w:lineRule="auto"/>
        <w:ind w:left="284"/>
        <w:rPr>
          <w:rFonts w:cs="Arial"/>
          <w:color w:val="000000" w:themeColor="text1"/>
          <w:sz w:val="12"/>
          <w:szCs w:val="12"/>
        </w:rPr>
      </w:pPr>
    </w:p>
    <w:p w:rsidR="00AD76E0" w:rsidRPr="004A61CA" w:rsidRDefault="00AD76E0" w:rsidP="00AD76E0">
      <w:pPr>
        <w:spacing w:before="0" w:after="0" w:line="276" w:lineRule="auto"/>
        <w:rPr>
          <w:color w:val="000000" w:themeColor="text1"/>
        </w:rPr>
      </w:pPr>
      <w:r w:rsidRPr="004A61CA">
        <w:rPr>
          <w:color w:val="000000" w:themeColor="text1"/>
        </w:rPr>
        <w:t>Es reprèn a partir de 2016 la formació per als comandaments específicament penitenciaris.</w:t>
      </w:r>
    </w:p>
    <w:p w:rsidR="00AD76E0" w:rsidRPr="00EE7913" w:rsidRDefault="00AD76E0" w:rsidP="00AD76E0">
      <w:pPr>
        <w:tabs>
          <w:tab w:val="left" w:pos="284"/>
        </w:tabs>
        <w:spacing w:before="0" w:after="0" w:line="276" w:lineRule="auto"/>
        <w:rPr>
          <w:rFonts w:cs="Arial"/>
          <w:color w:val="1F497D" w:themeColor="text2"/>
          <w:sz w:val="12"/>
          <w:szCs w:val="12"/>
        </w:rPr>
      </w:pPr>
    </w:p>
    <w:p w:rsidR="00AD76E0" w:rsidRPr="004A61CA" w:rsidRDefault="00AD76E0" w:rsidP="009A1F67">
      <w:r w:rsidRPr="004A61CA">
        <w:t>La formació especialitzada que ofereix el CEJFE a través de l</w:t>
      </w:r>
      <w:r>
        <w:t>’A</w:t>
      </w:r>
      <w:r w:rsidRPr="004A61CA">
        <w:t>IFSC en l</w:t>
      </w:r>
      <w:r>
        <w:t>’</w:t>
      </w:r>
      <w:r w:rsidRPr="004A61CA">
        <w:t>àmbit d</w:t>
      </w:r>
      <w:r>
        <w:t>’</w:t>
      </w:r>
      <w:r w:rsidRPr="004A61CA">
        <w:t>execució penal i especialment en l</w:t>
      </w:r>
      <w:r>
        <w:t>’</w:t>
      </w:r>
      <w:r w:rsidRPr="004A61CA">
        <w:t>àmbit penitenciari és molt limitada en nombre d</w:t>
      </w:r>
      <w:r>
        <w:t>’</w:t>
      </w:r>
      <w:r w:rsidRPr="004A61CA">
        <w:t>activitats. Anualment, l</w:t>
      </w:r>
      <w:r>
        <w:t>’</w:t>
      </w:r>
      <w:r w:rsidRPr="004A61CA">
        <w:t>AIFSC ofereix 3.100 places en activitats que van de 5 a 20</w:t>
      </w:r>
      <w:r>
        <w:t xml:space="preserve"> </w:t>
      </w:r>
      <w:r w:rsidRPr="004A61CA">
        <w:t>h majoritàriament.  En nombre de places arribem aproximadament al 71</w:t>
      </w:r>
      <w:r>
        <w:t xml:space="preserve"> </w:t>
      </w:r>
      <w:r w:rsidRPr="004A61CA">
        <w:t xml:space="preserve">% de la plantilla penitenciària però la xifra disminueix ostensiblement si parlem de persones diferents que hi assisteixen. </w:t>
      </w:r>
      <w:r>
        <w:t xml:space="preserve">El </w:t>
      </w:r>
      <w:r w:rsidRPr="004A61CA">
        <w:t>34</w:t>
      </w:r>
      <w:r>
        <w:t xml:space="preserve"> </w:t>
      </w:r>
      <w:r w:rsidRPr="004A61CA">
        <w:t>% de la plantilla de SP no ha demanat cap activitat formativa a l</w:t>
      </w:r>
      <w:r>
        <w:t>’</w:t>
      </w:r>
      <w:r w:rsidRPr="004A61CA">
        <w:t>AIFSC en els darrers 4 anys.</w:t>
      </w:r>
    </w:p>
    <w:p w:rsidR="00AD76E0" w:rsidRPr="004A61CA" w:rsidRDefault="00AD76E0" w:rsidP="00AD76E0">
      <w:pPr>
        <w:tabs>
          <w:tab w:val="left" w:pos="284"/>
          <w:tab w:val="left" w:pos="2814"/>
        </w:tabs>
        <w:spacing w:before="0" w:after="0" w:line="276" w:lineRule="auto"/>
        <w:ind w:left="284" w:hanging="284"/>
        <w:rPr>
          <w:rFonts w:cs="Arial"/>
          <w:sz w:val="12"/>
          <w:szCs w:val="12"/>
        </w:rPr>
      </w:pPr>
    </w:p>
    <w:p w:rsidR="00AD76E0" w:rsidRPr="004A61CA" w:rsidRDefault="00AD76E0" w:rsidP="009A1F67">
      <w:r w:rsidRPr="004A61CA">
        <w:t>Pel que fa a l</w:t>
      </w:r>
      <w:r>
        <w:t>’</w:t>
      </w:r>
      <w:r w:rsidRPr="004A61CA">
        <w:t>àmbit de l</w:t>
      </w:r>
      <w:r>
        <w:t>’</w:t>
      </w:r>
      <w:r w:rsidRPr="004A61CA">
        <w:t>execució penal en la comunitat (MPA), l</w:t>
      </w:r>
      <w:r>
        <w:t>’</w:t>
      </w:r>
      <w:r w:rsidRPr="004A61CA">
        <w:t>AIFSC només dóna resposta a la formació dels equips de professionals propis i, per qüestió de prioritats pressupostàries, no als professionals contractats a través d</w:t>
      </w:r>
      <w:r>
        <w:t>’</w:t>
      </w:r>
      <w:r w:rsidRPr="004A61CA">
        <w:t>entitats col·laboradores.</w:t>
      </w:r>
    </w:p>
    <w:p w:rsidR="00AD76E0" w:rsidRPr="004A61CA" w:rsidRDefault="00AD76E0" w:rsidP="00AD76E0">
      <w:pPr>
        <w:tabs>
          <w:tab w:val="left" w:pos="284"/>
          <w:tab w:val="left" w:pos="2814"/>
        </w:tabs>
        <w:spacing w:before="0" w:after="0" w:line="276" w:lineRule="auto"/>
        <w:ind w:left="284" w:hanging="284"/>
        <w:rPr>
          <w:rFonts w:cs="Arial"/>
          <w:sz w:val="12"/>
          <w:szCs w:val="12"/>
        </w:rPr>
      </w:pPr>
    </w:p>
    <w:p w:rsidR="00AD76E0" w:rsidRPr="004A61CA" w:rsidRDefault="00AD76E0" w:rsidP="00AD76E0">
      <w:pPr>
        <w:tabs>
          <w:tab w:val="left" w:pos="1134"/>
          <w:tab w:val="left" w:pos="2814"/>
        </w:tabs>
        <w:spacing w:before="0" w:after="0" w:line="276" w:lineRule="auto"/>
        <w:rPr>
          <w:rFonts w:cs="Arial"/>
        </w:rPr>
      </w:pPr>
      <w:r w:rsidRPr="004A61CA">
        <w:rPr>
          <w:rFonts w:cs="Arial"/>
        </w:rPr>
        <w:lastRenderedPageBreak/>
        <w:t xml:space="preserve">Els comandaments </w:t>
      </w:r>
      <w:r w:rsidRPr="00966575">
        <w:rPr>
          <w:rFonts w:cs="Arial"/>
        </w:rPr>
        <w:t>intermedis no tenen cap paper a l’hora d’orientar</w:t>
      </w:r>
      <w:r w:rsidRPr="004A61CA">
        <w:rPr>
          <w:rFonts w:cs="Arial"/>
        </w:rPr>
        <w:t xml:space="preserve"> les persones dels seus equips </w:t>
      </w:r>
      <w:r>
        <w:rPr>
          <w:rFonts w:cs="Arial"/>
        </w:rPr>
        <w:t>respecte de</w:t>
      </w:r>
      <w:r w:rsidRPr="004A61CA">
        <w:rPr>
          <w:rFonts w:cs="Arial"/>
        </w:rPr>
        <w:t xml:space="preserve"> quina és la formació que els podria ajudar a millorar individualment o com a equip.</w:t>
      </w:r>
    </w:p>
    <w:p w:rsidR="00AD76E0" w:rsidRPr="004A61CA" w:rsidRDefault="00AD76E0" w:rsidP="00AD76E0">
      <w:pPr>
        <w:tabs>
          <w:tab w:val="left" w:pos="284"/>
          <w:tab w:val="left" w:pos="2814"/>
        </w:tabs>
        <w:spacing w:before="0" w:after="0" w:line="276" w:lineRule="auto"/>
        <w:ind w:left="284" w:hanging="284"/>
        <w:rPr>
          <w:rFonts w:cs="Arial"/>
          <w:sz w:val="12"/>
          <w:szCs w:val="12"/>
        </w:rPr>
      </w:pPr>
    </w:p>
    <w:p w:rsidR="00AD76E0" w:rsidRPr="004A61CA" w:rsidRDefault="00AD76E0" w:rsidP="009A1F67">
      <w:r w:rsidRPr="004A61CA">
        <w:t xml:space="preserve">Cal clarificar i informatitzar els processos de sol·licitud i </w:t>
      </w:r>
      <w:r>
        <w:t>d’</w:t>
      </w:r>
      <w:r w:rsidRPr="004A61CA">
        <w:t>aprovació d</w:t>
      </w:r>
      <w:r>
        <w:t>’</w:t>
      </w:r>
      <w:r w:rsidRPr="004A61CA">
        <w:t>activitats formatives ja que actualment generen força disfuncions.</w:t>
      </w:r>
    </w:p>
    <w:p w:rsidR="00AD76E0" w:rsidRPr="00EE7913" w:rsidRDefault="00AD76E0" w:rsidP="00AD76E0">
      <w:pPr>
        <w:tabs>
          <w:tab w:val="left" w:pos="284"/>
          <w:tab w:val="left" w:pos="2814"/>
        </w:tabs>
        <w:spacing w:before="0" w:after="0" w:line="276" w:lineRule="auto"/>
        <w:ind w:left="284" w:hanging="284"/>
        <w:rPr>
          <w:rFonts w:cs="Arial"/>
          <w:color w:val="1F497D" w:themeColor="text2"/>
          <w:sz w:val="12"/>
          <w:szCs w:val="12"/>
        </w:rPr>
      </w:pPr>
    </w:p>
    <w:p w:rsidR="00AD76E0" w:rsidRPr="00EC3041" w:rsidRDefault="00AD76E0" w:rsidP="0070401F">
      <w:pPr>
        <w:pStyle w:val="Ttol3"/>
      </w:pPr>
      <w:bookmarkStart w:id="502" w:name="_Toc464726400"/>
      <w:bookmarkStart w:id="503" w:name="_Toc465293450"/>
      <w:r w:rsidRPr="00EC3041">
        <w:t>Jornada i horaris</w:t>
      </w:r>
      <w:bookmarkEnd w:id="502"/>
      <w:bookmarkEnd w:id="503"/>
    </w:p>
    <w:p w:rsidR="00AD76E0" w:rsidRPr="00EE7913" w:rsidRDefault="00AD76E0" w:rsidP="00AD76E0">
      <w:pPr>
        <w:spacing w:before="0" w:after="0" w:line="276" w:lineRule="auto"/>
      </w:pPr>
    </w:p>
    <w:p w:rsidR="00AD76E0" w:rsidRPr="00EE7913" w:rsidRDefault="00AD76E0" w:rsidP="009A1F67">
      <w:r w:rsidRPr="005F7A54">
        <w:t>La profusió del nombre de llocs, cada vegada més adaptats al model d’organització dels serveis dels centres penitenciaris, amb jornades i horaris i retribucions diferenciades; el desplegament d’aquesta especialització per la via no de la creació de llocs singularitzats sinó de la creació de llocs base genèrics diferenciats per raó del tipus de centre, unitat o servei de destinació, ha afegit complexitat, rigidesa i ineficiència al sistema i en dificulten la gestió.</w:t>
      </w:r>
    </w:p>
    <w:p w:rsidR="00AD76E0" w:rsidRPr="00EE7913" w:rsidRDefault="00AD76E0" w:rsidP="00AD76E0">
      <w:pPr>
        <w:spacing w:before="0" w:after="0" w:line="276" w:lineRule="auto"/>
      </w:pPr>
    </w:p>
    <w:p w:rsidR="00AD76E0" w:rsidRPr="00EE7913" w:rsidRDefault="00AD76E0" w:rsidP="00B517F7">
      <w:r w:rsidRPr="00EE7913">
        <w:t xml:space="preserve">Model de llocs de treball. Entenem que caldria avançar cap a la simplificació i unificació de tipus de lloc, tornar als llocs genèrics i a la polivalència, que puguin realitzar totes les funcions del cos i, a més a més, les específiques del centre, unitat o servei on </w:t>
      </w:r>
      <w:r>
        <w:t>estigui</w:t>
      </w:r>
      <w:r w:rsidRPr="00EE7913">
        <w:t>n destinats. L</w:t>
      </w:r>
      <w:r>
        <w:t>’</w:t>
      </w:r>
      <w:r w:rsidRPr="00EE7913">
        <w:t>especialització i l</w:t>
      </w:r>
      <w:r>
        <w:t>’</w:t>
      </w:r>
      <w:r w:rsidRPr="00EE7913">
        <w:t>adaptació a les especificitats del tipus de centre, unitat o servei s</w:t>
      </w:r>
      <w:r>
        <w:t>’</w:t>
      </w:r>
      <w:r w:rsidRPr="00EE7913">
        <w:t>hauria d</w:t>
      </w:r>
      <w:r>
        <w:t>’</w:t>
      </w:r>
      <w:r w:rsidRPr="00EE7913">
        <w:t>articular mitjançant la formació d</w:t>
      </w:r>
      <w:r>
        <w:t>’</w:t>
      </w:r>
      <w:r w:rsidRPr="00EE7913">
        <w:t>especialització i el disseny de quadrants horaris que s</w:t>
      </w:r>
      <w:r>
        <w:t>’</w:t>
      </w:r>
      <w:r w:rsidRPr="00EE7913">
        <w:t>ajustin als requeriments de prestació del servei.</w:t>
      </w:r>
    </w:p>
    <w:p w:rsidR="00AD76E0" w:rsidRPr="00EE7913" w:rsidRDefault="00AD76E0" w:rsidP="00AD76E0">
      <w:pPr>
        <w:spacing w:before="0" w:after="0" w:line="276" w:lineRule="auto"/>
      </w:pPr>
    </w:p>
    <w:p w:rsidR="00AD76E0" w:rsidRPr="00EE7913" w:rsidRDefault="00AD76E0" w:rsidP="009A1F67">
      <w:r w:rsidRPr="00EE7913">
        <w:t xml:space="preserve">Model de jornada i horaris. Caldria definir quines són les necessitats, els requeriments de prestació dels diferents serveis i prestacions i dissenyar quadrants horaris que </w:t>
      </w:r>
      <w:r>
        <w:t>responguin</w:t>
      </w:r>
      <w:r w:rsidRPr="00EE7913">
        <w:t xml:space="preserve"> de forma eficient a aquests requeriments.</w:t>
      </w:r>
    </w:p>
    <w:p w:rsidR="00AD76E0" w:rsidRPr="00EE7913" w:rsidRDefault="00AD76E0" w:rsidP="00AD76E0">
      <w:pPr>
        <w:spacing w:before="0" w:after="0" w:line="276" w:lineRule="auto"/>
      </w:pPr>
    </w:p>
    <w:p w:rsidR="00AD76E0" w:rsidRPr="00EC3041" w:rsidRDefault="00AD76E0" w:rsidP="0070401F">
      <w:pPr>
        <w:pStyle w:val="Ttol3"/>
      </w:pPr>
      <w:bookmarkStart w:id="504" w:name="_Toc464726401"/>
      <w:bookmarkStart w:id="505" w:name="_Toc465293451"/>
      <w:r w:rsidRPr="00EC3041">
        <w:t>La carrera professional</w:t>
      </w:r>
      <w:bookmarkEnd w:id="504"/>
      <w:bookmarkEnd w:id="505"/>
    </w:p>
    <w:p w:rsidR="00AD76E0" w:rsidRPr="00EE7913" w:rsidRDefault="00AD76E0" w:rsidP="00AD76E0">
      <w:pPr>
        <w:spacing w:before="0" w:after="0" w:line="276" w:lineRule="auto"/>
      </w:pPr>
    </w:p>
    <w:p w:rsidR="00AD76E0" w:rsidRPr="00EE7913" w:rsidRDefault="00AD76E0" w:rsidP="00B517F7">
      <w:r w:rsidRPr="00EE7913">
        <w:t xml:space="preserve">El document de bases del Pla de carrera professional del personal que treballa als centres penitenciaris de Catalunya (2015) formula una proposta de </w:t>
      </w:r>
      <w:r>
        <w:t>p</w:t>
      </w:r>
      <w:r w:rsidRPr="00EE7913">
        <w:t>la prenent com a referència el model de gestió per competències i les modalitats de carrera recollides a la Llei 7/2007, de 12 d</w:t>
      </w:r>
      <w:r>
        <w:t>’</w:t>
      </w:r>
      <w:r w:rsidRPr="00EE7913">
        <w:t>abril, de l</w:t>
      </w:r>
      <w:r>
        <w:t>’</w:t>
      </w:r>
      <w:r w:rsidRPr="00EE7913">
        <w:t xml:space="preserve">Estatut </w:t>
      </w:r>
      <w:r>
        <w:t>b</w:t>
      </w:r>
      <w:r w:rsidRPr="00EE7913">
        <w:t>àsic de l</w:t>
      </w:r>
      <w:r>
        <w:t>’e</w:t>
      </w:r>
      <w:r w:rsidRPr="00EE7913">
        <w:t xml:space="preserve">mpleat </w:t>
      </w:r>
      <w:r>
        <w:t>p</w:t>
      </w:r>
      <w:r w:rsidRPr="00EE7913">
        <w:t>úblic (EBEP).</w:t>
      </w:r>
    </w:p>
    <w:p w:rsidR="00AD76E0" w:rsidRPr="00EE7913" w:rsidRDefault="00AD76E0" w:rsidP="00AD76E0">
      <w:pPr>
        <w:spacing w:before="0" w:after="0" w:line="276" w:lineRule="auto"/>
      </w:pPr>
    </w:p>
    <w:p w:rsidR="00AD76E0" w:rsidRPr="00EE7913" w:rsidRDefault="00AD76E0" w:rsidP="009A1F67">
      <w:r w:rsidRPr="00EE7913">
        <w:t>Llei 7/2007, de 12 d</w:t>
      </w:r>
      <w:r>
        <w:t>’</w:t>
      </w:r>
      <w:r w:rsidRPr="00EE7913">
        <w:t>abril, de l</w:t>
      </w:r>
      <w:r>
        <w:t>’</w:t>
      </w:r>
      <w:r w:rsidRPr="00EE7913">
        <w:t xml:space="preserve">Estatut </w:t>
      </w:r>
      <w:r>
        <w:t>b</w:t>
      </w:r>
      <w:r w:rsidRPr="00EE7913">
        <w:t>àsic de l</w:t>
      </w:r>
      <w:r>
        <w:t>’e</w:t>
      </w:r>
      <w:r w:rsidRPr="00EE7913">
        <w:t xml:space="preserve">mpleat </w:t>
      </w:r>
      <w:r>
        <w:t>p</w:t>
      </w:r>
      <w:r w:rsidRPr="00EE7913">
        <w:t xml:space="preserve">úblic (EBEP), </w:t>
      </w:r>
      <w:r>
        <w:t>a</w:t>
      </w:r>
      <w:r w:rsidRPr="00EE7913">
        <w:t xml:space="preserve">  </w:t>
      </w:r>
      <w:r>
        <w:t>l’</w:t>
      </w:r>
      <w:r w:rsidRPr="00EE7913">
        <w:t>exposició de motius</w:t>
      </w:r>
      <w:r>
        <w:t xml:space="preserve">, </w:t>
      </w:r>
      <w:r w:rsidRPr="00EE7913">
        <w:t>permet que es configurin models de carrera horitzontal, desvinculada dels canvis de lloc de treball i basada en el desenvolupament de les competències i en el rendiment. D</w:t>
      </w:r>
      <w:r>
        <w:t>’</w:t>
      </w:r>
      <w:r w:rsidRPr="00EE7913">
        <w:t xml:space="preserve">aquesta manera </w:t>
      </w:r>
      <w:r>
        <w:t xml:space="preserve">es </w:t>
      </w:r>
      <w:r w:rsidRPr="00EE7913">
        <w:t>podrà reduir la inflació orgànica i l</w:t>
      </w:r>
      <w:r>
        <w:t>’</w:t>
      </w:r>
      <w:r w:rsidRPr="00EE7913">
        <w:t>excessiva mobilitat voluntària del personal, que ha acabat per caracteritzar al model en vigor, ja qu</w:t>
      </w:r>
      <w:r>
        <w:t>e</w:t>
      </w:r>
      <w:r w:rsidRPr="00EE7913">
        <w:t xml:space="preserve"> concentra totes les oportunitats de carrera en el desenvolupament successiu de llocs de treball. Això no obstant, l</w:t>
      </w:r>
      <w:r>
        <w:t>’</w:t>
      </w:r>
      <w:r w:rsidRPr="00EE7913">
        <w:t xml:space="preserve">Estatut </w:t>
      </w:r>
      <w:r>
        <w:t xml:space="preserve">també </w:t>
      </w:r>
      <w:r w:rsidRPr="00EE7913">
        <w:t>permet continuar amb aquesta modalitat de carrera en aquelles administracions o àrees de l</w:t>
      </w:r>
      <w:r>
        <w:t>’</w:t>
      </w:r>
      <w:r w:rsidRPr="00EE7913">
        <w:t xml:space="preserve">ocupació pública en què es consideri convenient i adoptar-ne </w:t>
      </w:r>
      <w:r>
        <w:t>d’</w:t>
      </w:r>
      <w:r w:rsidRPr="00EE7913">
        <w:t>altres que combinin elements de carrera horitzontal i vertical.</w:t>
      </w:r>
    </w:p>
    <w:p w:rsidR="00AD76E0" w:rsidRPr="00EE7913" w:rsidRDefault="00AD76E0" w:rsidP="00AD76E0">
      <w:pPr>
        <w:spacing w:before="0" w:after="0" w:line="276" w:lineRule="auto"/>
      </w:pPr>
    </w:p>
    <w:p w:rsidR="00AD76E0" w:rsidRPr="00EE7913" w:rsidRDefault="00AD76E0" w:rsidP="00B517F7">
      <w:r w:rsidRPr="00EE7913">
        <w:lastRenderedPageBreak/>
        <w:t>Cal tenir present, però, que, d</w:t>
      </w:r>
      <w:r>
        <w:t>’</w:t>
      </w:r>
      <w:r w:rsidRPr="00EE7913">
        <w:t>acord amb el que estableix la disposició final quarta de l</w:t>
      </w:r>
      <w:r>
        <w:t>’</w:t>
      </w:r>
      <w:r w:rsidRPr="00EE7913">
        <w:t>EBEP, mentre no s</w:t>
      </w:r>
      <w:r>
        <w:t>’</w:t>
      </w:r>
      <w:r w:rsidRPr="00EE7913">
        <w:t xml:space="preserve">aprovi la </w:t>
      </w:r>
      <w:r>
        <w:t>L</w:t>
      </w:r>
      <w:r w:rsidRPr="00EE7913">
        <w:t>lei de desenvolupament (reserva de llei) de les modalitats de carrera contingudes a l</w:t>
      </w:r>
      <w:r>
        <w:t>’</w:t>
      </w:r>
      <w:r w:rsidRPr="00EE7913">
        <w:t>EBEP, la regulació de la carrera professional és la prevista a la Llei 30/1984, de 2 d</w:t>
      </w:r>
      <w:r>
        <w:t>’</w:t>
      </w:r>
      <w:r w:rsidRPr="00EE7913">
        <w:t>agost, de mesures per a la reforma de la funció pública i al Decret legislatiu 1/1997, de 31 d</w:t>
      </w:r>
      <w:r>
        <w:t>’</w:t>
      </w:r>
      <w:r w:rsidRPr="00EE7913">
        <w:t>octubre, pel qual s</w:t>
      </w:r>
      <w:r>
        <w:t>’</w:t>
      </w:r>
      <w:r w:rsidRPr="00EE7913">
        <w:t xml:space="preserve">aprova la refosa en un </w:t>
      </w:r>
      <w:r>
        <w:t>t</w:t>
      </w:r>
      <w:r w:rsidRPr="00EE7913">
        <w:t>ext únic dels preceptes de determinats textos legals vigents a Catalunya en matèria de funció pública.</w:t>
      </w:r>
    </w:p>
    <w:p w:rsidR="00AD76E0" w:rsidRPr="00EE7913" w:rsidRDefault="00AD76E0" w:rsidP="00AD76E0">
      <w:pPr>
        <w:spacing w:before="0" w:after="0" w:line="276" w:lineRule="auto"/>
      </w:pPr>
    </w:p>
    <w:p w:rsidR="00AD76E0" w:rsidRPr="00EE7913" w:rsidRDefault="00AD76E0" w:rsidP="009A1F67">
      <w:r w:rsidRPr="00EE7913">
        <w:t xml:space="preserve">Malgrat que, de moment, no es pugui desplegar la carrera professional horitzontal que planteja </w:t>
      </w:r>
      <w:r>
        <w:t xml:space="preserve">el </w:t>
      </w:r>
      <w:r w:rsidRPr="00ED1ACC">
        <w:t>Reial decret legislatiu 5/2015, de 30 d’octubre, pel qual s’aprova el text refós de la Llei de l’Estatut bàsic de l’empleat públic</w:t>
      </w:r>
      <w:r w:rsidRPr="00EE7913">
        <w:t xml:space="preserve">, entre </w:t>
      </w:r>
      <w:r>
        <w:t>d’</w:t>
      </w:r>
      <w:r w:rsidRPr="00EE7913">
        <w:t xml:space="preserve">altres </w:t>
      </w:r>
      <w:r>
        <w:t>raons</w:t>
      </w:r>
      <w:r w:rsidRPr="00EE7913">
        <w:t xml:space="preserve"> perquè implica fer canvis </w:t>
      </w:r>
      <w:r>
        <w:t>importants</w:t>
      </w:r>
      <w:r w:rsidRPr="00EE7913">
        <w:t xml:space="preserve"> en l</w:t>
      </w:r>
      <w:r>
        <w:t>’</w:t>
      </w:r>
      <w:r w:rsidRPr="00EE7913">
        <w:t>estructura bàsica de les retribucions, s</w:t>
      </w:r>
      <w:r>
        <w:t xml:space="preserve">í </w:t>
      </w:r>
      <w:r w:rsidRPr="00EE7913">
        <w:t xml:space="preserve">que es pot plantejar un model de carrera professional que, </w:t>
      </w:r>
      <w:r>
        <w:t>sobre la</w:t>
      </w:r>
      <w:r w:rsidRPr="00EE7913">
        <w:t xml:space="preserve"> base </w:t>
      </w:r>
      <w:r>
        <w:t>del</w:t>
      </w:r>
      <w:r w:rsidRPr="00EE7913">
        <w:t xml:space="preserve"> model de gestió per competències i </w:t>
      </w:r>
      <w:r>
        <w:t>en</w:t>
      </w:r>
      <w:r w:rsidRPr="00EE7913">
        <w:t xml:space="preserve"> l</w:t>
      </w:r>
      <w:r>
        <w:t>’</w:t>
      </w:r>
      <w:r w:rsidRPr="00EE7913">
        <w:t>àmbit funcional d</w:t>
      </w:r>
      <w:r>
        <w:t>’</w:t>
      </w:r>
      <w:r w:rsidRPr="00EE7913">
        <w:t>execució penal, defineixi els itineraris professionals que el personal dels serveis penitenciaris pot arribar a planificar i recórrer al llarg de la seva vida professional.</w:t>
      </w:r>
    </w:p>
    <w:p w:rsidR="00AD76E0" w:rsidRPr="00EE7913" w:rsidRDefault="00AD76E0" w:rsidP="00AD76E0">
      <w:pPr>
        <w:spacing w:before="0" w:after="0" w:line="276" w:lineRule="auto"/>
      </w:pPr>
    </w:p>
    <w:p w:rsidR="00AD76E0" w:rsidRDefault="00AD76E0" w:rsidP="009A1F67">
      <w:r w:rsidRPr="00EE7913">
        <w:t xml:space="preserve">Per tant, es pot seguir treballant, a partir de la definició del model penitenciari català, en la definició dels cossos, escales i especialitats que intervenen en els serveis penitenciaris; els requisits i les vies per </w:t>
      </w:r>
      <w:r>
        <w:t>a</w:t>
      </w:r>
      <w:r w:rsidRPr="00EE7913">
        <w:t>ccedir a aquests cossos; la definició per competències dels llocs de treball dels diferents àmbits d</w:t>
      </w:r>
      <w:r>
        <w:t>’</w:t>
      </w:r>
      <w:r w:rsidRPr="00EE7913">
        <w:t>actuació dels serveis penitenciaris; les condicions o els requisits per poder participar en els processos de provisió dels llocs de treball dels serveis penitenciaris; la promoció interna vertical i horitzontal; el disseny d</w:t>
      </w:r>
      <w:r>
        <w:t>’</w:t>
      </w:r>
      <w:r w:rsidRPr="00EE7913">
        <w:t>un sistema d</w:t>
      </w:r>
      <w:r>
        <w:t>’</w:t>
      </w:r>
      <w:r w:rsidRPr="00EE7913">
        <w:t>avaluació de l</w:t>
      </w:r>
      <w:r>
        <w:t>’</w:t>
      </w:r>
      <w:r w:rsidRPr="00EE7913">
        <w:t>acompliment,</w:t>
      </w:r>
      <w:r>
        <w:t xml:space="preserve"> etc</w:t>
      </w:r>
      <w:r w:rsidRPr="00EE7913">
        <w:t>.</w:t>
      </w:r>
    </w:p>
    <w:p w:rsidR="00AD76E0" w:rsidRPr="00EE7913" w:rsidRDefault="00AD76E0" w:rsidP="00AD76E0">
      <w:pPr>
        <w:spacing w:before="0" w:after="0" w:line="276" w:lineRule="auto"/>
      </w:pPr>
    </w:p>
    <w:p w:rsidR="00AD76E0" w:rsidRPr="00EC3041" w:rsidRDefault="00AD76E0" w:rsidP="0070401F">
      <w:pPr>
        <w:pStyle w:val="Ttol3"/>
      </w:pPr>
      <w:bookmarkStart w:id="506" w:name="_Toc464726402"/>
      <w:bookmarkStart w:id="507" w:name="_Toc465293452"/>
      <w:r w:rsidRPr="00EC3041">
        <w:t>La funció directiva penitenciària</w:t>
      </w:r>
      <w:bookmarkEnd w:id="506"/>
      <w:bookmarkEnd w:id="507"/>
    </w:p>
    <w:p w:rsidR="00AD76E0" w:rsidRPr="00EE7913" w:rsidRDefault="00AD76E0" w:rsidP="00AD76E0">
      <w:pPr>
        <w:spacing w:before="0" w:after="0" w:line="276" w:lineRule="auto"/>
      </w:pPr>
    </w:p>
    <w:p w:rsidR="00AD76E0" w:rsidRPr="00EE7913" w:rsidRDefault="00AD76E0" w:rsidP="009A1F67">
      <w:r w:rsidRPr="00EE7913">
        <w:t>S</w:t>
      </w:r>
      <w:r>
        <w:t>’</w:t>
      </w:r>
      <w:r w:rsidRPr="00EE7913">
        <w:t>hauria de treballar en la definició dels llocs de treball dels equips directius dels centres penitenciaris per competències (perspectiva selecció i perspectiva formació).</w:t>
      </w:r>
    </w:p>
    <w:p w:rsidR="00AD76E0" w:rsidRPr="00EE7913" w:rsidRDefault="00AD76E0" w:rsidP="00AD76E0">
      <w:pPr>
        <w:spacing w:before="0" w:after="0" w:line="276" w:lineRule="auto"/>
      </w:pPr>
    </w:p>
    <w:p w:rsidR="00AD76E0" w:rsidRPr="00EE7913" w:rsidRDefault="00AD76E0" w:rsidP="00AD76E0">
      <w:pPr>
        <w:spacing w:before="0" w:after="0" w:line="276" w:lineRule="auto"/>
      </w:pPr>
      <w:r w:rsidRPr="00EE7913">
        <w:t>Tal com s</w:t>
      </w:r>
      <w:r>
        <w:t>’</w:t>
      </w:r>
      <w:r w:rsidRPr="00EE7913">
        <w:t>apuntava a les conclusions de l</w:t>
      </w:r>
      <w:r>
        <w:t>’</w:t>
      </w:r>
      <w:r w:rsidRPr="00EE7913">
        <w:t xml:space="preserve">informe del </w:t>
      </w:r>
      <w:r>
        <w:t>g</w:t>
      </w:r>
      <w:r w:rsidRPr="00EE7913">
        <w:t>rup de treball per a l</w:t>
      </w:r>
      <w:r>
        <w:t>’</w:t>
      </w:r>
      <w:r w:rsidRPr="00EE7913">
        <w:t>estudi de la funció directiva penitenciària, caldria seguir treballant en el disseny de plans i programes de formació adreçats als directius públics penitenciaris, que versin sobre les matèries pròpies de la direcció i la gestió penitenciària, però també sobre gestió de recursos humans, sobre la gestió econòmica i patrimonial dels centres penitenciaris, sobre lideratge i gestió d</w:t>
      </w:r>
      <w:r>
        <w:t>’</w:t>
      </w:r>
      <w:r w:rsidRPr="00EE7913">
        <w:t>equips, sobre desenvolupament d</w:t>
      </w:r>
      <w:r>
        <w:t>’</w:t>
      </w:r>
      <w:r w:rsidRPr="00EE7913">
        <w:t>habilitats relacionals</w:t>
      </w:r>
      <w:r>
        <w:t xml:space="preserve">, etc. </w:t>
      </w:r>
    </w:p>
    <w:p w:rsidR="00AD76E0" w:rsidRPr="00EE7913" w:rsidRDefault="00AD76E0" w:rsidP="00AD76E0">
      <w:pPr>
        <w:spacing w:before="0" w:after="0" w:line="276" w:lineRule="auto"/>
      </w:pPr>
    </w:p>
    <w:p w:rsidR="00AD76E0" w:rsidRPr="00EE7913" w:rsidRDefault="00AD76E0" w:rsidP="009A1F67">
      <w:r w:rsidRPr="00EE7913">
        <w:t>Caldria, en el marc de la regulació bàsica d</w:t>
      </w:r>
      <w:r>
        <w:t>’</w:t>
      </w:r>
      <w:r w:rsidRPr="00EE7913">
        <w:t xml:space="preserve">ordenació del </w:t>
      </w:r>
      <w:r>
        <w:t>S</w:t>
      </w:r>
      <w:r w:rsidRPr="00EE7913">
        <w:t xml:space="preserve">istema de </w:t>
      </w:r>
      <w:r>
        <w:t>D</w:t>
      </w:r>
      <w:r w:rsidRPr="00EE7913">
        <w:t>irecció Pública Professional de l</w:t>
      </w:r>
      <w:r>
        <w:t>’</w:t>
      </w:r>
      <w:r w:rsidRPr="00EE7913">
        <w:t>Administració de la Generalitat de Catalunya, encara pendent d</w:t>
      </w:r>
      <w:r>
        <w:t>’</w:t>
      </w:r>
      <w:r w:rsidRPr="00EE7913">
        <w:t>aprovació, o de forma independent, desenvolupar una regulació específica de la funció pública directiva penitenciària, que reguli les forme</w:t>
      </w:r>
      <w:r>
        <w:t>s d’accés a la funció directiva. L</w:t>
      </w:r>
      <w:r w:rsidRPr="00EE7913">
        <w:t>es condicions d</w:t>
      </w:r>
      <w:r>
        <w:t>’</w:t>
      </w:r>
      <w:r w:rsidRPr="00EE7913">
        <w:t>exercici de la funció directiva, les interrupcions en l</w:t>
      </w:r>
      <w:r>
        <w:t>’</w:t>
      </w:r>
      <w:r w:rsidRPr="00EE7913">
        <w:t>exercici de la funció directiva, els períodes de desconnexió, l</w:t>
      </w:r>
      <w:r>
        <w:t>’</w:t>
      </w:r>
      <w:r w:rsidRPr="00EE7913">
        <w:t>avaluació de l</w:t>
      </w:r>
      <w:r>
        <w:t>’</w:t>
      </w:r>
      <w:r w:rsidRPr="00EE7913">
        <w:t>acompliment, el cessament basat en motius també objectius, la gestió de les sortides de la funció directiva penitenciària,</w:t>
      </w:r>
      <w:r>
        <w:t xml:space="preserve"> etc.</w:t>
      </w:r>
    </w:p>
    <w:p w:rsidR="00AD76E0" w:rsidRDefault="00AD76E0" w:rsidP="00AD76E0">
      <w:pPr>
        <w:spacing w:before="0" w:after="0" w:line="276" w:lineRule="auto"/>
      </w:pPr>
    </w:p>
    <w:p w:rsidR="00AD76E0" w:rsidRPr="00EC3041" w:rsidRDefault="007A1E03" w:rsidP="0070401F">
      <w:pPr>
        <w:pStyle w:val="Ttol3"/>
      </w:pPr>
      <w:bookmarkStart w:id="508" w:name="_Toc464726403"/>
      <w:bookmarkStart w:id="509" w:name="_Toc465293453"/>
      <w:r>
        <w:lastRenderedPageBreak/>
        <w:t>S</w:t>
      </w:r>
      <w:r w:rsidR="00AD76E0" w:rsidRPr="00EC3041">
        <w:t>egona activitat</w:t>
      </w:r>
      <w:bookmarkEnd w:id="508"/>
      <w:bookmarkEnd w:id="509"/>
    </w:p>
    <w:p w:rsidR="00AD76E0" w:rsidRPr="00EE7913" w:rsidRDefault="00AD76E0" w:rsidP="009A1F67">
      <w:r w:rsidRPr="00EE7913">
        <w:t>La situació de segona activitat del personal dels cossos penitenciaris ha tingut poca incidència o impacte en l</w:t>
      </w:r>
      <w:r>
        <w:t>’</w:t>
      </w:r>
      <w:r w:rsidRPr="00EE7913">
        <w:t>organització i el funcionament dels serveis dels centres penitenciaris.</w:t>
      </w:r>
    </w:p>
    <w:p w:rsidR="00AD76E0" w:rsidRPr="00EE7913" w:rsidRDefault="00AD76E0" w:rsidP="009A1F67">
      <w:r w:rsidRPr="00EE7913">
        <w:t>Això no obstant, el nombre de persones que passen a ocupar llocs de segona activitat va creixent progressivament (l</w:t>
      </w:r>
      <w:r>
        <w:t>’</w:t>
      </w:r>
      <w:r w:rsidRPr="00EE7913">
        <w:t>any 2006 hi havia 12 persones en situació de segona activitat i actualment n</w:t>
      </w:r>
      <w:r>
        <w:t>’</w:t>
      </w:r>
      <w:r w:rsidRPr="00EE7913">
        <w:t>hi ha 26).</w:t>
      </w:r>
    </w:p>
    <w:p w:rsidR="00AD76E0" w:rsidRPr="00EE7913" w:rsidRDefault="00AD76E0" w:rsidP="009A1F67">
      <w:r w:rsidRPr="00EE7913">
        <w:t>També cal tenir en compte que moltes sol·licituds de pas a la situació de segona activitat s</w:t>
      </w:r>
      <w:r>
        <w:t>’</w:t>
      </w:r>
      <w:r w:rsidRPr="00EE7913">
        <w:t>acaben resolent mitjançant l</w:t>
      </w:r>
      <w:r>
        <w:t>’</w:t>
      </w:r>
      <w:r w:rsidRPr="00EE7913">
        <w:t>adaptació del lloc de treball.</w:t>
      </w:r>
    </w:p>
    <w:p w:rsidR="00AD76E0" w:rsidRPr="00EE7913" w:rsidRDefault="00AD76E0" w:rsidP="009A1F67">
      <w:r w:rsidRPr="00EE7913">
        <w:t>És important revisar la regulació de la segona activitat perquè comencem a tenir un plantilla força envellida (497 persones, un 13,47</w:t>
      </w:r>
      <w:r>
        <w:t xml:space="preserve"> </w:t>
      </w:r>
      <w:r w:rsidRPr="00EE7913">
        <w:t>% de la plantilla dels cossos penitenciaris té més de 56 anys) i si el nombre de sol·licituds de pas a aquesta situació, per edat o per reducció de les capacitats funcionals, es dispara, caldrà cobrir els llocs operatius que deixin vacants aquestes persones i no hi haurà prou llocs de suport administratiu per reubicar-les.</w:t>
      </w:r>
    </w:p>
    <w:p w:rsidR="00AD76E0" w:rsidRPr="00EE7913" w:rsidRDefault="00AD76E0" w:rsidP="00AD76E0">
      <w:pPr>
        <w:spacing w:before="0" w:after="0" w:line="276" w:lineRule="auto"/>
      </w:pPr>
    </w:p>
    <w:p w:rsidR="00AD76E0" w:rsidRPr="00EE7913" w:rsidRDefault="00AD76E0" w:rsidP="0070401F">
      <w:pPr>
        <w:pStyle w:val="Ttol3"/>
      </w:pPr>
      <w:bookmarkStart w:id="510" w:name="_Toc464726404"/>
      <w:bookmarkStart w:id="511" w:name="_Toc465293454"/>
      <w:r w:rsidRPr="00EC3041">
        <w:t>Gestió de la borsa d</w:t>
      </w:r>
      <w:r>
        <w:t>’</w:t>
      </w:r>
      <w:r w:rsidRPr="00EC3041">
        <w:t>interins</w:t>
      </w:r>
      <w:bookmarkEnd w:id="510"/>
      <w:bookmarkEnd w:id="511"/>
    </w:p>
    <w:p w:rsidR="00AD76E0" w:rsidRPr="00EE7913" w:rsidRDefault="00AD76E0" w:rsidP="009A1F67">
      <w:r w:rsidRPr="00EE7913">
        <w:t>La Direcció General de Serveis Penitenciaris disposa d</w:t>
      </w:r>
      <w:r>
        <w:t>’</w:t>
      </w:r>
      <w:r w:rsidRPr="00EE7913">
        <w:t>una borsa d</w:t>
      </w:r>
      <w:r>
        <w:t>’</w:t>
      </w:r>
      <w:r w:rsidRPr="00EE7913">
        <w:t xml:space="preserve">interins per </w:t>
      </w:r>
      <w:r>
        <w:t xml:space="preserve">poder </w:t>
      </w:r>
      <w:r w:rsidRPr="00EE7913">
        <w:t>cobrir, de forma temporal, els llocs de treball vacants i les substitucions del cos tècnic d</w:t>
      </w:r>
      <w:r>
        <w:t>’</w:t>
      </w:r>
      <w:r w:rsidRPr="00EE7913">
        <w:t>especialistes, grup de serveis penitenciaris, necessaris per garantir el correcte funcionament dels centres penitenciaris.</w:t>
      </w:r>
    </w:p>
    <w:p w:rsidR="00AD76E0" w:rsidRPr="00EE7913" w:rsidRDefault="00AD76E0" w:rsidP="009A1F67">
      <w:r w:rsidRPr="00EE7913">
        <w:t>La Direcció General de Serveis Penitenciaris fa una bona gestió de la borsa d</w:t>
      </w:r>
      <w:r>
        <w:t>’</w:t>
      </w:r>
      <w:r w:rsidRPr="00EE7913">
        <w:t>interins de serveis penitenciaris.</w:t>
      </w:r>
    </w:p>
    <w:p w:rsidR="00AD76E0" w:rsidRPr="00EE7913" w:rsidRDefault="00AD76E0" w:rsidP="009A1F67">
      <w:r w:rsidRPr="00EE7913">
        <w:t>Per tal de millorar aquesta gestió, en línia amb la política de transparència de la Generalitat de Catalunya, l</w:t>
      </w:r>
      <w:r>
        <w:t>’</w:t>
      </w:r>
      <w:r w:rsidRPr="00EE7913">
        <w:t>any 2015, es va habilitar una aplicació informàtica per</w:t>
      </w:r>
      <w:r>
        <w:t>què</w:t>
      </w:r>
      <w:r w:rsidRPr="00EE7913">
        <w:t xml:space="preserve"> les persones membres de la borsa poguessin consultar</w:t>
      </w:r>
      <w:r>
        <w:t>-hi</w:t>
      </w:r>
      <w:r w:rsidRPr="00EE7913">
        <w:t xml:space="preserve"> la seva situació.</w:t>
      </w:r>
    </w:p>
    <w:p w:rsidR="00AD76E0" w:rsidRPr="00EE7913" w:rsidRDefault="00AD76E0" w:rsidP="009A1F67">
      <w:r w:rsidRPr="00EE7913">
        <w:t>Per atendre les necessitats que es van generar per l</w:t>
      </w:r>
      <w:r>
        <w:t>’</w:t>
      </w:r>
      <w:r w:rsidRPr="00EE7913">
        <w:t>obertura del Centre Penitenciari Mas d</w:t>
      </w:r>
      <w:r>
        <w:t>’</w:t>
      </w:r>
      <w:r w:rsidRPr="00EE7913">
        <w:t>Enric</w:t>
      </w:r>
      <w:r>
        <w:t xml:space="preserve"> i com a conseqüència d’aquesta obertura,</w:t>
      </w:r>
      <w:r w:rsidRPr="00EE7913">
        <w:t xml:space="preserve"> i per poder reforçar les plantilles dels centres penitenciaris durant el període nadalenc i </w:t>
      </w:r>
      <w:r>
        <w:t xml:space="preserve">el període </w:t>
      </w:r>
      <w:r w:rsidRPr="00EE7913">
        <w:t>estival es va haver d</w:t>
      </w:r>
      <w:r>
        <w:t>’</w:t>
      </w:r>
      <w:r w:rsidRPr="00EE7913">
        <w:t>ampliar de forma excepcional i temporal la borsa d</w:t>
      </w:r>
      <w:r>
        <w:t>’</w:t>
      </w:r>
      <w:r w:rsidRPr="00EE7913">
        <w:t>interins.</w:t>
      </w:r>
    </w:p>
    <w:p w:rsidR="00E555B8" w:rsidRDefault="00AD76E0" w:rsidP="009A1F67">
      <w:pPr>
        <w:sectPr w:rsidR="00E555B8" w:rsidSect="007A1E03">
          <w:pgSz w:w="11906" w:h="16838"/>
          <w:pgMar w:top="1135" w:right="1134" w:bottom="1985" w:left="1701" w:header="709" w:footer="109" w:gutter="0"/>
          <w:cols w:space="708"/>
          <w:titlePg/>
          <w:docGrid w:linePitch="360"/>
        </w:sectPr>
      </w:pPr>
      <w:r w:rsidRPr="00EE7913">
        <w:t>La regulació actual de la borsa d</w:t>
      </w:r>
      <w:r>
        <w:t>’</w:t>
      </w:r>
      <w:r w:rsidRPr="00EE7913">
        <w:t>interins de serveis penitenciaris, que és de l</w:t>
      </w:r>
      <w:r>
        <w:t>’</w:t>
      </w:r>
      <w:r w:rsidRPr="00EE7913">
        <w:t>any 2006, ha esdevingut insuficient per resoldre de forma adequada els problemes i les casuístiques que s</w:t>
      </w:r>
      <w:r>
        <w:t>’</w:t>
      </w:r>
      <w:r w:rsidRPr="00EE7913">
        <w:t>han produït durant aquest</w:t>
      </w:r>
      <w:r>
        <w:t>s anys. Per aquesta raó, entén</w:t>
      </w:r>
      <w:r w:rsidRPr="00EE7913">
        <w:t xml:space="preserve"> que cal </w:t>
      </w:r>
      <w:r>
        <w:t>reformular</w:t>
      </w:r>
      <w:r w:rsidRPr="00EE7913">
        <w:t xml:space="preserve"> els criteris de regulació de la borsa de treball de</w:t>
      </w:r>
      <w:r>
        <w:t>l</w:t>
      </w:r>
      <w:r w:rsidRPr="00EE7913">
        <w:t xml:space="preserve"> personal del cos tècnic d</w:t>
      </w:r>
      <w:r>
        <w:t>’</w:t>
      </w:r>
      <w:r w:rsidRPr="00EE7913">
        <w:t>especialistes, grup de serveis penitenciaris.</w:t>
      </w:r>
    </w:p>
    <w:p w:rsidR="00331D54" w:rsidRPr="00331D54" w:rsidRDefault="00331D54" w:rsidP="00331D54"/>
    <w:p w:rsidR="00331D54" w:rsidRPr="00331D54" w:rsidRDefault="00331D54" w:rsidP="00331D54"/>
    <w:p w:rsidR="007B73DC" w:rsidRDefault="00331D54" w:rsidP="007B73DC">
      <w:pPr>
        <w:keepNext/>
        <w:jc w:val="center"/>
      </w:pPr>
      <w:r w:rsidRPr="00331D54">
        <w:rPr>
          <w:noProof/>
          <w:lang w:eastAsia="ca-ES"/>
        </w:rPr>
        <w:drawing>
          <wp:inline distT="0" distB="0" distL="0" distR="0" wp14:anchorId="21117942" wp14:editId="36658F14">
            <wp:extent cx="6684880" cy="3181350"/>
            <wp:effectExtent l="0" t="0" r="1905" b="0"/>
            <wp:docPr id="141" name="Imatg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694917" cy="3186127"/>
                    </a:xfrm>
                    <a:prstGeom prst="rect">
                      <a:avLst/>
                    </a:prstGeom>
                    <a:noFill/>
                    <a:ln>
                      <a:noFill/>
                    </a:ln>
                  </pic:spPr>
                </pic:pic>
              </a:graphicData>
            </a:graphic>
          </wp:inline>
        </w:drawing>
      </w:r>
    </w:p>
    <w:p w:rsidR="00331D54" w:rsidRPr="00331D54" w:rsidRDefault="009A1F67" w:rsidP="007B73DC">
      <w:pPr>
        <w:pStyle w:val="Llegenda"/>
        <w:jc w:val="center"/>
      </w:pPr>
      <w:bookmarkStart w:id="512" w:name="_Toc465293860"/>
      <w:r>
        <w:t>Gràfic</w:t>
      </w:r>
      <w:r w:rsidR="007B73DC">
        <w:t xml:space="preserve"> </w:t>
      </w:r>
      <w:r w:rsidR="00DB496B">
        <w:fldChar w:fldCharType="begin"/>
      </w:r>
      <w:r w:rsidR="00DB496B">
        <w:instrText xml:space="preserve"> SEQ Il·lustració \* ARABIC </w:instrText>
      </w:r>
      <w:r w:rsidR="00DB496B">
        <w:fldChar w:fldCharType="separate"/>
      </w:r>
      <w:r w:rsidR="00C952DF">
        <w:rPr>
          <w:noProof/>
        </w:rPr>
        <w:t>53</w:t>
      </w:r>
      <w:r w:rsidR="00DB496B">
        <w:rPr>
          <w:noProof/>
        </w:rPr>
        <w:fldChar w:fldCharType="end"/>
      </w:r>
      <w:r w:rsidR="007B73DC">
        <w:t>. Estructura organitzativa dels centres penitenciaris</w:t>
      </w:r>
      <w:bookmarkEnd w:id="512"/>
    </w:p>
    <w:p w:rsidR="00331D54" w:rsidRPr="00331D54" w:rsidRDefault="00331D54" w:rsidP="00331D54"/>
    <w:p w:rsidR="00331D54" w:rsidRPr="00331D54" w:rsidRDefault="00331D54" w:rsidP="00331D54"/>
    <w:p w:rsidR="00331D54" w:rsidRPr="00331D54" w:rsidRDefault="00331D54" w:rsidP="00331D54"/>
    <w:p w:rsidR="00E555B8" w:rsidRDefault="00E555B8" w:rsidP="00331D54">
      <w:pPr>
        <w:sectPr w:rsidR="00E555B8" w:rsidSect="00E555B8">
          <w:pgSz w:w="16838" w:h="11906" w:orient="landscape"/>
          <w:pgMar w:top="1701" w:right="1135" w:bottom="1134" w:left="1985" w:header="709" w:footer="109" w:gutter="0"/>
          <w:cols w:space="708"/>
          <w:titlePg/>
          <w:docGrid w:linePitch="360"/>
        </w:sectPr>
      </w:pPr>
    </w:p>
    <w:p w:rsidR="005729F5" w:rsidRPr="00CD4044" w:rsidRDefault="005729F5" w:rsidP="0070401F">
      <w:pPr>
        <w:pStyle w:val="Ttol1"/>
      </w:pPr>
      <w:bookmarkStart w:id="513" w:name="_Toc463350647"/>
      <w:bookmarkStart w:id="514" w:name="_Toc463948200"/>
      <w:bookmarkStart w:id="515" w:name="_Toc464685717"/>
      <w:bookmarkStart w:id="516" w:name="_Toc465293455"/>
      <w:bookmarkStart w:id="517" w:name="_Toc462393619"/>
      <w:r w:rsidRPr="00CD4044">
        <w:lastRenderedPageBreak/>
        <w:t>Els equipaments: el disseny com a resposta a la missió de l’organització</w:t>
      </w:r>
      <w:bookmarkEnd w:id="513"/>
      <w:bookmarkEnd w:id="514"/>
      <w:bookmarkEnd w:id="515"/>
      <w:bookmarkEnd w:id="516"/>
    </w:p>
    <w:p w:rsidR="005729F5" w:rsidRPr="00FF4565" w:rsidRDefault="005729F5" w:rsidP="0070401F">
      <w:pPr>
        <w:pStyle w:val="Ttol2"/>
      </w:pPr>
      <w:bookmarkStart w:id="518" w:name="_Toc463948203"/>
      <w:bookmarkStart w:id="519" w:name="_Toc464685718"/>
      <w:bookmarkStart w:id="520" w:name="_Toc465293456"/>
      <w:bookmarkEnd w:id="517"/>
      <w:r w:rsidRPr="00FF4565">
        <w:t xml:space="preserve">La </w:t>
      </w:r>
      <w:r w:rsidRPr="005729F5">
        <w:t>ubicació</w:t>
      </w:r>
      <w:r w:rsidRPr="00FF4565">
        <w:t xml:space="preserve"> i l’equilibri territorial</w:t>
      </w:r>
      <w:bookmarkEnd w:id="518"/>
      <w:bookmarkEnd w:id="519"/>
      <w:bookmarkEnd w:id="520"/>
    </w:p>
    <w:p w:rsidR="005729F5" w:rsidRPr="00FF4565" w:rsidRDefault="005729F5" w:rsidP="006D0874"/>
    <w:p w:rsidR="005729F5" w:rsidRPr="00FF4565" w:rsidRDefault="005729F5" w:rsidP="006D0874">
      <w:pPr>
        <w:pBdr>
          <w:top w:val="single" w:sz="4" w:space="1" w:color="auto"/>
          <w:left w:val="single" w:sz="4" w:space="4" w:color="auto"/>
          <w:bottom w:val="single" w:sz="4" w:space="1" w:color="auto"/>
          <w:right w:val="single" w:sz="4" w:space="4" w:color="auto"/>
        </w:pBdr>
        <w:rPr>
          <w:i/>
        </w:rPr>
      </w:pPr>
      <w:r>
        <w:rPr>
          <w:i/>
        </w:rPr>
        <w:t>“La presó é</w:t>
      </w:r>
      <w:r w:rsidRPr="00FF4565">
        <w:rPr>
          <w:i/>
        </w:rPr>
        <w:t>s una realitat</w:t>
      </w:r>
      <w:r>
        <w:rPr>
          <w:i/>
        </w:rPr>
        <w:t xml:space="preserve"> que cal visualitzar i afrontar</w:t>
      </w:r>
      <w:r w:rsidRPr="00FF4565">
        <w:rPr>
          <w:i/>
        </w:rPr>
        <w:t xml:space="preserve"> per tal d’integrar-la amb normalitat en el</w:t>
      </w:r>
      <w:r>
        <w:rPr>
          <w:i/>
        </w:rPr>
        <w:t xml:space="preserve"> debat arquitectònic i social mé</w:t>
      </w:r>
      <w:r w:rsidRPr="00FF4565">
        <w:rPr>
          <w:i/>
        </w:rPr>
        <w:t xml:space="preserve">s ampli possible, i fer-la progressar cap a allí on la societat reclami.” </w:t>
      </w:r>
    </w:p>
    <w:p w:rsidR="005729F5" w:rsidRPr="00FF4565" w:rsidRDefault="005729F5" w:rsidP="006D0874"/>
    <w:p w:rsidR="005729F5" w:rsidRPr="00FF4565" w:rsidRDefault="005729F5" w:rsidP="006D0874">
      <w:r w:rsidRPr="00FF4565">
        <w:t xml:space="preserve">La </w:t>
      </w:r>
      <w:r w:rsidRPr="001E247B">
        <w:t xml:space="preserve">localització </w:t>
      </w:r>
      <w:r w:rsidRPr="00FF4565">
        <w:t>dels equipaments penitenciaris esdevé un element fonamental. Cal tenir en compte les característiques territorials del país i la necessitat de reequilibri entre zones, la disponibilitat de sòl i altres v</w:t>
      </w:r>
      <w:r>
        <w:t>ariables de caràcter social i d’opinió pú</w:t>
      </w:r>
      <w:r w:rsidRPr="00FF4565">
        <w:t>blica.</w:t>
      </w:r>
    </w:p>
    <w:p w:rsidR="005729F5" w:rsidRPr="00FF4565" w:rsidRDefault="005729F5" w:rsidP="006D0874">
      <w:r w:rsidRPr="00FF4565">
        <w:t xml:space="preserve">Les regions </w:t>
      </w:r>
      <w:r>
        <w:t>o vegueries amb mé</w:t>
      </w:r>
      <w:r w:rsidRPr="00FF4565">
        <w:t xml:space="preserve">s densitat demogràfica han de comptar amb equipaments penitenciaris, que puguin atendre les necessitats de la població interna d’apropament als seus domicilis per tal de no trencar els seus vincles socials i, en la mesura </w:t>
      </w:r>
      <w:r>
        <w:t>que sigui</w:t>
      </w:r>
      <w:r w:rsidRPr="00FF4565">
        <w:t xml:space="preserve"> possible</w:t>
      </w:r>
      <w:r>
        <w:t>,</w:t>
      </w:r>
      <w:r w:rsidRPr="00FF4565">
        <w:t xml:space="preserve"> respondre a les necessitats general</w:t>
      </w:r>
      <w:r>
        <w:t>s</w:t>
      </w:r>
      <w:r w:rsidRPr="00FF4565">
        <w:t xml:space="preserve"> del sistema penitenciari.</w:t>
      </w:r>
    </w:p>
    <w:p w:rsidR="005729F5" w:rsidRPr="00FF4565" w:rsidRDefault="005729F5" w:rsidP="006D0874">
      <w:r w:rsidRPr="00FF4565">
        <w:t>El Govern ha expressat la voluntat de transparència i diàleg amb le</w:t>
      </w:r>
      <w:r>
        <w:t>s autoritats locals concernides</w:t>
      </w:r>
      <w:r w:rsidRPr="00FF4565">
        <w:t xml:space="preserve"> abans de decidir la ubicació de nous</w:t>
      </w:r>
      <w:r>
        <w:t xml:space="preserve"> equipaments penitenciaris. No é</w:t>
      </w:r>
      <w:r w:rsidRPr="00FF4565">
        <w:t>s fàcil visualitzar els beneficis que pot reportar a un municipi o a una comarca la instal·lació d’un equipament d’aquestes característiques. I</w:t>
      </w:r>
      <w:r>
        <w:t>,</w:t>
      </w:r>
      <w:r w:rsidRPr="00FF4565">
        <w:t xml:space="preserve"> en canvi</w:t>
      </w:r>
      <w:r>
        <w:t>,</w:t>
      </w:r>
      <w:r w:rsidRPr="00FF4565">
        <w:t xml:space="preserve"> és molt fàcil caure en prejudicis i estereotips negatius derivats de la ubicació d’una pre</w:t>
      </w:r>
      <w:r>
        <w:t>só. É</w:t>
      </w:r>
      <w:r w:rsidRPr="00FF4565">
        <w:t xml:space="preserve">s important, d’una banda, regular una sèrie de compensacions per a aquells municipis que acullin aquests equipaments i engegar, d’altra banda, polítiques de comunicació que apropin la realitat </w:t>
      </w:r>
      <w:r>
        <w:t>penitenciària</w:t>
      </w:r>
      <w:r w:rsidRPr="00FF4565">
        <w:t xml:space="preserve"> als ciutadans en general.</w:t>
      </w:r>
    </w:p>
    <w:p w:rsidR="005729F5" w:rsidRPr="00FF4565" w:rsidRDefault="005729F5" w:rsidP="006D0874">
      <w:r>
        <w:t>També só</w:t>
      </w:r>
      <w:r w:rsidRPr="00FF4565">
        <w:t>n determinants els criteris que han de complir els terrenys per a la construcció d’u</w:t>
      </w:r>
      <w:r>
        <w:t xml:space="preserve">n equipament penitenciari, per </w:t>
      </w:r>
      <w:r w:rsidRPr="00FF4565">
        <w:t>respondre als requisits de la seva funció penitenciària i a la seva gestió.</w:t>
      </w:r>
    </w:p>
    <w:p w:rsidR="005729F5" w:rsidRPr="00FF4565" w:rsidRDefault="005729F5" w:rsidP="006D0874">
      <w:r w:rsidRPr="00FF4565">
        <w:t xml:space="preserve">Pel que fa als </w:t>
      </w:r>
      <w:r>
        <w:rPr>
          <w:u w:val="single"/>
        </w:rPr>
        <w:t>centres de compliment</w:t>
      </w:r>
      <w:r w:rsidRPr="00FF4565">
        <w:rPr>
          <w:u w:val="single"/>
        </w:rPr>
        <w:t xml:space="preserve"> de penes</w:t>
      </w:r>
      <w:r w:rsidRPr="00FF4565">
        <w:t xml:space="preserve"> que requer</w:t>
      </w:r>
      <w:r>
        <w:t>eixen condicions de seguretat mé</w:t>
      </w:r>
      <w:r w:rsidRPr="00FF4565">
        <w:t>s estrictes, els criteris establer</w:t>
      </w:r>
      <w:r>
        <w:t>t</w:t>
      </w:r>
      <w:r w:rsidRPr="00FF4565">
        <w:t xml:space="preserve">s pel Departament de Justícia per justificar </w:t>
      </w:r>
      <w:r>
        <w:t>la idoneïtat d’un emplaçament só</w:t>
      </w:r>
      <w:r w:rsidRPr="00FF4565">
        <w:t>n els següents:</w:t>
      </w:r>
    </w:p>
    <w:p w:rsidR="005729F5" w:rsidRPr="00FF4565" w:rsidRDefault="005729F5" w:rsidP="00055E6C">
      <w:pPr>
        <w:pStyle w:val="Pargrafdellista"/>
        <w:numPr>
          <w:ilvl w:val="0"/>
          <w:numId w:val="30"/>
        </w:numPr>
      </w:pPr>
      <w:r>
        <w:t>E</w:t>
      </w:r>
      <w:r w:rsidRPr="00FF4565">
        <w:t>mplaçament proper a un nus de comunicacions que el fa</w:t>
      </w:r>
      <w:r>
        <w:t>ci fàcilment accessible en distà</w:t>
      </w:r>
      <w:r w:rsidRPr="00FF4565">
        <w:t>ncia i en temps als nuclis importants de població am</w:t>
      </w:r>
      <w:r>
        <w:t>b seu de tribunals i j</w:t>
      </w:r>
      <w:r w:rsidRPr="00FF4565">
        <w:t>utjats.</w:t>
      </w:r>
    </w:p>
    <w:p w:rsidR="005729F5" w:rsidRPr="00FF4565" w:rsidRDefault="005729F5" w:rsidP="00055E6C">
      <w:pPr>
        <w:pStyle w:val="Pargrafdellista"/>
        <w:numPr>
          <w:ilvl w:val="0"/>
          <w:numId w:val="30"/>
        </w:numPr>
      </w:pPr>
      <w:r>
        <w:t>U</w:t>
      </w:r>
      <w:r w:rsidRPr="00FF4565">
        <w:t>bic</w:t>
      </w:r>
      <w:r>
        <w:t>ació propera en distà</w:t>
      </w:r>
      <w:r w:rsidRPr="00FF4565">
        <w:t>ncia i en temps als grans nuclis de població</w:t>
      </w:r>
      <w:r>
        <w:t>,</w:t>
      </w:r>
      <w:r w:rsidRPr="00FF4565">
        <w:t xml:space="preserve"> i ben comunicada amb transport públic a fi de facilitar les comunicacions amb familiars, advocats i col·laboradors voluntaris del treball penitenciari.</w:t>
      </w:r>
    </w:p>
    <w:p w:rsidR="005729F5" w:rsidRPr="00FF4565" w:rsidRDefault="005729F5" w:rsidP="00055E6C">
      <w:pPr>
        <w:pStyle w:val="Pargrafdellista"/>
        <w:numPr>
          <w:ilvl w:val="0"/>
          <w:numId w:val="30"/>
        </w:numPr>
      </w:pPr>
      <w:r w:rsidRPr="00FF4565">
        <w:t>Proximitat a un nucli urbà que pugui donar resposta a les necessitats de transport</w:t>
      </w:r>
      <w:r>
        <w:t>,</w:t>
      </w:r>
      <w:r w:rsidRPr="00FF4565">
        <w:t xml:space="preserve"> comunicacions, submi</w:t>
      </w:r>
      <w:r>
        <w:t>nistraments i altres serveis bà</w:t>
      </w:r>
      <w:r w:rsidRPr="00FF4565">
        <w:t>sics (aigua, electricitat, gas i sanejament).</w:t>
      </w:r>
    </w:p>
    <w:p w:rsidR="005729F5" w:rsidRPr="00FF4565" w:rsidRDefault="005729F5" w:rsidP="00055E6C">
      <w:pPr>
        <w:pStyle w:val="Pargrafdellista"/>
        <w:numPr>
          <w:ilvl w:val="0"/>
          <w:numId w:val="30"/>
        </w:numPr>
      </w:pPr>
      <w:r w:rsidRPr="00FF4565">
        <w:t xml:space="preserve">Situació urbanística que eviti la inclusió física del centre en un entorn de forta densitat de població, com a conseqüència del futur creixement dels nuclis </w:t>
      </w:r>
      <w:r>
        <w:t>habitats</w:t>
      </w:r>
      <w:r w:rsidRPr="00FF4565">
        <w:t xml:space="preserve"> propers.</w:t>
      </w:r>
    </w:p>
    <w:p w:rsidR="005729F5" w:rsidRPr="00FF4565" w:rsidRDefault="005729F5" w:rsidP="00055E6C">
      <w:pPr>
        <w:pStyle w:val="Pargrafdellista"/>
        <w:numPr>
          <w:ilvl w:val="0"/>
          <w:numId w:val="30"/>
        </w:numPr>
      </w:pPr>
      <w:r>
        <w:t>Possibilitat d’utilitzar vies rà</w:t>
      </w:r>
      <w:r w:rsidRPr="00FF4565">
        <w:t>pides i itineraris alternatius amb facilitat i rapidesa.</w:t>
      </w:r>
    </w:p>
    <w:p w:rsidR="005729F5" w:rsidRPr="00FF4565" w:rsidRDefault="005729F5" w:rsidP="00055E6C">
      <w:pPr>
        <w:pStyle w:val="Pargrafdellista"/>
        <w:numPr>
          <w:ilvl w:val="0"/>
          <w:numId w:val="30"/>
        </w:numPr>
      </w:pPr>
      <w:r w:rsidRPr="00FF4565">
        <w:t>Morfologia del terreny que faciliti la implantació d’un centre sense que siguin necessaris grans moviments de terres que alterin la morfologia natural del terreny o del seu medi ambient.</w:t>
      </w:r>
    </w:p>
    <w:p w:rsidR="005729F5" w:rsidRPr="00FF4565" w:rsidRDefault="005729F5" w:rsidP="006D0874">
      <w:r w:rsidRPr="00FF4565">
        <w:t xml:space="preserve">Pel que fa als </w:t>
      </w:r>
      <w:r w:rsidRPr="00FF4565">
        <w:rPr>
          <w:u w:val="single"/>
        </w:rPr>
        <w:t>centres oberts</w:t>
      </w:r>
      <w:r w:rsidRPr="00FF4565">
        <w:t xml:space="preserve">, els criteris principals són la seva ubicació en entorn urbà, per tal d’afavorir el procés de reinserció dels interns a la comunitat. Han de comptar amb </w:t>
      </w:r>
      <w:r w:rsidRPr="00FF4565">
        <w:lastRenderedPageBreak/>
        <w:t>transport públic accessible per facilitar el desplaçament quotidià dels interns. En aquests tipus de centres els elements de se</w:t>
      </w:r>
      <w:r>
        <w:t>guretat interior i perimetral só</w:t>
      </w:r>
      <w:r w:rsidRPr="00FF4565">
        <w:t>n mínims. La tipologia constructiva ha de ser</w:t>
      </w:r>
      <w:r>
        <w:t xml:space="preserve"> similar a la d’una residè</w:t>
      </w:r>
      <w:r w:rsidRPr="00FF4565">
        <w:t>ncia</w:t>
      </w:r>
      <w:r>
        <w:t xml:space="preserve"> i, per tant, es redueix</w:t>
      </w:r>
      <w:r w:rsidRPr="00FF4565">
        <w:t xml:space="preserve"> l’impacte visual.</w:t>
      </w:r>
    </w:p>
    <w:p w:rsidR="005729F5" w:rsidRPr="00FF4565" w:rsidRDefault="005729F5" w:rsidP="006D0874">
      <w:r w:rsidRPr="00FF4565">
        <w:t xml:space="preserve">Pel que fa als </w:t>
      </w:r>
      <w:r w:rsidRPr="00FF4565">
        <w:rPr>
          <w:u w:val="single"/>
        </w:rPr>
        <w:t>centres per a interns preventius</w:t>
      </w:r>
      <w:r w:rsidRPr="00FF4565">
        <w:t>, s’han d’ubicar en zones urbanes o periurbanes, s’ha de garantir la seva proximitat i accessibilitat a les seus judicials, ja que els inte</w:t>
      </w:r>
      <w:r>
        <w:t>rns só</w:t>
      </w:r>
      <w:r w:rsidRPr="00FF4565">
        <w:t>n citats amb molta freqüència durant el procés d’instrucció i han de comptar amb l’assistència dels seus lletrats.</w:t>
      </w:r>
    </w:p>
    <w:p w:rsidR="005729F5" w:rsidRPr="00FF4565" w:rsidRDefault="005729F5" w:rsidP="006D0874">
      <w:r w:rsidRPr="00FF4565">
        <w:t>La ubicació dels centres s’articula molt pròxima a les vie</w:t>
      </w:r>
      <w:r>
        <w:t xml:space="preserve">s ràpides de comunicació, tal </w:t>
      </w:r>
      <w:r w:rsidRPr="00FF4565">
        <w:t>com es pot observar en el gràfic adjunt (la majoria dels centres estan ubicats pròxims a l’AP-7).</w:t>
      </w:r>
    </w:p>
    <w:p w:rsidR="005729F5" w:rsidRPr="00FF4565" w:rsidRDefault="005729F5" w:rsidP="006D0874"/>
    <w:p w:rsidR="00BB551F" w:rsidRDefault="005729F5" w:rsidP="00BB551F">
      <w:pPr>
        <w:keepNext/>
        <w:jc w:val="center"/>
      </w:pPr>
      <w:r w:rsidRPr="00FF4565">
        <w:rPr>
          <w:noProof/>
          <w:lang w:eastAsia="ca-ES"/>
        </w:rPr>
        <w:drawing>
          <wp:inline distT="0" distB="0" distL="0" distR="0" wp14:anchorId="12C0974A" wp14:editId="0178B2C6">
            <wp:extent cx="5400040" cy="3934460"/>
            <wp:effectExtent l="0" t="0" r="0" b="8890"/>
            <wp:docPr id="22" name="Imat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a_geoPDF.jpg"/>
                    <pic:cNvPicPr/>
                  </pic:nvPicPr>
                  <pic:blipFill>
                    <a:blip r:embed="rId74" cstate="email">
                      <a:extLst>
                        <a:ext uri="{28A0092B-C50C-407E-A947-70E740481C1C}">
                          <a14:useLocalDpi xmlns:a14="http://schemas.microsoft.com/office/drawing/2010/main"/>
                        </a:ext>
                      </a:extLst>
                    </a:blip>
                    <a:stretch>
                      <a:fillRect/>
                    </a:stretch>
                  </pic:blipFill>
                  <pic:spPr>
                    <a:xfrm>
                      <a:off x="0" y="0"/>
                      <a:ext cx="5400040" cy="3934460"/>
                    </a:xfrm>
                    <a:prstGeom prst="rect">
                      <a:avLst/>
                    </a:prstGeom>
                  </pic:spPr>
                </pic:pic>
              </a:graphicData>
            </a:graphic>
          </wp:inline>
        </w:drawing>
      </w:r>
    </w:p>
    <w:p w:rsidR="005729F5" w:rsidRPr="00FF4565" w:rsidRDefault="009A1F67" w:rsidP="00BB551F">
      <w:pPr>
        <w:pStyle w:val="Llegenda"/>
        <w:jc w:val="center"/>
      </w:pPr>
      <w:bookmarkStart w:id="521" w:name="_Toc465293861"/>
      <w:r>
        <w:t>Gràfic</w:t>
      </w:r>
      <w:r w:rsidR="00BB551F">
        <w:t xml:space="preserve"> </w:t>
      </w:r>
      <w:r w:rsidR="00DB496B">
        <w:fldChar w:fldCharType="begin"/>
      </w:r>
      <w:r w:rsidR="00DB496B">
        <w:instrText xml:space="preserve"> SEQ Il·lustració \* ARABIC </w:instrText>
      </w:r>
      <w:r w:rsidR="00DB496B">
        <w:fldChar w:fldCharType="separate"/>
      </w:r>
      <w:r w:rsidR="00C952DF">
        <w:rPr>
          <w:noProof/>
        </w:rPr>
        <w:t>54</w:t>
      </w:r>
      <w:r w:rsidR="00DB496B">
        <w:rPr>
          <w:noProof/>
        </w:rPr>
        <w:fldChar w:fldCharType="end"/>
      </w:r>
      <w:r w:rsidR="00BB551F">
        <w:t xml:space="preserve">. </w:t>
      </w:r>
      <w:r w:rsidR="00BB551F" w:rsidRPr="00762AA6">
        <w:t>Ubicació dels centres penitenciaris (mapa d’elaboració pròpia)</w:t>
      </w:r>
      <w:bookmarkEnd w:id="521"/>
    </w:p>
    <w:p w:rsidR="005729F5" w:rsidRPr="00FF4565" w:rsidRDefault="005729F5">
      <w:pPr>
        <w:spacing w:before="0"/>
        <w:jc w:val="left"/>
      </w:pPr>
      <w:r w:rsidRPr="00FF4565">
        <w:br w:type="page"/>
      </w:r>
    </w:p>
    <w:p w:rsidR="005729F5" w:rsidRPr="00FF4565" w:rsidRDefault="005729F5" w:rsidP="006D0874">
      <w:r w:rsidRPr="00FF4565">
        <w:lastRenderedPageBreak/>
        <w:t>La ubicació en funció de la densitat demogràfica</w:t>
      </w:r>
    </w:p>
    <w:tbl>
      <w:tblPr>
        <w:tblW w:w="9371" w:type="dxa"/>
        <w:tblInd w:w="55" w:type="dxa"/>
        <w:tblCellMar>
          <w:left w:w="70" w:type="dxa"/>
          <w:right w:w="70" w:type="dxa"/>
        </w:tblCellMar>
        <w:tblLook w:val="04A0" w:firstRow="1" w:lastRow="0" w:firstColumn="1" w:lastColumn="0" w:noHBand="0" w:noVBand="1"/>
      </w:tblPr>
      <w:tblGrid>
        <w:gridCol w:w="2020"/>
        <w:gridCol w:w="1030"/>
        <w:gridCol w:w="1360"/>
        <w:gridCol w:w="1559"/>
        <w:gridCol w:w="3402"/>
      </w:tblGrid>
      <w:tr w:rsidR="005729F5" w:rsidRPr="00FF4565" w:rsidTr="006D0874">
        <w:trPr>
          <w:trHeight w:val="255"/>
        </w:trPr>
        <w:tc>
          <w:tcPr>
            <w:tcW w:w="20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729F5" w:rsidRPr="00FF4565" w:rsidRDefault="005729F5" w:rsidP="006D0874">
            <w:pPr>
              <w:spacing w:before="0" w:after="0"/>
              <w:jc w:val="center"/>
              <w:rPr>
                <w:rFonts w:cs="Arial"/>
                <w:bCs/>
                <w:color w:val="000000"/>
                <w:sz w:val="18"/>
                <w:szCs w:val="18"/>
              </w:rPr>
            </w:pPr>
            <w:r w:rsidRPr="00FF4565">
              <w:rPr>
                <w:rFonts w:cs="Arial"/>
                <w:bCs/>
                <w:color w:val="000000"/>
                <w:sz w:val="18"/>
                <w:szCs w:val="18"/>
              </w:rPr>
              <w:t> </w:t>
            </w:r>
          </w:p>
        </w:tc>
        <w:tc>
          <w:tcPr>
            <w:tcW w:w="1030" w:type="dxa"/>
            <w:tcBorders>
              <w:top w:val="single" w:sz="4" w:space="0" w:color="auto"/>
              <w:left w:val="nil"/>
              <w:bottom w:val="single" w:sz="4" w:space="0" w:color="auto"/>
              <w:right w:val="single" w:sz="4" w:space="0" w:color="auto"/>
            </w:tcBorders>
            <w:shd w:val="clear" w:color="auto" w:fill="auto"/>
            <w:vAlign w:val="center"/>
            <w:hideMark/>
          </w:tcPr>
          <w:p w:rsidR="005729F5" w:rsidRPr="00FF4565" w:rsidRDefault="005729F5" w:rsidP="006D0874">
            <w:pPr>
              <w:spacing w:before="0" w:after="0"/>
              <w:jc w:val="right"/>
              <w:rPr>
                <w:rFonts w:cs="Arial"/>
                <w:bCs/>
                <w:color w:val="000000"/>
                <w:sz w:val="18"/>
                <w:szCs w:val="18"/>
              </w:rPr>
            </w:pPr>
            <w:r w:rsidRPr="00FF4565">
              <w:rPr>
                <w:rFonts w:cs="Arial"/>
                <w:bCs/>
                <w:color w:val="000000"/>
                <w:sz w:val="18"/>
                <w:szCs w:val="18"/>
              </w:rPr>
              <w:t>Població</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rsidR="005729F5" w:rsidRPr="00FF4565" w:rsidRDefault="005729F5" w:rsidP="006D0874">
            <w:pPr>
              <w:spacing w:before="0" w:after="0"/>
              <w:jc w:val="right"/>
              <w:rPr>
                <w:rFonts w:cs="Arial"/>
                <w:bCs/>
                <w:color w:val="000000"/>
                <w:sz w:val="18"/>
                <w:szCs w:val="18"/>
              </w:rPr>
            </w:pPr>
            <w:r w:rsidRPr="00FF4565">
              <w:rPr>
                <w:rFonts w:cs="Arial"/>
                <w:bCs/>
                <w:color w:val="000000"/>
                <w:sz w:val="18"/>
                <w:szCs w:val="18"/>
              </w:rPr>
              <w:t>Superfície km</w:t>
            </w:r>
            <w:r w:rsidRPr="00131985">
              <w:rPr>
                <w:rFonts w:cs="Arial"/>
                <w:bCs/>
                <w:color w:val="000000"/>
                <w:sz w:val="18"/>
                <w:szCs w:val="18"/>
                <w:vertAlign w:val="superscript"/>
              </w:rPr>
              <w:t>2</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5729F5" w:rsidRPr="00FF4565" w:rsidRDefault="005729F5" w:rsidP="006D0874">
            <w:pPr>
              <w:spacing w:before="0" w:after="0"/>
              <w:jc w:val="right"/>
              <w:rPr>
                <w:rFonts w:cs="Arial"/>
                <w:bCs/>
                <w:color w:val="000000"/>
                <w:sz w:val="18"/>
                <w:szCs w:val="18"/>
              </w:rPr>
            </w:pPr>
            <w:r w:rsidRPr="00FF4565">
              <w:rPr>
                <w:rFonts w:cs="Arial"/>
                <w:bCs/>
                <w:color w:val="000000"/>
                <w:sz w:val="18"/>
                <w:szCs w:val="18"/>
              </w:rPr>
              <w:t>Densitat (habitants/km</w:t>
            </w:r>
            <w:r w:rsidRPr="00131985">
              <w:rPr>
                <w:rFonts w:cs="Arial"/>
                <w:bCs/>
                <w:color w:val="000000"/>
                <w:sz w:val="18"/>
                <w:szCs w:val="18"/>
                <w:vertAlign w:val="superscript"/>
              </w:rPr>
              <w:t>2</w:t>
            </w:r>
            <w:r w:rsidRPr="00FF4565">
              <w:rPr>
                <w:rFonts w:cs="Arial"/>
                <w:bCs/>
                <w:color w:val="000000"/>
                <w:sz w:val="18"/>
                <w:szCs w:val="18"/>
              </w:rPr>
              <w:t>)</w:t>
            </w:r>
          </w:p>
        </w:tc>
        <w:tc>
          <w:tcPr>
            <w:tcW w:w="3402" w:type="dxa"/>
            <w:tcBorders>
              <w:top w:val="single" w:sz="4" w:space="0" w:color="auto"/>
              <w:left w:val="nil"/>
              <w:bottom w:val="single" w:sz="4" w:space="0" w:color="auto"/>
              <w:right w:val="single" w:sz="4" w:space="0" w:color="auto"/>
            </w:tcBorders>
          </w:tcPr>
          <w:p w:rsidR="005729F5" w:rsidRPr="00FF4565" w:rsidRDefault="005729F5" w:rsidP="006D0874">
            <w:pPr>
              <w:spacing w:before="0" w:after="0"/>
              <w:jc w:val="right"/>
              <w:rPr>
                <w:rFonts w:cs="Arial"/>
                <w:bCs/>
                <w:color w:val="000000"/>
                <w:sz w:val="18"/>
                <w:szCs w:val="18"/>
              </w:rPr>
            </w:pPr>
          </w:p>
        </w:tc>
      </w:tr>
      <w:tr w:rsidR="005729F5" w:rsidRPr="00FF4565" w:rsidTr="006D0874">
        <w:trPr>
          <w:trHeight w:val="255"/>
        </w:trPr>
        <w:tc>
          <w:tcPr>
            <w:tcW w:w="2020" w:type="dxa"/>
            <w:tcBorders>
              <w:top w:val="nil"/>
              <w:left w:val="single" w:sz="4" w:space="0" w:color="auto"/>
              <w:bottom w:val="single" w:sz="4" w:space="0" w:color="auto"/>
              <w:right w:val="single" w:sz="4" w:space="0" w:color="auto"/>
            </w:tcBorders>
            <w:shd w:val="clear" w:color="auto" w:fill="auto"/>
            <w:vAlign w:val="center"/>
            <w:hideMark/>
          </w:tcPr>
          <w:p w:rsidR="005729F5" w:rsidRPr="00FF4565" w:rsidRDefault="005729F5" w:rsidP="006D0874">
            <w:pPr>
              <w:spacing w:before="0" w:after="0"/>
              <w:rPr>
                <w:rFonts w:cs="Arial"/>
                <w:color w:val="000000"/>
                <w:sz w:val="18"/>
                <w:szCs w:val="18"/>
              </w:rPr>
            </w:pPr>
            <w:r w:rsidRPr="00FF4565">
              <w:rPr>
                <w:rFonts w:cs="Arial"/>
                <w:color w:val="000000"/>
                <w:sz w:val="18"/>
                <w:szCs w:val="18"/>
              </w:rPr>
              <w:t>Alt Camp</w:t>
            </w:r>
          </w:p>
        </w:tc>
        <w:tc>
          <w:tcPr>
            <w:tcW w:w="1030" w:type="dxa"/>
            <w:tcBorders>
              <w:top w:val="nil"/>
              <w:left w:val="nil"/>
              <w:bottom w:val="single" w:sz="4" w:space="0" w:color="auto"/>
              <w:right w:val="single" w:sz="4" w:space="0" w:color="auto"/>
            </w:tcBorders>
            <w:shd w:val="clear" w:color="auto" w:fill="auto"/>
            <w:vAlign w:val="bottom"/>
            <w:hideMark/>
          </w:tcPr>
          <w:p w:rsidR="005729F5" w:rsidRPr="00FF4565" w:rsidRDefault="005729F5" w:rsidP="006D0874">
            <w:pPr>
              <w:spacing w:before="0" w:after="0"/>
              <w:jc w:val="right"/>
              <w:rPr>
                <w:rFonts w:cs="Arial"/>
                <w:color w:val="000000"/>
                <w:sz w:val="18"/>
                <w:szCs w:val="18"/>
              </w:rPr>
            </w:pPr>
            <w:r w:rsidRPr="00FF4565">
              <w:rPr>
                <w:rFonts w:cs="Arial"/>
                <w:color w:val="000000"/>
                <w:sz w:val="18"/>
                <w:szCs w:val="18"/>
              </w:rPr>
              <w:t>44.306</w:t>
            </w:r>
          </w:p>
        </w:tc>
        <w:tc>
          <w:tcPr>
            <w:tcW w:w="1360" w:type="dxa"/>
            <w:tcBorders>
              <w:top w:val="nil"/>
              <w:left w:val="nil"/>
              <w:bottom w:val="single" w:sz="4" w:space="0" w:color="auto"/>
              <w:right w:val="single" w:sz="4" w:space="0" w:color="auto"/>
            </w:tcBorders>
            <w:shd w:val="clear" w:color="auto" w:fill="auto"/>
            <w:vAlign w:val="bottom"/>
            <w:hideMark/>
          </w:tcPr>
          <w:p w:rsidR="005729F5" w:rsidRPr="00FF4565" w:rsidRDefault="005729F5" w:rsidP="006D0874">
            <w:pPr>
              <w:spacing w:before="0" w:after="0"/>
              <w:jc w:val="right"/>
              <w:rPr>
                <w:rFonts w:cs="Arial"/>
                <w:color w:val="000000"/>
                <w:sz w:val="18"/>
                <w:szCs w:val="18"/>
              </w:rPr>
            </w:pPr>
            <w:r w:rsidRPr="00FF4565">
              <w:rPr>
                <w:rFonts w:cs="Arial"/>
                <w:color w:val="000000"/>
                <w:sz w:val="18"/>
                <w:szCs w:val="18"/>
              </w:rPr>
              <w:t>538</w:t>
            </w:r>
          </w:p>
        </w:tc>
        <w:tc>
          <w:tcPr>
            <w:tcW w:w="1559" w:type="dxa"/>
            <w:tcBorders>
              <w:top w:val="nil"/>
              <w:left w:val="nil"/>
              <w:bottom w:val="single" w:sz="4" w:space="0" w:color="auto"/>
              <w:right w:val="single" w:sz="4" w:space="0" w:color="auto"/>
            </w:tcBorders>
            <w:shd w:val="clear" w:color="auto" w:fill="auto"/>
            <w:vAlign w:val="bottom"/>
            <w:hideMark/>
          </w:tcPr>
          <w:p w:rsidR="005729F5" w:rsidRPr="00FF4565" w:rsidRDefault="005729F5" w:rsidP="006D0874">
            <w:pPr>
              <w:spacing w:before="0" w:after="0"/>
              <w:jc w:val="right"/>
              <w:rPr>
                <w:rFonts w:cs="Arial"/>
                <w:color w:val="000000"/>
                <w:sz w:val="18"/>
                <w:szCs w:val="18"/>
              </w:rPr>
            </w:pPr>
            <w:r w:rsidRPr="00FF4565">
              <w:rPr>
                <w:rFonts w:cs="Arial"/>
                <w:color w:val="000000"/>
                <w:sz w:val="18"/>
                <w:szCs w:val="18"/>
              </w:rPr>
              <w:t>82,4</w:t>
            </w:r>
          </w:p>
        </w:tc>
        <w:tc>
          <w:tcPr>
            <w:tcW w:w="3402" w:type="dxa"/>
            <w:tcBorders>
              <w:top w:val="nil"/>
              <w:left w:val="nil"/>
              <w:bottom w:val="single" w:sz="4" w:space="0" w:color="auto"/>
              <w:right w:val="single" w:sz="4" w:space="0" w:color="auto"/>
            </w:tcBorders>
          </w:tcPr>
          <w:p w:rsidR="005729F5" w:rsidRPr="00FF4565" w:rsidRDefault="005729F5" w:rsidP="006D0874">
            <w:pPr>
              <w:spacing w:before="0" w:after="0"/>
              <w:jc w:val="right"/>
              <w:rPr>
                <w:rFonts w:cs="Arial"/>
                <w:color w:val="000000"/>
                <w:sz w:val="18"/>
                <w:szCs w:val="18"/>
              </w:rPr>
            </w:pPr>
          </w:p>
        </w:tc>
      </w:tr>
      <w:tr w:rsidR="005729F5" w:rsidRPr="00FF4565" w:rsidTr="006D0874">
        <w:trPr>
          <w:trHeight w:val="255"/>
        </w:trPr>
        <w:tc>
          <w:tcPr>
            <w:tcW w:w="202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5729F5" w:rsidRPr="00FF4565" w:rsidRDefault="005729F5" w:rsidP="006D0874">
            <w:pPr>
              <w:spacing w:before="0" w:after="0"/>
              <w:rPr>
                <w:rFonts w:cs="Arial"/>
                <w:color w:val="000000"/>
                <w:sz w:val="18"/>
                <w:szCs w:val="18"/>
              </w:rPr>
            </w:pPr>
            <w:r w:rsidRPr="00FF4565">
              <w:rPr>
                <w:rFonts w:cs="Arial"/>
                <w:color w:val="000000"/>
                <w:sz w:val="18"/>
                <w:szCs w:val="18"/>
              </w:rPr>
              <w:t>Alt Empordà</w:t>
            </w:r>
          </w:p>
        </w:tc>
        <w:tc>
          <w:tcPr>
            <w:tcW w:w="1030" w:type="dxa"/>
            <w:tcBorders>
              <w:top w:val="nil"/>
              <w:left w:val="nil"/>
              <w:bottom w:val="single" w:sz="4" w:space="0" w:color="auto"/>
              <w:right w:val="single" w:sz="4" w:space="0" w:color="auto"/>
            </w:tcBorders>
            <w:shd w:val="clear" w:color="auto" w:fill="D9D9D9" w:themeFill="background1" w:themeFillShade="D9"/>
            <w:vAlign w:val="bottom"/>
            <w:hideMark/>
          </w:tcPr>
          <w:p w:rsidR="005729F5" w:rsidRPr="00FF4565" w:rsidRDefault="005729F5" w:rsidP="006D0874">
            <w:pPr>
              <w:spacing w:before="0" w:after="0"/>
              <w:jc w:val="right"/>
              <w:rPr>
                <w:rFonts w:cs="Arial"/>
                <w:color w:val="000000"/>
                <w:sz w:val="18"/>
                <w:szCs w:val="18"/>
              </w:rPr>
            </w:pPr>
            <w:r w:rsidRPr="00FF4565">
              <w:rPr>
                <w:rFonts w:cs="Arial"/>
                <w:color w:val="000000"/>
                <w:sz w:val="18"/>
                <w:szCs w:val="18"/>
              </w:rPr>
              <w:t>139.838</w:t>
            </w:r>
          </w:p>
        </w:tc>
        <w:tc>
          <w:tcPr>
            <w:tcW w:w="1360" w:type="dxa"/>
            <w:tcBorders>
              <w:top w:val="nil"/>
              <w:left w:val="nil"/>
              <w:bottom w:val="single" w:sz="4" w:space="0" w:color="auto"/>
              <w:right w:val="single" w:sz="4" w:space="0" w:color="auto"/>
            </w:tcBorders>
            <w:shd w:val="clear" w:color="auto" w:fill="D9D9D9" w:themeFill="background1" w:themeFillShade="D9"/>
            <w:vAlign w:val="bottom"/>
            <w:hideMark/>
          </w:tcPr>
          <w:p w:rsidR="005729F5" w:rsidRPr="00FF4565" w:rsidRDefault="005729F5" w:rsidP="006D0874">
            <w:pPr>
              <w:spacing w:before="0" w:after="0"/>
              <w:jc w:val="right"/>
              <w:rPr>
                <w:rFonts w:cs="Arial"/>
                <w:color w:val="000000"/>
                <w:sz w:val="18"/>
                <w:szCs w:val="18"/>
              </w:rPr>
            </w:pPr>
            <w:r w:rsidRPr="00FF4565">
              <w:rPr>
                <w:rFonts w:cs="Arial"/>
                <w:color w:val="000000"/>
                <w:sz w:val="18"/>
                <w:szCs w:val="18"/>
              </w:rPr>
              <w:t>1.357,50</w:t>
            </w:r>
          </w:p>
        </w:tc>
        <w:tc>
          <w:tcPr>
            <w:tcW w:w="1559" w:type="dxa"/>
            <w:tcBorders>
              <w:top w:val="nil"/>
              <w:left w:val="nil"/>
              <w:bottom w:val="single" w:sz="4" w:space="0" w:color="auto"/>
              <w:right w:val="single" w:sz="4" w:space="0" w:color="auto"/>
            </w:tcBorders>
            <w:shd w:val="clear" w:color="auto" w:fill="D9D9D9" w:themeFill="background1" w:themeFillShade="D9"/>
            <w:vAlign w:val="bottom"/>
            <w:hideMark/>
          </w:tcPr>
          <w:p w:rsidR="005729F5" w:rsidRPr="00FF4565" w:rsidRDefault="005729F5" w:rsidP="006D0874">
            <w:pPr>
              <w:spacing w:before="0" w:after="0"/>
              <w:jc w:val="right"/>
              <w:rPr>
                <w:rFonts w:cs="Arial"/>
                <w:color w:val="000000"/>
                <w:sz w:val="18"/>
                <w:szCs w:val="18"/>
              </w:rPr>
            </w:pPr>
            <w:r w:rsidRPr="00FF4565">
              <w:rPr>
                <w:rFonts w:cs="Arial"/>
                <w:color w:val="000000"/>
                <w:sz w:val="18"/>
                <w:szCs w:val="18"/>
              </w:rPr>
              <w:t>103</w:t>
            </w:r>
          </w:p>
        </w:tc>
        <w:tc>
          <w:tcPr>
            <w:tcW w:w="3402" w:type="dxa"/>
            <w:tcBorders>
              <w:top w:val="nil"/>
              <w:left w:val="nil"/>
              <w:bottom w:val="single" w:sz="4" w:space="0" w:color="auto"/>
              <w:right w:val="single" w:sz="4" w:space="0" w:color="auto"/>
            </w:tcBorders>
            <w:shd w:val="clear" w:color="auto" w:fill="D9D9D9" w:themeFill="background1" w:themeFillShade="D9"/>
          </w:tcPr>
          <w:p w:rsidR="005729F5" w:rsidRPr="00FF4565" w:rsidRDefault="005729F5" w:rsidP="006D0874">
            <w:pPr>
              <w:spacing w:before="0" w:after="0"/>
              <w:jc w:val="right"/>
              <w:rPr>
                <w:rFonts w:cs="Arial"/>
                <w:color w:val="000000"/>
                <w:sz w:val="16"/>
                <w:szCs w:val="18"/>
              </w:rPr>
            </w:pPr>
            <w:r>
              <w:rPr>
                <w:rFonts w:cs="Arial"/>
                <w:color w:val="000000"/>
                <w:sz w:val="16"/>
                <w:szCs w:val="18"/>
              </w:rPr>
              <w:t>CP Puig de les B</w:t>
            </w:r>
            <w:r w:rsidRPr="00FF4565">
              <w:rPr>
                <w:rFonts w:cs="Arial"/>
                <w:color w:val="000000"/>
                <w:sz w:val="16"/>
                <w:szCs w:val="18"/>
              </w:rPr>
              <w:t>asses</w:t>
            </w:r>
          </w:p>
        </w:tc>
      </w:tr>
      <w:tr w:rsidR="005729F5" w:rsidRPr="00FF4565" w:rsidTr="006D0874">
        <w:trPr>
          <w:trHeight w:val="255"/>
        </w:trPr>
        <w:tc>
          <w:tcPr>
            <w:tcW w:w="2020" w:type="dxa"/>
            <w:tcBorders>
              <w:top w:val="nil"/>
              <w:left w:val="single" w:sz="4" w:space="0" w:color="auto"/>
              <w:bottom w:val="single" w:sz="4" w:space="0" w:color="auto"/>
              <w:right w:val="single" w:sz="4" w:space="0" w:color="auto"/>
            </w:tcBorders>
            <w:shd w:val="clear" w:color="auto" w:fill="auto"/>
            <w:vAlign w:val="center"/>
            <w:hideMark/>
          </w:tcPr>
          <w:p w:rsidR="005729F5" w:rsidRPr="00FF4565" w:rsidRDefault="005729F5" w:rsidP="006D0874">
            <w:pPr>
              <w:spacing w:before="0" w:after="0"/>
              <w:rPr>
                <w:rFonts w:cs="Arial"/>
                <w:color w:val="000000"/>
                <w:sz w:val="18"/>
                <w:szCs w:val="18"/>
              </w:rPr>
            </w:pPr>
            <w:r w:rsidRPr="00FF4565">
              <w:rPr>
                <w:rFonts w:cs="Arial"/>
                <w:color w:val="000000"/>
                <w:sz w:val="18"/>
                <w:szCs w:val="18"/>
              </w:rPr>
              <w:t>Alt Penedès</w:t>
            </w:r>
          </w:p>
        </w:tc>
        <w:tc>
          <w:tcPr>
            <w:tcW w:w="1030" w:type="dxa"/>
            <w:tcBorders>
              <w:top w:val="nil"/>
              <w:left w:val="nil"/>
              <w:bottom w:val="single" w:sz="4" w:space="0" w:color="auto"/>
              <w:right w:val="single" w:sz="4" w:space="0" w:color="auto"/>
            </w:tcBorders>
            <w:shd w:val="clear" w:color="auto" w:fill="auto"/>
            <w:vAlign w:val="bottom"/>
            <w:hideMark/>
          </w:tcPr>
          <w:p w:rsidR="005729F5" w:rsidRPr="00FF4565" w:rsidRDefault="005729F5" w:rsidP="006D0874">
            <w:pPr>
              <w:spacing w:before="0" w:after="0"/>
              <w:jc w:val="right"/>
              <w:rPr>
                <w:rFonts w:cs="Arial"/>
                <w:color w:val="000000"/>
                <w:sz w:val="18"/>
                <w:szCs w:val="18"/>
              </w:rPr>
            </w:pPr>
            <w:r w:rsidRPr="00FF4565">
              <w:rPr>
                <w:rFonts w:cs="Arial"/>
                <w:color w:val="000000"/>
                <w:sz w:val="18"/>
                <w:szCs w:val="18"/>
              </w:rPr>
              <w:t>106.168</w:t>
            </w:r>
          </w:p>
        </w:tc>
        <w:tc>
          <w:tcPr>
            <w:tcW w:w="1360" w:type="dxa"/>
            <w:tcBorders>
              <w:top w:val="nil"/>
              <w:left w:val="nil"/>
              <w:bottom w:val="single" w:sz="4" w:space="0" w:color="auto"/>
              <w:right w:val="single" w:sz="4" w:space="0" w:color="auto"/>
            </w:tcBorders>
            <w:shd w:val="clear" w:color="auto" w:fill="auto"/>
            <w:vAlign w:val="bottom"/>
            <w:hideMark/>
          </w:tcPr>
          <w:p w:rsidR="005729F5" w:rsidRPr="00FF4565" w:rsidRDefault="005729F5" w:rsidP="006D0874">
            <w:pPr>
              <w:spacing w:before="0" w:after="0"/>
              <w:jc w:val="right"/>
              <w:rPr>
                <w:rFonts w:cs="Arial"/>
                <w:color w:val="000000"/>
                <w:sz w:val="18"/>
                <w:szCs w:val="18"/>
              </w:rPr>
            </w:pPr>
            <w:r w:rsidRPr="00FF4565">
              <w:rPr>
                <w:rFonts w:cs="Arial"/>
                <w:color w:val="000000"/>
                <w:sz w:val="18"/>
                <w:szCs w:val="18"/>
              </w:rPr>
              <w:t>592,7</w:t>
            </w:r>
          </w:p>
        </w:tc>
        <w:tc>
          <w:tcPr>
            <w:tcW w:w="1559" w:type="dxa"/>
            <w:tcBorders>
              <w:top w:val="nil"/>
              <w:left w:val="nil"/>
              <w:bottom w:val="single" w:sz="4" w:space="0" w:color="auto"/>
              <w:right w:val="single" w:sz="4" w:space="0" w:color="auto"/>
            </w:tcBorders>
            <w:shd w:val="clear" w:color="auto" w:fill="auto"/>
            <w:vAlign w:val="bottom"/>
            <w:hideMark/>
          </w:tcPr>
          <w:p w:rsidR="005729F5" w:rsidRPr="00FF4565" w:rsidRDefault="005729F5" w:rsidP="006D0874">
            <w:pPr>
              <w:spacing w:before="0" w:after="0"/>
              <w:jc w:val="right"/>
              <w:rPr>
                <w:rFonts w:cs="Arial"/>
                <w:color w:val="000000"/>
                <w:sz w:val="18"/>
                <w:szCs w:val="18"/>
              </w:rPr>
            </w:pPr>
            <w:r w:rsidRPr="00FF4565">
              <w:rPr>
                <w:rFonts w:cs="Arial"/>
                <w:color w:val="000000"/>
                <w:sz w:val="18"/>
                <w:szCs w:val="18"/>
              </w:rPr>
              <w:t>179,1</w:t>
            </w:r>
          </w:p>
        </w:tc>
        <w:tc>
          <w:tcPr>
            <w:tcW w:w="3402" w:type="dxa"/>
            <w:tcBorders>
              <w:top w:val="nil"/>
              <w:left w:val="nil"/>
              <w:bottom w:val="single" w:sz="4" w:space="0" w:color="auto"/>
              <w:right w:val="single" w:sz="4" w:space="0" w:color="auto"/>
            </w:tcBorders>
          </w:tcPr>
          <w:p w:rsidR="005729F5" w:rsidRPr="00FF4565" w:rsidRDefault="005729F5" w:rsidP="006D0874">
            <w:pPr>
              <w:spacing w:before="0" w:after="0"/>
              <w:jc w:val="right"/>
              <w:rPr>
                <w:rFonts w:cs="Arial"/>
                <w:color w:val="000000"/>
                <w:sz w:val="16"/>
                <w:szCs w:val="18"/>
              </w:rPr>
            </w:pPr>
          </w:p>
        </w:tc>
      </w:tr>
      <w:tr w:rsidR="005729F5" w:rsidRPr="00FF4565" w:rsidTr="006D0874">
        <w:trPr>
          <w:trHeight w:val="255"/>
        </w:trPr>
        <w:tc>
          <w:tcPr>
            <w:tcW w:w="2020" w:type="dxa"/>
            <w:tcBorders>
              <w:top w:val="nil"/>
              <w:left w:val="single" w:sz="4" w:space="0" w:color="auto"/>
              <w:bottom w:val="single" w:sz="4" w:space="0" w:color="auto"/>
              <w:right w:val="single" w:sz="4" w:space="0" w:color="auto"/>
            </w:tcBorders>
            <w:shd w:val="clear" w:color="auto" w:fill="auto"/>
            <w:vAlign w:val="center"/>
            <w:hideMark/>
          </w:tcPr>
          <w:p w:rsidR="005729F5" w:rsidRPr="00FF4565" w:rsidRDefault="005729F5" w:rsidP="006D0874">
            <w:pPr>
              <w:spacing w:before="0" w:after="0"/>
              <w:rPr>
                <w:rFonts w:cs="Arial"/>
                <w:color w:val="000000"/>
                <w:sz w:val="18"/>
                <w:szCs w:val="18"/>
              </w:rPr>
            </w:pPr>
            <w:r w:rsidRPr="00FF4565">
              <w:rPr>
                <w:rFonts w:cs="Arial"/>
                <w:color w:val="000000"/>
                <w:sz w:val="18"/>
                <w:szCs w:val="18"/>
              </w:rPr>
              <w:t>Alt Urgell</w:t>
            </w:r>
          </w:p>
        </w:tc>
        <w:tc>
          <w:tcPr>
            <w:tcW w:w="1030" w:type="dxa"/>
            <w:tcBorders>
              <w:top w:val="nil"/>
              <w:left w:val="nil"/>
              <w:bottom w:val="single" w:sz="4" w:space="0" w:color="auto"/>
              <w:right w:val="single" w:sz="4" w:space="0" w:color="auto"/>
            </w:tcBorders>
            <w:shd w:val="clear" w:color="auto" w:fill="auto"/>
            <w:vAlign w:val="bottom"/>
            <w:hideMark/>
          </w:tcPr>
          <w:p w:rsidR="005729F5" w:rsidRPr="00FF4565" w:rsidRDefault="005729F5" w:rsidP="006D0874">
            <w:pPr>
              <w:spacing w:before="0" w:after="0"/>
              <w:jc w:val="right"/>
              <w:rPr>
                <w:rFonts w:cs="Arial"/>
                <w:color w:val="000000"/>
                <w:sz w:val="18"/>
                <w:szCs w:val="18"/>
              </w:rPr>
            </w:pPr>
            <w:r w:rsidRPr="00FF4565">
              <w:rPr>
                <w:rFonts w:cs="Arial"/>
                <w:color w:val="000000"/>
                <w:sz w:val="18"/>
                <w:szCs w:val="18"/>
              </w:rPr>
              <w:t>20.695</w:t>
            </w:r>
          </w:p>
        </w:tc>
        <w:tc>
          <w:tcPr>
            <w:tcW w:w="1360" w:type="dxa"/>
            <w:tcBorders>
              <w:top w:val="nil"/>
              <w:left w:val="nil"/>
              <w:bottom w:val="single" w:sz="4" w:space="0" w:color="auto"/>
              <w:right w:val="single" w:sz="4" w:space="0" w:color="auto"/>
            </w:tcBorders>
            <w:shd w:val="clear" w:color="auto" w:fill="auto"/>
            <w:vAlign w:val="bottom"/>
            <w:hideMark/>
          </w:tcPr>
          <w:p w:rsidR="005729F5" w:rsidRPr="00FF4565" w:rsidRDefault="005729F5" w:rsidP="006D0874">
            <w:pPr>
              <w:spacing w:before="0" w:after="0"/>
              <w:jc w:val="right"/>
              <w:rPr>
                <w:rFonts w:cs="Arial"/>
                <w:color w:val="000000"/>
                <w:sz w:val="18"/>
                <w:szCs w:val="18"/>
              </w:rPr>
            </w:pPr>
            <w:r w:rsidRPr="00FF4565">
              <w:rPr>
                <w:rFonts w:cs="Arial"/>
                <w:color w:val="000000"/>
                <w:sz w:val="18"/>
                <w:szCs w:val="18"/>
              </w:rPr>
              <w:t>1.447,50</w:t>
            </w:r>
          </w:p>
        </w:tc>
        <w:tc>
          <w:tcPr>
            <w:tcW w:w="1559" w:type="dxa"/>
            <w:tcBorders>
              <w:top w:val="nil"/>
              <w:left w:val="nil"/>
              <w:bottom w:val="single" w:sz="4" w:space="0" w:color="auto"/>
              <w:right w:val="single" w:sz="4" w:space="0" w:color="auto"/>
            </w:tcBorders>
            <w:shd w:val="clear" w:color="auto" w:fill="auto"/>
            <w:vAlign w:val="bottom"/>
            <w:hideMark/>
          </w:tcPr>
          <w:p w:rsidR="005729F5" w:rsidRPr="00FF4565" w:rsidRDefault="005729F5" w:rsidP="006D0874">
            <w:pPr>
              <w:spacing w:before="0" w:after="0"/>
              <w:jc w:val="right"/>
              <w:rPr>
                <w:rFonts w:cs="Arial"/>
                <w:color w:val="000000"/>
                <w:sz w:val="18"/>
                <w:szCs w:val="18"/>
              </w:rPr>
            </w:pPr>
            <w:r w:rsidRPr="00FF4565">
              <w:rPr>
                <w:rFonts w:cs="Arial"/>
                <w:color w:val="000000"/>
                <w:sz w:val="18"/>
                <w:szCs w:val="18"/>
              </w:rPr>
              <w:t>14,3</w:t>
            </w:r>
          </w:p>
        </w:tc>
        <w:tc>
          <w:tcPr>
            <w:tcW w:w="3402" w:type="dxa"/>
            <w:tcBorders>
              <w:top w:val="nil"/>
              <w:left w:val="nil"/>
              <w:bottom w:val="single" w:sz="4" w:space="0" w:color="auto"/>
              <w:right w:val="single" w:sz="4" w:space="0" w:color="auto"/>
            </w:tcBorders>
          </w:tcPr>
          <w:p w:rsidR="005729F5" w:rsidRPr="00FF4565" w:rsidRDefault="005729F5" w:rsidP="006D0874">
            <w:pPr>
              <w:spacing w:before="0" w:after="0"/>
              <w:jc w:val="right"/>
              <w:rPr>
                <w:rFonts w:cs="Arial"/>
                <w:color w:val="000000"/>
                <w:sz w:val="16"/>
                <w:szCs w:val="18"/>
              </w:rPr>
            </w:pPr>
          </w:p>
        </w:tc>
      </w:tr>
      <w:tr w:rsidR="005729F5" w:rsidRPr="00FF4565" w:rsidTr="006D0874">
        <w:trPr>
          <w:trHeight w:val="255"/>
        </w:trPr>
        <w:tc>
          <w:tcPr>
            <w:tcW w:w="2020" w:type="dxa"/>
            <w:tcBorders>
              <w:top w:val="nil"/>
              <w:left w:val="single" w:sz="4" w:space="0" w:color="auto"/>
              <w:bottom w:val="single" w:sz="4" w:space="0" w:color="auto"/>
              <w:right w:val="single" w:sz="4" w:space="0" w:color="auto"/>
            </w:tcBorders>
            <w:shd w:val="clear" w:color="auto" w:fill="auto"/>
            <w:vAlign w:val="center"/>
            <w:hideMark/>
          </w:tcPr>
          <w:p w:rsidR="005729F5" w:rsidRPr="00FF4565" w:rsidRDefault="005729F5" w:rsidP="006D0874">
            <w:pPr>
              <w:spacing w:before="0" w:after="0"/>
              <w:rPr>
                <w:rFonts w:cs="Arial"/>
                <w:color w:val="000000"/>
                <w:sz w:val="18"/>
                <w:szCs w:val="18"/>
              </w:rPr>
            </w:pPr>
            <w:r w:rsidRPr="00FF4565">
              <w:rPr>
                <w:rFonts w:cs="Arial"/>
                <w:color w:val="000000"/>
                <w:sz w:val="18"/>
                <w:szCs w:val="18"/>
              </w:rPr>
              <w:t>Alta Ribagorça</w:t>
            </w:r>
          </w:p>
        </w:tc>
        <w:tc>
          <w:tcPr>
            <w:tcW w:w="1030" w:type="dxa"/>
            <w:tcBorders>
              <w:top w:val="nil"/>
              <w:left w:val="nil"/>
              <w:bottom w:val="single" w:sz="4" w:space="0" w:color="auto"/>
              <w:right w:val="single" w:sz="4" w:space="0" w:color="auto"/>
            </w:tcBorders>
            <w:shd w:val="clear" w:color="auto" w:fill="auto"/>
            <w:vAlign w:val="bottom"/>
            <w:hideMark/>
          </w:tcPr>
          <w:p w:rsidR="005729F5" w:rsidRPr="00FF4565" w:rsidRDefault="005729F5" w:rsidP="006D0874">
            <w:pPr>
              <w:spacing w:before="0" w:after="0"/>
              <w:jc w:val="right"/>
              <w:rPr>
                <w:rFonts w:cs="Arial"/>
                <w:color w:val="000000"/>
                <w:sz w:val="18"/>
                <w:szCs w:val="18"/>
              </w:rPr>
            </w:pPr>
            <w:r w:rsidRPr="00FF4565">
              <w:rPr>
                <w:rFonts w:cs="Arial"/>
                <w:color w:val="000000"/>
                <w:sz w:val="18"/>
                <w:szCs w:val="18"/>
              </w:rPr>
              <w:t>3.884</w:t>
            </w:r>
          </w:p>
        </w:tc>
        <w:tc>
          <w:tcPr>
            <w:tcW w:w="1360" w:type="dxa"/>
            <w:tcBorders>
              <w:top w:val="nil"/>
              <w:left w:val="nil"/>
              <w:bottom w:val="single" w:sz="4" w:space="0" w:color="auto"/>
              <w:right w:val="single" w:sz="4" w:space="0" w:color="auto"/>
            </w:tcBorders>
            <w:shd w:val="clear" w:color="auto" w:fill="auto"/>
            <w:vAlign w:val="bottom"/>
            <w:hideMark/>
          </w:tcPr>
          <w:p w:rsidR="005729F5" w:rsidRPr="00FF4565" w:rsidRDefault="005729F5" w:rsidP="006D0874">
            <w:pPr>
              <w:spacing w:before="0" w:after="0"/>
              <w:jc w:val="right"/>
              <w:rPr>
                <w:rFonts w:cs="Arial"/>
                <w:color w:val="000000"/>
                <w:sz w:val="18"/>
                <w:szCs w:val="18"/>
              </w:rPr>
            </w:pPr>
            <w:r w:rsidRPr="00FF4565">
              <w:rPr>
                <w:rFonts w:cs="Arial"/>
                <w:color w:val="000000"/>
                <w:sz w:val="18"/>
                <w:szCs w:val="18"/>
              </w:rPr>
              <w:t>426,9</w:t>
            </w:r>
          </w:p>
        </w:tc>
        <w:tc>
          <w:tcPr>
            <w:tcW w:w="1559" w:type="dxa"/>
            <w:tcBorders>
              <w:top w:val="nil"/>
              <w:left w:val="nil"/>
              <w:bottom w:val="single" w:sz="4" w:space="0" w:color="auto"/>
              <w:right w:val="single" w:sz="4" w:space="0" w:color="auto"/>
            </w:tcBorders>
            <w:shd w:val="clear" w:color="auto" w:fill="auto"/>
            <w:vAlign w:val="bottom"/>
            <w:hideMark/>
          </w:tcPr>
          <w:p w:rsidR="005729F5" w:rsidRPr="00FF4565" w:rsidRDefault="005729F5" w:rsidP="006D0874">
            <w:pPr>
              <w:spacing w:before="0" w:after="0"/>
              <w:jc w:val="right"/>
              <w:rPr>
                <w:rFonts w:cs="Arial"/>
                <w:color w:val="000000"/>
                <w:sz w:val="18"/>
                <w:szCs w:val="18"/>
              </w:rPr>
            </w:pPr>
            <w:r w:rsidRPr="00FF4565">
              <w:rPr>
                <w:rFonts w:cs="Arial"/>
                <w:color w:val="000000"/>
                <w:sz w:val="18"/>
                <w:szCs w:val="18"/>
              </w:rPr>
              <w:t>9,1</w:t>
            </w:r>
          </w:p>
        </w:tc>
        <w:tc>
          <w:tcPr>
            <w:tcW w:w="3402" w:type="dxa"/>
            <w:tcBorders>
              <w:top w:val="nil"/>
              <w:left w:val="nil"/>
              <w:bottom w:val="single" w:sz="4" w:space="0" w:color="auto"/>
              <w:right w:val="single" w:sz="4" w:space="0" w:color="auto"/>
            </w:tcBorders>
          </w:tcPr>
          <w:p w:rsidR="005729F5" w:rsidRPr="00FF4565" w:rsidRDefault="005729F5" w:rsidP="006D0874">
            <w:pPr>
              <w:spacing w:before="0" w:after="0"/>
              <w:jc w:val="right"/>
              <w:rPr>
                <w:rFonts w:cs="Arial"/>
                <w:color w:val="000000"/>
                <w:sz w:val="16"/>
                <w:szCs w:val="18"/>
              </w:rPr>
            </w:pPr>
          </w:p>
        </w:tc>
      </w:tr>
      <w:tr w:rsidR="005729F5" w:rsidRPr="00FF4565" w:rsidTr="006D0874">
        <w:trPr>
          <w:trHeight w:val="255"/>
        </w:trPr>
        <w:tc>
          <w:tcPr>
            <w:tcW w:w="2020" w:type="dxa"/>
            <w:tcBorders>
              <w:top w:val="nil"/>
              <w:left w:val="single" w:sz="4" w:space="0" w:color="auto"/>
              <w:bottom w:val="single" w:sz="4" w:space="0" w:color="auto"/>
              <w:right w:val="single" w:sz="4" w:space="0" w:color="auto"/>
            </w:tcBorders>
            <w:shd w:val="clear" w:color="auto" w:fill="auto"/>
            <w:vAlign w:val="center"/>
            <w:hideMark/>
          </w:tcPr>
          <w:p w:rsidR="005729F5" w:rsidRPr="00FF4565" w:rsidRDefault="005729F5" w:rsidP="006D0874">
            <w:pPr>
              <w:spacing w:before="0" w:after="0"/>
              <w:rPr>
                <w:rFonts w:cs="Arial"/>
                <w:color w:val="000000"/>
                <w:sz w:val="18"/>
                <w:szCs w:val="18"/>
              </w:rPr>
            </w:pPr>
            <w:r w:rsidRPr="00FF4565">
              <w:rPr>
                <w:rFonts w:cs="Arial"/>
                <w:color w:val="000000"/>
                <w:sz w:val="18"/>
                <w:szCs w:val="18"/>
              </w:rPr>
              <w:t>Anoia</w:t>
            </w:r>
          </w:p>
        </w:tc>
        <w:tc>
          <w:tcPr>
            <w:tcW w:w="1030" w:type="dxa"/>
            <w:tcBorders>
              <w:top w:val="nil"/>
              <w:left w:val="nil"/>
              <w:bottom w:val="single" w:sz="4" w:space="0" w:color="auto"/>
              <w:right w:val="single" w:sz="4" w:space="0" w:color="auto"/>
            </w:tcBorders>
            <w:shd w:val="clear" w:color="auto" w:fill="auto"/>
            <w:vAlign w:val="bottom"/>
            <w:hideMark/>
          </w:tcPr>
          <w:p w:rsidR="005729F5" w:rsidRPr="00FF4565" w:rsidRDefault="005729F5" w:rsidP="006D0874">
            <w:pPr>
              <w:spacing w:before="0" w:after="0"/>
              <w:jc w:val="right"/>
              <w:rPr>
                <w:rFonts w:cs="Arial"/>
                <w:color w:val="000000"/>
                <w:sz w:val="18"/>
                <w:szCs w:val="18"/>
              </w:rPr>
            </w:pPr>
            <w:r w:rsidRPr="00FF4565">
              <w:rPr>
                <w:rFonts w:cs="Arial"/>
                <w:color w:val="000000"/>
                <w:sz w:val="18"/>
                <w:szCs w:val="18"/>
              </w:rPr>
              <w:t>117.444</w:t>
            </w:r>
          </w:p>
        </w:tc>
        <w:tc>
          <w:tcPr>
            <w:tcW w:w="1360" w:type="dxa"/>
            <w:tcBorders>
              <w:top w:val="nil"/>
              <w:left w:val="nil"/>
              <w:bottom w:val="single" w:sz="4" w:space="0" w:color="auto"/>
              <w:right w:val="single" w:sz="4" w:space="0" w:color="auto"/>
            </w:tcBorders>
            <w:shd w:val="clear" w:color="auto" w:fill="auto"/>
            <w:vAlign w:val="bottom"/>
            <w:hideMark/>
          </w:tcPr>
          <w:p w:rsidR="005729F5" w:rsidRPr="00FF4565" w:rsidRDefault="005729F5" w:rsidP="006D0874">
            <w:pPr>
              <w:spacing w:before="0" w:after="0"/>
              <w:jc w:val="right"/>
              <w:rPr>
                <w:rFonts w:cs="Arial"/>
                <w:color w:val="000000"/>
                <w:sz w:val="18"/>
                <w:szCs w:val="18"/>
              </w:rPr>
            </w:pPr>
            <w:r w:rsidRPr="00FF4565">
              <w:rPr>
                <w:rFonts w:cs="Arial"/>
                <w:color w:val="000000"/>
                <w:sz w:val="18"/>
                <w:szCs w:val="18"/>
              </w:rPr>
              <w:t>866,3</w:t>
            </w:r>
          </w:p>
        </w:tc>
        <w:tc>
          <w:tcPr>
            <w:tcW w:w="1559" w:type="dxa"/>
            <w:tcBorders>
              <w:top w:val="nil"/>
              <w:left w:val="nil"/>
              <w:bottom w:val="single" w:sz="4" w:space="0" w:color="auto"/>
              <w:right w:val="single" w:sz="4" w:space="0" w:color="auto"/>
            </w:tcBorders>
            <w:shd w:val="clear" w:color="auto" w:fill="auto"/>
            <w:vAlign w:val="bottom"/>
            <w:hideMark/>
          </w:tcPr>
          <w:p w:rsidR="005729F5" w:rsidRPr="00FF4565" w:rsidRDefault="005729F5" w:rsidP="006D0874">
            <w:pPr>
              <w:spacing w:before="0" w:after="0"/>
              <w:jc w:val="right"/>
              <w:rPr>
                <w:rFonts w:cs="Arial"/>
                <w:color w:val="000000"/>
                <w:sz w:val="18"/>
                <w:szCs w:val="18"/>
              </w:rPr>
            </w:pPr>
            <w:r w:rsidRPr="00FF4565">
              <w:rPr>
                <w:rFonts w:cs="Arial"/>
                <w:color w:val="000000"/>
                <w:sz w:val="18"/>
                <w:szCs w:val="18"/>
              </w:rPr>
              <w:t>135,6</w:t>
            </w:r>
          </w:p>
        </w:tc>
        <w:tc>
          <w:tcPr>
            <w:tcW w:w="3402" w:type="dxa"/>
            <w:tcBorders>
              <w:top w:val="nil"/>
              <w:left w:val="nil"/>
              <w:bottom w:val="single" w:sz="4" w:space="0" w:color="auto"/>
              <w:right w:val="single" w:sz="4" w:space="0" w:color="auto"/>
            </w:tcBorders>
          </w:tcPr>
          <w:p w:rsidR="005729F5" w:rsidRPr="00FF4565" w:rsidRDefault="005729F5" w:rsidP="006D0874">
            <w:pPr>
              <w:spacing w:before="0" w:after="0"/>
              <w:jc w:val="right"/>
              <w:rPr>
                <w:rFonts w:cs="Arial"/>
                <w:color w:val="000000"/>
                <w:sz w:val="16"/>
                <w:szCs w:val="18"/>
              </w:rPr>
            </w:pPr>
          </w:p>
        </w:tc>
      </w:tr>
      <w:tr w:rsidR="005729F5" w:rsidRPr="00FF4565" w:rsidTr="006D0874">
        <w:trPr>
          <w:trHeight w:val="255"/>
        </w:trPr>
        <w:tc>
          <w:tcPr>
            <w:tcW w:w="202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5729F5" w:rsidRPr="00FF4565" w:rsidRDefault="005729F5" w:rsidP="006D0874">
            <w:pPr>
              <w:spacing w:before="0" w:after="0"/>
              <w:rPr>
                <w:rFonts w:cs="Arial"/>
                <w:color w:val="000000"/>
                <w:sz w:val="18"/>
                <w:szCs w:val="18"/>
              </w:rPr>
            </w:pPr>
            <w:r w:rsidRPr="00FF4565">
              <w:rPr>
                <w:rFonts w:cs="Arial"/>
                <w:color w:val="000000"/>
                <w:sz w:val="18"/>
                <w:szCs w:val="18"/>
              </w:rPr>
              <w:t>Bages</w:t>
            </w:r>
          </w:p>
        </w:tc>
        <w:tc>
          <w:tcPr>
            <w:tcW w:w="1030" w:type="dxa"/>
            <w:tcBorders>
              <w:top w:val="nil"/>
              <w:left w:val="nil"/>
              <w:bottom w:val="single" w:sz="4" w:space="0" w:color="auto"/>
              <w:right w:val="single" w:sz="4" w:space="0" w:color="auto"/>
            </w:tcBorders>
            <w:shd w:val="clear" w:color="auto" w:fill="D9D9D9" w:themeFill="background1" w:themeFillShade="D9"/>
            <w:vAlign w:val="bottom"/>
            <w:hideMark/>
          </w:tcPr>
          <w:p w:rsidR="005729F5" w:rsidRPr="00FF4565" w:rsidRDefault="005729F5" w:rsidP="006D0874">
            <w:pPr>
              <w:spacing w:before="0" w:after="0"/>
              <w:jc w:val="right"/>
              <w:rPr>
                <w:rFonts w:cs="Arial"/>
                <w:color w:val="000000"/>
                <w:sz w:val="18"/>
                <w:szCs w:val="18"/>
              </w:rPr>
            </w:pPr>
            <w:r w:rsidRPr="00FF4565">
              <w:rPr>
                <w:rFonts w:cs="Arial"/>
                <w:color w:val="000000"/>
                <w:sz w:val="18"/>
                <w:szCs w:val="18"/>
              </w:rPr>
              <w:t>174.604</w:t>
            </w:r>
          </w:p>
        </w:tc>
        <w:tc>
          <w:tcPr>
            <w:tcW w:w="1360" w:type="dxa"/>
            <w:tcBorders>
              <w:top w:val="nil"/>
              <w:left w:val="nil"/>
              <w:bottom w:val="single" w:sz="4" w:space="0" w:color="auto"/>
              <w:right w:val="single" w:sz="4" w:space="0" w:color="auto"/>
            </w:tcBorders>
            <w:shd w:val="clear" w:color="auto" w:fill="D9D9D9" w:themeFill="background1" w:themeFillShade="D9"/>
            <w:vAlign w:val="bottom"/>
            <w:hideMark/>
          </w:tcPr>
          <w:p w:rsidR="005729F5" w:rsidRPr="00FF4565" w:rsidRDefault="005729F5" w:rsidP="006D0874">
            <w:pPr>
              <w:spacing w:before="0" w:after="0"/>
              <w:jc w:val="right"/>
              <w:rPr>
                <w:rFonts w:cs="Arial"/>
                <w:color w:val="000000"/>
                <w:sz w:val="18"/>
                <w:szCs w:val="18"/>
              </w:rPr>
            </w:pPr>
            <w:r w:rsidRPr="00FF4565">
              <w:rPr>
                <w:rFonts w:cs="Arial"/>
                <w:color w:val="000000"/>
                <w:sz w:val="18"/>
                <w:szCs w:val="18"/>
              </w:rPr>
              <w:t>1.092,30</w:t>
            </w:r>
          </w:p>
        </w:tc>
        <w:tc>
          <w:tcPr>
            <w:tcW w:w="1559" w:type="dxa"/>
            <w:tcBorders>
              <w:top w:val="nil"/>
              <w:left w:val="nil"/>
              <w:bottom w:val="single" w:sz="4" w:space="0" w:color="auto"/>
              <w:right w:val="single" w:sz="4" w:space="0" w:color="auto"/>
            </w:tcBorders>
            <w:shd w:val="clear" w:color="auto" w:fill="D9D9D9" w:themeFill="background1" w:themeFillShade="D9"/>
            <w:vAlign w:val="bottom"/>
            <w:hideMark/>
          </w:tcPr>
          <w:p w:rsidR="005729F5" w:rsidRPr="00FF4565" w:rsidRDefault="005729F5" w:rsidP="006D0874">
            <w:pPr>
              <w:spacing w:before="0" w:after="0"/>
              <w:jc w:val="right"/>
              <w:rPr>
                <w:rFonts w:cs="Arial"/>
                <w:color w:val="000000"/>
                <w:sz w:val="18"/>
                <w:szCs w:val="18"/>
              </w:rPr>
            </w:pPr>
            <w:r w:rsidRPr="00FF4565">
              <w:rPr>
                <w:rFonts w:cs="Arial"/>
                <w:color w:val="000000"/>
                <w:sz w:val="18"/>
                <w:szCs w:val="18"/>
              </w:rPr>
              <w:t>159,9</w:t>
            </w:r>
          </w:p>
        </w:tc>
        <w:tc>
          <w:tcPr>
            <w:tcW w:w="3402" w:type="dxa"/>
            <w:tcBorders>
              <w:top w:val="nil"/>
              <w:left w:val="nil"/>
              <w:bottom w:val="single" w:sz="4" w:space="0" w:color="auto"/>
              <w:right w:val="single" w:sz="4" w:space="0" w:color="auto"/>
            </w:tcBorders>
            <w:shd w:val="clear" w:color="auto" w:fill="D9D9D9" w:themeFill="background1" w:themeFillShade="D9"/>
          </w:tcPr>
          <w:p w:rsidR="005729F5" w:rsidRPr="00FF4565" w:rsidRDefault="005729F5" w:rsidP="006D0874">
            <w:pPr>
              <w:spacing w:before="0" w:after="0"/>
              <w:jc w:val="right"/>
              <w:rPr>
                <w:rFonts w:cs="Arial"/>
                <w:color w:val="000000"/>
                <w:sz w:val="16"/>
                <w:szCs w:val="18"/>
              </w:rPr>
            </w:pPr>
            <w:r w:rsidRPr="00FF4565">
              <w:rPr>
                <w:rFonts w:cs="Arial"/>
                <w:color w:val="000000"/>
                <w:sz w:val="16"/>
                <w:szCs w:val="18"/>
              </w:rPr>
              <w:t>CP Lledoners</w:t>
            </w:r>
          </w:p>
        </w:tc>
      </w:tr>
      <w:tr w:rsidR="005729F5" w:rsidRPr="00FF4565" w:rsidTr="006D0874">
        <w:trPr>
          <w:trHeight w:val="255"/>
        </w:trPr>
        <w:tc>
          <w:tcPr>
            <w:tcW w:w="2020" w:type="dxa"/>
            <w:tcBorders>
              <w:top w:val="nil"/>
              <w:left w:val="single" w:sz="4" w:space="0" w:color="auto"/>
              <w:bottom w:val="single" w:sz="4" w:space="0" w:color="auto"/>
              <w:right w:val="single" w:sz="4" w:space="0" w:color="auto"/>
            </w:tcBorders>
            <w:shd w:val="clear" w:color="auto" w:fill="auto"/>
            <w:vAlign w:val="center"/>
            <w:hideMark/>
          </w:tcPr>
          <w:p w:rsidR="005729F5" w:rsidRPr="00FF4565" w:rsidRDefault="005729F5" w:rsidP="006D0874">
            <w:pPr>
              <w:spacing w:before="0" w:after="0"/>
              <w:rPr>
                <w:rFonts w:cs="Arial"/>
                <w:color w:val="000000"/>
                <w:sz w:val="18"/>
                <w:szCs w:val="18"/>
              </w:rPr>
            </w:pPr>
            <w:r w:rsidRPr="00FF4565">
              <w:rPr>
                <w:rFonts w:cs="Arial"/>
                <w:color w:val="000000"/>
                <w:sz w:val="18"/>
                <w:szCs w:val="18"/>
              </w:rPr>
              <w:t>Baix Camp</w:t>
            </w:r>
          </w:p>
        </w:tc>
        <w:tc>
          <w:tcPr>
            <w:tcW w:w="1030" w:type="dxa"/>
            <w:tcBorders>
              <w:top w:val="nil"/>
              <w:left w:val="nil"/>
              <w:bottom w:val="single" w:sz="4" w:space="0" w:color="auto"/>
              <w:right w:val="single" w:sz="4" w:space="0" w:color="auto"/>
            </w:tcBorders>
            <w:shd w:val="clear" w:color="auto" w:fill="auto"/>
            <w:vAlign w:val="bottom"/>
            <w:hideMark/>
          </w:tcPr>
          <w:p w:rsidR="005729F5" w:rsidRPr="00FF4565" w:rsidRDefault="005729F5" w:rsidP="006D0874">
            <w:pPr>
              <w:spacing w:before="0" w:after="0"/>
              <w:jc w:val="right"/>
              <w:rPr>
                <w:rFonts w:cs="Arial"/>
                <w:color w:val="000000"/>
                <w:sz w:val="18"/>
                <w:szCs w:val="18"/>
              </w:rPr>
            </w:pPr>
            <w:r w:rsidRPr="00FF4565">
              <w:rPr>
                <w:rFonts w:cs="Arial"/>
                <w:color w:val="000000"/>
                <w:sz w:val="18"/>
                <w:szCs w:val="18"/>
              </w:rPr>
              <w:t>188.026</w:t>
            </w:r>
          </w:p>
        </w:tc>
        <w:tc>
          <w:tcPr>
            <w:tcW w:w="1360" w:type="dxa"/>
            <w:tcBorders>
              <w:top w:val="nil"/>
              <w:left w:val="nil"/>
              <w:bottom w:val="single" w:sz="4" w:space="0" w:color="auto"/>
              <w:right w:val="single" w:sz="4" w:space="0" w:color="auto"/>
            </w:tcBorders>
            <w:shd w:val="clear" w:color="auto" w:fill="auto"/>
            <w:vAlign w:val="bottom"/>
            <w:hideMark/>
          </w:tcPr>
          <w:p w:rsidR="005729F5" w:rsidRPr="00FF4565" w:rsidRDefault="005729F5" w:rsidP="006D0874">
            <w:pPr>
              <w:spacing w:before="0" w:after="0"/>
              <w:jc w:val="right"/>
              <w:rPr>
                <w:rFonts w:cs="Arial"/>
                <w:color w:val="000000"/>
                <w:sz w:val="18"/>
                <w:szCs w:val="18"/>
              </w:rPr>
            </w:pPr>
            <w:r w:rsidRPr="00FF4565">
              <w:rPr>
                <w:rFonts w:cs="Arial"/>
                <w:color w:val="000000"/>
                <w:sz w:val="18"/>
                <w:szCs w:val="18"/>
              </w:rPr>
              <w:t>697,2</w:t>
            </w:r>
          </w:p>
        </w:tc>
        <w:tc>
          <w:tcPr>
            <w:tcW w:w="1559" w:type="dxa"/>
            <w:tcBorders>
              <w:top w:val="nil"/>
              <w:left w:val="nil"/>
              <w:bottom w:val="single" w:sz="4" w:space="0" w:color="auto"/>
              <w:right w:val="single" w:sz="4" w:space="0" w:color="auto"/>
            </w:tcBorders>
            <w:shd w:val="clear" w:color="auto" w:fill="auto"/>
            <w:vAlign w:val="bottom"/>
            <w:hideMark/>
          </w:tcPr>
          <w:p w:rsidR="005729F5" w:rsidRPr="00FF4565" w:rsidRDefault="005729F5" w:rsidP="006D0874">
            <w:pPr>
              <w:spacing w:before="0" w:after="0"/>
              <w:jc w:val="right"/>
              <w:rPr>
                <w:rFonts w:cs="Arial"/>
                <w:color w:val="000000"/>
                <w:sz w:val="18"/>
                <w:szCs w:val="18"/>
              </w:rPr>
            </w:pPr>
            <w:r w:rsidRPr="00FF4565">
              <w:rPr>
                <w:rFonts w:cs="Arial"/>
                <w:color w:val="000000"/>
                <w:sz w:val="18"/>
                <w:szCs w:val="18"/>
              </w:rPr>
              <w:t>269,7</w:t>
            </w:r>
          </w:p>
        </w:tc>
        <w:tc>
          <w:tcPr>
            <w:tcW w:w="3402" w:type="dxa"/>
            <w:tcBorders>
              <w:top w:val="nil"/>
              <w:left w:val="nil"/>
              <w:bottom w:val="single" w:sz="4" w:space="0" w:color="auto"/>
              <w:right w:val="single" w:sz="4" w:space="0" w:color="auto"/>
            </w:tcBorders>
          </w:tcPr>
          <w:p w:rsidR="005729F5" w:rsidRPr="00FF4565" w:rsidRDefault="005729F5" w:rsidP="006D0874">
            <w:pPr>
              <w:spacing w:before="0" w:after="0"/>
              <w:jc w:val="right"/>
              <w:rPr>
                <w:rFonts w:cs="Arial"/>
                <w:color w:val="000000"/>
                <w:sz w:val="16"/>
                <w:szCs w:val="18"/>
              </w:rPr>
            </w:pPr>
          </w:p>
        </w:tc>
      </w:tr>
      <w:tr w:rsidR="005729F5" w:rsidRPr="00FF4565" w:rsidTr="006D0874">
        <w:trPr>
          <w:trHeight w:val="255"/>
        </w:trPr>
        <w:tc>
          <w:tcPr>
            <w:tcW w:w="2020" w:type="dxa"/>
            <w:tcBorders>
              <w:top w:val="nil"/>
              <w:left w:val="single" w:sz="4" w:space="0" w:color="auto"/>
              <w:bottom w:val="single" w:sz="4" w:space="0" w:color="auto"/>
              <w:right w:val="single" w:sz="4" w:space="0" w:color="auto"/>
            </w:tcBorders>
            <w:shd w:val="clear" w:color="auto" w:fill="auto"/>
            <w:vAlign w:val="center"/>
            <w:hideMark/>
          </w:tcPr>
          <w:p w:rsidR="005729F5" w:rsidRPr="00FF4565" w:rsidRDefault="005729F5" w:rsidP="006D0874">
            <w:pPr>
              <w:spacing w:before="0" w:after="0"/>
              <w:rPr>
                <w:rFonts w:cs="Arial"/>
                <w:color w:val="000000"/>
                <w:sz w:val="18"/>
                <w:szCs w:val="18"/>
              </w:rPr>
            </w:pPr>
            <w:r w:rsidRPr="00FF4565">
              <w:rPr>
                <w:rFonts w:cs="Arial"/>
                <w:color w:val="000000"/>
                <w:sz w:val="18"/>
                <w:szCs w:val="18"/>
              </w:rPr>
              <w:t>Baix Ebre</w:t>
            </w:r>
          </w:p>
        </w:tc>
        <w:tc>
          <w:tcPr>
            <w:tcW w:w="1030" w:type="dxa"/>
            <w:tcBorders>
              <w:top w:val="nil"/>
              <w:left w:val="nil"/>
              <w:bottom w:val="single" w:sz="4" w:space="0" w:color="auto"/>
              <w:right w:val="single" w:sz="4" w:space="0" w:color="auto"/>
            </w:tcBorders>
            <w:shd w:val="clear" w:color="auto" w:fill="auto"/>
            <w:vAlign w:val="bottom"/>
            <w:hideMark/>
          </w:tcPr>
          <w:p w:rsidR="005729F5" w:rsidRPr="00FF4565" w:rsidRDefault="005729F5" w:rsidP="006D0874">
            <w:pPr>
              <w:spacing w:before="0" w:after="0"/>
              <w:jc w:val="right"/>
              <w:rPr>
                <w:rFonts w:cs="Arial"/>
                <w:color w:val="000000"/>
                <w:sz w:val="18"/>
                <w:szCs w:val="18"/>
              </w:rPr>
            </w:pPr>
            <w:r w:rsidRPr="00FF4565">
              <w:rPr>
                <w:rFonts w:cs="Arial"/>
                <w:color w:val="000000"/>
                <w:sz w:val="18"/>
                <w:szCs w:val="18"/>
              </w:rPr>
              <w:t>79.748</w:t>
            </w:r>
          </w:p>
        </w:tc>
        <w:tc>
          <w:tcPr>
            <w:tcW w:w="1360" w:type="dxa"/>
            <w:tcBorders>
              <w:top w:val="nil"/>
              <w:left w:val="nil"/>
              <w:bottom w:val="single" w:sz="4" w:space="0" w:color="auto"/>
              <w:right w:val="single" w:sz="4" w:space="0" w:color="auto"/>
            </w:tcBorders>
            <w:shd w:val="clear" w:color="auto" w:fill="auto"/>
            <w:vAlign w:val="bottom"/>
            <w:hideMark/>
          </w:tcPr>
          <w:p w:rsidR="005729F5" w:rsidRPr="00FF4565" w:rsidRDefault="005729F5" w:rsidP="006D0874">
            <w:pPr>
              <w:spacing w:before="0" w:after="0"/>
              <w:jc w:val="right"/>
              <w:rPr>
                <w:rFonts w:cs="Arial"/>
                <w:color w:val="000000"/>
                <w:sz w:val="18"/>
                <w:szCs w:val="18"/>
              </w:rPr>
            </w:pPr>
            <w:r w:rsidRPr="00FF4565">
              <w:rPr>
                <w:rFonts w:cs="Arial"/>
                <w:color w:val="000000"/>
                <w:sz w:val="18"/>
                <w:szCs w:val="18"/>
              </w:rPr>
              <w:t>1.002,70</w:t>
            </w:r>
          </w:p>
        </w:tc>
        <w:tc>
          <w:tcPr>
            <w:tcW w:w="1559" w:type="dxa"/>
            <w:tcBorders>
              <w:top w:val="nil"/>
              <w:left w:val="nil"/>
              <w:bottom w:val="single" w:sz="4" w:space="0" w:color="auto"/>
              <w:right w:val="single" w:sz="4" w:space="0" w:color="auto"/>
            </w:tcBorders>
            <w:shd w:val="clear" w:color="auto" w:fill="auto"/>
            <w:vAlign w:val="bottom"/>
            <w:hideMark/>
          </w:tcPr>
          <w:p w:rsidR="005729F5" w:rsidRPr="00FF4565" w:rsidRDefault="005729F5" w:rsidP="006D0874">
            <w:pPr>
              <w:spacing w:before="0" w:after="0"/>
              <w:jc w:val="right"/>
              <w:rPr>
                <w:rFonts w:cs="Arial"/>
                <w:color w:val="000000"/>
                <w:sz w:val="18"/>
                <w:szCs w:val="18"/>
              </w:rPr>
            </w:pPr>
            <w:r w:rsidRPr="00FF4565">
              <w:rPr>
                <w:rFonts w:cs="Arial"/>
                <w:color w:val="000000"/>
                <w:sz w:val="18"/>
                <w:szCs w:val="18"/>
              </w:rPr>
              <w:t>79,5</w:t>
            </w:r>
          </w:p>
        </w:tc>
        <w:tc>
          <w:tcPr>
            <w:tcW w:w="3402" w:type="dxa"/>
            <w:tcBorders>
              <w:top w:val="nil"/>
              <w:left w:val="nil"/>
              <w:bottom w:val="single" w:sz="4" w:space="0" w:color="auto"/>
              <w:right w:val="single" w:sz="4" w:space="0" w:color="auto"/>
            </w:tcBorders>
          </w:tcPr>
          <w:p w:rsidR="005729F5" w:rsidRPr="00FF4565" w:rsidRDefault="005729F5" w:rsidP="006D0874">
            <w:pPr>
              <w:spacing w:before="0" w:after="0"/>
              <w:jc w:val="right"/>
              <w:rPr>
                <w:rFonts w:cs="Arial"/>
                <w:color w:val="000000"/>
                <w:sz w:val="16"/>
                <w:szCs w:val="18"/>
              </w:rPr>
            </w:pPr>
          </w:p>
        </w:tc>
      </w:tr>
      <w:tr w:rsidR="005729F5" w:rsidRPr="00FF4565" w:rsidTr="006D0874">
        <w:trPr>
          <w:trHeight w:val="255"/>
        </w:trPr>
        <w:tc>
          <w:tcPr>
            <w:tcW w:w="2020" w:type="dxa"/>
            <w:tcBorders>
              <w:top w:val="nil"/>
              <w:left w:val="single" w:sz="4" w:space="0" w:color="auto"/>
              <w:bottom w:val="single" w:sz="4" w:space="0" w:color="auto"/>
              <w:right w:val="single" w:sz="4" w:space="0" w:color="auto"/>
            </w:tcBorders>
            <w:shd w:val="clear" w:color="auto" w:fill="auto"/>
            <w:vAlign w:val="center"/>
            <w:hideMark/>
          </w:tcPr>
          <w:p w:rsidR="005729F5" w:rsidRPr="00FF4565" w:rsidRDefault="005729F5" w:rsidP="006D0874">
            <w:pPr>
              <w:spacing w:before="0" w:after="0"/>
              <w:rPr>
                <w:rFonts w:cs="Arial"/>
                <w:color w:val="000000"/>
                <w:sz w:val="18"/>
                <w:szCs w:val="18"/>
              </w:rPr>
            </w:pPr>
            <w:r w:rsidRPr="00FF4565">
              <w:rPr>
                <w:rFonts w:cs="Arial"/>
                <w:color w:val="000000"/>
                <w:sz w:val="18"/>
                <w:szCs w:val="18"/>
              </w:rPr>
              <w:t>Baix Empordà</w:t>
            </w:r>
          </w:p>
        </w:tc>
        <w:tc>
          <w:tcPr>
            <w:tcW w:w="1030" w:type="dxa"/>
            <w:tcBorders>
              <w:top w:val="nil"/>
              <w:left w:val="nil"/>
              <w:bottom w:val="single" w:sz="4" w:space="0" w:color="auto"/>
              <w:right w:val="single" w:sz="4" w:space="0" w:color="auto"/>
            </w:tcBorders>
            <w:shd w:val="clear" w:color="auto" w:fill="auto"/>
            <w:vAlign w:val="bottom"/>
            <w:hideMark/>
          </w:tcPr>
          <w:p w:rsidR="005729F5" w:rsidRPr="00FF4565" w:rsidRDefault="005729F5" w:rsidP="006D0874">
            <w:pPr>
              <w:spacing w:before="0" w:after="0"/>
              <w:jc w:val="right"/>
              <w:rPr>
                <w:rFonts w:cs="Arial"/>
                <w:color w:val="000000"/>
                <w:sz w:val="18"/>
                <w:szCs w:val="18"/>
              </w:rPr>
            </w:pPr>
            <w:r w:rsidRPr="00FF4565">
              <w:rPr>
                <w:rFonts w:cs="Arial"/>
                <w:color w:val="000000"/>
                <w:sz w:val="18"/>
                <w:szCs w:val="18"/>
              </w:rPr>
              <w:t>132.355</w:t>
            </w:r>
          </w:p>
        </w:tc>
        <w:tc>
          <w:tcPr>
            <w:tcW w:w="1360" w:type="dxa"/>
            <w:tcBorders>
              <w:top w:val="nil"/>
              <w:left w:val="nil"/>
              <w:bottom w:val="single" w:sz="4" w:space="0" w:color="auto"/>
              <w:right w:val="single" w:sz="4" w:space="0" w:color="auto"/>
            </w:tcBorders>
            <w:shd w:val="clear" w:color="auto" w:fill="auto"/>
            <w:vAlign w:val="bottom"/>
            <w:hideMark/>
          </w:tcPr>
          <w:p w:rsidR="005729F5" w:rsidRPr="00FF4565" w:rsidRDefault="005729F5" w:rsidP="006D0874">
            <w:pPr>
              <w:spacing w:before="0" w:after="0"/>
              <w:jc w:val="right"/>
              <w:rPr>
                <w:rFonts w:cs="Arial"/>
                <w:color w:val="000000"/>
                <w:sz w:val="18"/>
                <w:szCs w:val="18"/>
              </w:rPr>
            </w:pPr>
            <w:r w:rsidRPr="00FF4565">
              <w:rPr>
                <w:rFonts w:cs="Arial"/>
                <w:color w:val="000000"/>
                <w:sz w:val="18"/>
                <w:szCs w:val="18"/>
              </w:rPr>
              <w:t>701,7</w:t>
            </w:r>
          </w:p>
        </w:tc>
        <w:tc>
          <w:tcPr>
            <w:tcW w:w="1559" w:type="dxa"/>
            <w:tcBorders>
              <w:top w:val="nil"/>
              <w:left w:val="nil"/>
              <w:bottom w:val="single" w:sz="4" w:space="0" w:color="auto"/>
              <w:right w:val="single" w:sz="4" w:space="0" w:color="auto"/>
            </w:tcBorders>
            <w:shd w:val="clear" w:color="auto" w:fill="auto"/>
            <w:vAlign w:val="bottom"/>
            <w:hideMark/>
          </w:tcPr>
          <w:p w:rsidR="005729F5" w:rsidRPr="00FF4565" w:rsidRDefault="005729F5" w:rsidP="006D0874">
            <w:pPr>
              <w:spacing w:before="0" w:after="0"/>
              <w:jc w:val="right"/>
              <w:rPr>
                <w:rFonts w:cs="Arial"/>
                <w:color w:val="000000"/>
                <w:sz w:val="18"/>
                <w:szCs w:val="18"/>
              </w:rPr>
            </w:pPr>
            <w:r w:rsidRPr="00FF4565">
              <w:rPr>
                <w:rFonts w:cs="Arial"/>
                <w:color w:val="000000"/>
                <w:sz w:val="18"/>
                <w:szCs w:val="18"/>
              </w:rPr>
              <w:t>188,6</w:t>
            </w:r>
          </w:p>
        </w:tc>
        <w:tc>
          <w:tcPr>
            <w:tcW w:w="3402" w:type="dxa"/>
            <w:tcBorders>
              <w:top w:val="nil"/>
              <w:left w:val="nil"/>
              <w:bottom w:val="single" w:sz="4" w:space="0" w:color="auto"/>
              <w:right w:val="single" w:sz="4" w:space="0" w:color="auto"/>
            </w:tcBorders>
          </w:tcPr>
          <w:p w:rsidR="005729F5" w:rsidRPr="00FF4565" w:rsidRDefault="005729F5" w:rsidP="006D0874">
            <w:pPr>
              <w:spacing w:before="0" w:after="0"/>
              <w:jc w:val="right"/>
              <w:rPr>
                <w:rFonts w:cs="Arial"/>
                <w:color w:val="000000"/>
                <w:sz w:val="16"/>
                <w:szCs w:val="18"/>
              </w:rPr>
            </w:pPr>
          </w:p>
        </w:tc>
      </w:tr>
      <w:tr w:rsidR="005729F5" w:rsidRPr="00FF4565" w:rsidTr="006D0874">
        <w:trPr>
          <w:trHeight w:val="255"/>
        </w:trPr>
        <w:tc>
          <w:tcPr>
            <w:tcW w:w="202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5729F5" w:rsidRPr="00FF4565" w:rsidRDefault="005729F5" w:rsidP="006D0874">
            <w:pPr>
              <w:spacing w:before="0" w:after="0"/>
              <w:rPr>
                <w:rFonts w:cs="Arial"/>
                <w:color w:val="000000"/>
                <w:sz w:val="18"/>
                <w:szCs w:val="18"/>
              </w:rPr>
            </w:pPr>
            <w:r w:rsidRPr="00FF4565">
              <w:rPr>
                <w:rFonts w:cs="Arial"/>
                <w:color w:val="000000"/>
                <w:sz w:val="18"/>
                <w:szCs w:val="18"/>
              </w:rPr>
              <w:t>Baix Llobregat</w:t>
            </w:r>
          </w:p>
        </w:tc>
        <w:tc>
          <w:tcPr>
            <w:tcW w:w="1030" w:type="dxa"/>
            <w:tcBorders>
              <w:top w:val="nil"/>
              <w:left w:val="nil"/>
              <w:bottom w:val="single" w:sz="4" w:space="0" w:color="auto"/>
              <w:right w:val="single" w:sz="4" w:space="0" w:color="auto"/>
            </w:tcBorders>
            <w:shd w:val="clear" w:color="auto" w:fill="D9D9D9" w:themeFill="background1" w:themeFillShade="D9"/>
            <w:vAlign w:val="bottom"/>
            <w:hideMark/>
          </w:tcPr>
          <w:p w:rsidR="005729F5" w:rsidRPr="00FF4565" w:rsidRDefault="005729F5" w:rsidP="006D0874">
            <w:pPr>
              <w:spacing w:before="0" w:after="0"/>
              <w:jc w:val="right"/>
              <w:rPr>
                <w:rFonts w:cs="Arial"/>
                <w:color w:val="000000"/>
                <w:sz w:val="18"/>
                <w:szCs w:val="18"/>
              </w:rPr>
            </w:pPr>
            <w:r w:rsidRPr="00FF4565">
              <w:rPr>
                <w:rFonts w:cs="Arial"/>
                <w:color w:val="000000"/>
                <w:sz w:val="18"/>
                <w:szCs w:val="18"/>
              </w:rPr>
              <w:t>806.651</w:t>
            </w:r>
          </w:p>
        </w:tc>
        <w:tc>
          <w:tcPr>
            <w:tcW w:w="1360" w:type="dxa"/>
            <w:tcBorders>
              <w:top w:val="nil"/>
              <w:left w:val="nil"/>
              <w:bottom w:val="single" w:sz="4" w:space="0" w:color="auto"/>
              <w:right w:val="single" w:sz="4" w:space="0" w:color="auto"/>
            </w:tcBorders>
            <w:shd w:val="clear" w:color="auto" w:fill="D9D9D9" w:themeFill="background1" w:themeFillShade="D9"/>
            <w:vAlign w:val="bottom"/>
            <w:hideMark/>
          </w:tcPr>
          <w:p w:rsidR="005729F5" w:rsidRPr="00FF4565" w:rsidRDefault="005729F5" w:rsidP="006D0874">
            <w:pPr>
              <w:spacing w:before="0" w:after="0"/>
              <w:jc w:val="right"/>
              <w:rPr>
                <w:rFonts w:cs="Arial"/>
                <w:color w:val="000000"/>
                <w:sz w:val="18"/>
                <w:szCs w:val="18"/>
              </w:rPr>
            </w:pPr>
            <w:r w:rsidRPr="00FF4565">
              <w:rPr>
                <w:rFonts w:cs="Arial"/>
                <w:color w:val="000000"/>
                <w:sz w:val="18"/>
                <w:szCs w:val="18"/>
              </w:rPr>
              <w:t>486</w:t>
            </w:r>
          </w:p>
        </w:tc>
        <w:tc>
          <w:tcPr>
            <w:tcW w:w="1559" w:type="dxa"/>
            <w:tcBorders>
              <w:top w:val="nil"/>
              <w:left w:val="nil"/>
              <w:bottom w:val="single" w:sz="4" w:space="0" w:color="auto"/>
              <w:right w:val="single" w:sz="4" w:space="0" w:color="auto"/>
            </w:tcBorders>
            <w:shd w:val="clear" w:color="auto" w:fill="D9D9D9" w:themeFill="background1" w:themeFillShade="D9"/>
            <w:vAlign w:val="bottom"/>
            <w:hideMark/>
          </w:tcPr>
          <w:p w:rsidR="005729F5" w:rsidRPr="00FF4565" w:rsidRDefault="005729F5" w:rsidP="006D0874">
            <w:pPr>
              <w:spacing w:before="0" w:after="0"/>
              <w:jc w:val="right"/>
              <w:rPr>
                <w:rFonts w:cs="Arial"/>
                <w:color w:val="000000"/>
                <w:sz w:val="18"/>
                <w:szCs w:val="18"/>
              </w:rPr>
            </w:pPr>
            <w:r w:rsidRPr="00FF4565">
              <w:rPr>
                <w:rFonts w:cs="Arial"/>
                <w:color w:val="000000"/>
                <w:sz w:val="18"/>
                <w:szCs w:val="18"/>
              </w:rPr>
              <w:t>1.659,80</w:t>
            </w:r>
          </w:p>
        </w:tc>
        <w:tc>
          <w:tcPr>
            <w:tcW w:w="3402" w:type="dxa"/>
            <w:tcBorders>
              <w:top w:val="nil"/>
              <w:left w:val="nil"/>
              <w:bottom w:val="single" w:sz="4" w:space="0" w:color="auto"/>
              <w:right w:val="single" w:sz="4" w:space="0" w:color="auto"/>
            </w:tcBorders>
            <w:shd w:val="clear" w:color="auto" w:fill="D9D9D9" w:themeFill="background1" w:themeFillShade="D9"/>
          </w:tcPr>
          <w:p w:rsidR="005729F5" w:rsidRPr="00FF4565" w:rsidRDefault="005729F5" w:rsidP="006D0874">
            <w:pPr>
              <w:spacing w:before="0" w:after="0"/>
              <w:jc w:val="right"/>
              <w:rPr>
                <w:rFonts w:cs="Arial"/>
                <w:color w:val="000000"/>
                <w:sz w:val="16"/>
                <w:szCs w:val="18"/>
              </w:rPr>
            </w:pPr>
            <w:r w:rsidRPr="00FF4565">
              <w:rPr>
                <w:rFonts w:cs="Arial"/>
                <w:color w:val="000000"/>
                <w:sz w:val="16"/>
                <w:szCs w:val="18"/>
              </w:rPr>
              <w:t>CP Brians 1-2</w:t>
            </w:r>
          </w:p>
        </w:tc>
      </w:tr>
      <w:tr w:rsidR="005729F5" w:rsidRPr="00FF4565" w:rsidTr="006D0874">
        <w:trPr>
          <w:trHeight w:val="255"/>
        </w:trPr>
        <w:tc>
          <w:tcPr>
            <w:tcW w:w="2020" w:type="dxa"/>
            <w:tcBorders>
              <w:top w:val="nil"/>
              <w:left w:val="single" w:sz="4" w:space="0" w:color="auto"/>
              <w:bottom w:val="single" w:sz="4" w:space="0" w:color="auto"/>
              <w:right w:val="single" w:sz="4" w:space="0" w:color="auto"/>
            </w:tcBorders>
            <w:shd w:val="clear" w:color="auto" w:fill="auto"/>
            <w:vAlign w:val="center"/>
            <w:hideMark/>
          </w:tcPr>
          <w:p w:rsidR="005729F5" w:rsidRPr="00FF4565" w:rsidRDefault="005729F5" w:rsidP="006D0874">
            <w:pPr>
              <w:spacing w:before="0" w:after="0"/>
              <w:rPr>
                <w:rFonts w:cs="Arial"/>
                <w:color w:val="000000"/>
                <w:sz w:val="18"/>
                <w:szCs w:val="18"/>
              </w:rPr>
            </w:pPr>
            <w:r w:rsidRPr="00FF4565">
              <w:rPr>
                <w:rFonts w:cs="Arial"/>
                <w:color w:val="000000"/>
                <w:sz w:val="18"/>
                <w:szCs w:val="18"/>
              </w:rPr>
              <w:t>Baix Penedès</w:t>
            </w:r>
          </w:p>
        </w:tc>
        <w:tc>
          <w:tcPr>
            <w:tcW w:w="1030" w:type="dxa"/>
            <w:tcBorders>
              <w:top w:val="nil"/>
              <w:left w:val="nil"/>
              <w:bottom w:val="single" w:sz="4" w:space="0" w:color="auto"/>
              <w:right w:val="single" w:sz="4" w:space="0" w:color="auto"/>
            </w:tcBorders>
            <w:shd w:val="clear" w:color="auto" w:fill="auto"/>
            <w:vAlign w:val="bottom"/>
            <w:hideMark/>
          </w:tcPr>
          <w:p w:rsidR="005729F5" w:rsidRPr="00FF4565" w:rsidRDefault="005729F5" w:rsidP="006D0874">
            <w:pPr>
              <w:spacing w:before="0" w:after="0"/>
              <w:jc w:val="right"/>
              <w:rPr>
                <w:rFonts w:cs="Arial"/>
                <w:color w:val="000000"/>
                <w:sz w:val="18"/>
                <w:szCs w:val="18"/>
              </w:rPr>
            </w:pPr>
            <w:r w:rsidRPr="00FF4565">
              <w:rPr>
                <w:rFonts w:cs="Arial"/>
                <w:color w:val="000000"/>
                <w:sz w:val="18"/>
                <w:szCs w:val="18"/>
              </w:rPr>
              <w:t>99.934</w:t>
            </w:r>
          </w:p>
        </w:tc>
        <w:tc>
          <w:tcPr>
            <w:tcW w:w="1360" w:type="dxa"/>
            <w:tcBorders>
              <w:top w:val="nil"/>
              <w:left w:val="nil"/>
              <w:bottom w:val="single" w:sz="4" w:space="0" w:color="auto"/>
              <w:right w:val="single" w:sz="4" w:space="0" w:color="auto"/>
            </w:tcBorders>
            <w:shd w:val="clear" w:color="auto" w:fill="auto"/>
            <w:vAlign w:val="bottom"/>
            <w:hideMark/>
          </w:tcPr>
          <w:p w:rsidR="005729F5" w:rsidRPr="00FF4565" w:rsidRDefault="005729F5" w:rsidP="006D0874">
            <w:pPr>
              <w:spacing w:before="0" w:after="0"/>
              <w:jc w:val="right"/>
              <w:rPr>
                <w:rFonts w:cs="Arial"/>
                <w:color w:val="000000"/>
                <w:sz w:val="18"/>
                <w:szCs w:val="18"/>
              </w:rPr>
            </w:pPr>
            <w:r w:rsidRPr="00FF4565">
              <w:rPr>
                <w:rFonts w:cs="Arial"/>
                <w:color w:val="000000"/>
                <w:sz w:val="18"/>
                <w:szCs w:val="18"/>
              </w:rPr>
              <w:t>296,5</w:t>
            </w:r>
          </w:p>
        </w:tc>
        <w:tc>
          <w:tcPr>
            <w:tcW w:w="1559" w:type="dxa"/>
            <w:tcBorders>
              <w:top w:val="nil"/>
              <w:left w:val="nil"/>
              <w:bottom w:val="single" w:sz="4" w:space="0" w:color="auto"/>
              <w:right w:val="single" w:sz="4" w:space="0" w:color="auto"/>
            </w:tcBorders>
            <w:shd w:val="clear" w:color="auto" w:fill="auto"/>
            <w:vAlign w:val="bottom"/>
            <w:hideMark/>
          </w:tcPr>
          <w:p w:rsidR="005729F5" w:rsidRPr="00FF4565" w:rsidRDefault="005729F5" w:rsidP="006D0874">
            <w:pPr>
              <w:spacing w:before="0" w:after="0"/>
              <w:jc w:val="right"/>
              <w:rPr>
                <w:rFonts w:cs="Arial"/>
                <w:color w:val="000000"/>
                <w:sz w:val="18"/>
                <w:szCs w:val="18"/>
              </w:rPr>
            </w:pPr>
            <w:r w:rsidRPr="00FF4565">
              <w:rPr>
                <w:rFonts w:cs="Arial"/>
                <w:color w:val="000000"/>
                <w:sz w:val="18"/>
                <w:szCs w:val="18"/>
              </w:rPr>
              <w:t>337,1</w:t>
            </w:r>
          </w:p>
        </w:tc>
        <w:tc>
          <w:tcPr>
            <w:tcW w:w="3402" w:type="dxa"/>
            <w:tcBorders>
              <w:top w:val="nil"/>
              <w:left w:val="nil"/>
              <w:bottom w:val="single" w:sz="4" w:space="0" w:color="auto"/>
              <w:right w:val="single" w:sz="4" w:space="0" w:color="auto"/>
            </w:tcBorders>
          </w:tcPr>
          <w:p w:rsidR="005729F5" w:rsidRPr="00FF4565" w:rsidRDefault="005729F5" w:rsidP="006D0874">
            <w:pPr>
              <w:spacing w:before="0" w:after="0"/>
              <w:jc w:val="right"/>
              <w:rPr>
                <w:rFonts w:cs="Arial"/>
                <w:color w:val="000000"/>
                <w:sz w:val="16"/>
                <w:szCs w:val="18"/>
              </w:rPr>
            </w:pPr>
          </w:p>
        </w:tc>
      </w:tr>
      <w:tr w:rsidR="005729F5" w:rsidRPr="00FF4565" w:rsidTr="006D0874">
        <w:trPr>
          <w:trHeight w:val="255"/>
        </w:trPr>
        <w:tc>
          <w:tcPr>
            <w:tcW w:w="202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5729F5" w:rsidRPr="00FF4565" w:rsidRDefault="005729F5" w:rsidP="006D0874">
            <w:pPr>
              <w:spacing w:before="0" w:after="0"/>
              <w:rPr>
                <w:rFonts w:cs="Arial"/>
                <w:color w:val="000000"/>
                <w:sz w:val="18"/>
                <w:szCs w:val="18"/>
              </w:rPr>
            </w:pPr>
            <w:r w:rsidRPr="00FF4565">
              <w:rPr>
                <w:rFonts w:cs="Arial"/>
                <w:color w:val="000000"/>
                <w:sz w:val="18"/>
                <w:szCs w:val="18"/>
              </w:rPr>
              <w:t>Barcelonès</w:t>
            </w:r>
          </w:p>
        </w:tc>
        <w:tc>
          <w:tcPr>
            <w:tcW w:w="1030" w:type="dxa"/>
            <w:tcBorders>
              <w:top w:val="nil"/>
              <w:left w:val="nil"/>
              <w:bottom w:val="single" w:sz="4" w:space="0" w:color="auto"/>
              <w:right w:val="single" w:sz="4" w:space="0" w:color="auto"/>
            </w:tcBorders>
            <w:shd w:val="clear" w:color="auto" w:fill="D9D9D9" w:themeFill="background1" w:themeFillShade="D9"/>
            <w:vAlign w:val="bottom"/>
            <w:hideMark/>
          </w:tcPr>
          <w:p w:rsidR="005729F5" w:rsidRPr="00FF4565" w:rsidRDefault="005729F5" w:rsidP="006D0874">
            <w:pPr>
              <w:spacing w:before="0" w:after="0"/>
              <w:jc w:val="right"/>
              <w:rPr>
                <w:rFonts w:cs="Arial"/>
                <w:color w:val="000000"/>
                <w:sz w:val="18"/>
                <w:szCs w:val="18"/>
              </w:rPr>
            </w:pPr>
            <w:r w:rsidRPr="00FF4565">
              <w:rPr>
                <w:rFonts w:cs="Arial"/>
                <w:color w:val="000000"/>
                <w:sz w:val="18"/>
                <w:szCs w:val="18"/>
              </w:rPr>
              <w:t>2.225.144</w:t>
            </w:r>
          </w:p>
        </w:tc>
        <w:tc>
          <w:tcPr>
            <w:tcW w:w="1360" w:type="dxa"/>
            <w:tcBorders>
              <w:top w:val="nil"/>
              <w:left w:val="nil"/>
              <w:bottom w:val="single" w:sz="4" w:space="0" w:color="auto"/>
              <w:right w:val="single" w:sz="4" w:space="0" w:color="auto"/>
            </w:tcBorders>
            <w:shd w:val="clear" w:color="auto" w:fill="D9D9D9" w:themeFill="background1" w:themeFillShade="D9"/>
            <w:vAlign w:val="bottom"/>
            <w:hideMark/>
          </w:tcPr>
          <w:p w:rsidR="005729F5" w:rsidRPr="00FF4565" w:rsidRDefault="005729F5" w:rsidP="006D0874">
            <w:pPr>
              <w:spacing w:before="0" w:after="0"/>
              <w:jc w:val="right"/>
              <w:rPr>
                <w:rFonts w:cs="Arial"/>
                <w:color w:val="000000"/>
                <w:sz w:val="18"/>
                <w:szCs w:val="18"/>
              </w:rPr>
            </w:pPr>
            <w:r w:rsidRPr="00FF4565">
              <w:rPr>
                <w:rFonts w:cs="Arial"/>
                <w:color w:val="000000"/>
                <w:sz w:val="18"/>
                <w:szCs w:val="18"/>
              </w:rPr>
              <w:t>145,8</w:t>
            </w:r>
          </w:p>
        </w:tc>
        <w:tc>
          <w:tcPr>
            <w:tcW w:w="1559" w:type="dxa"/>
            <w:tcBorders>
              <w:top w:val="nil"/>
              <w:left w:val="nil"/>
              <w:bottom w:val="single" w:sz="4" w:space="0" w:color="auto"/>
              <w:right w:val="single" w:sz="4" w:space="0" w:color="auto"/>
            </w:tcBorders>
            <w:shd w:val="clear" w:color="auto" w:fill="D9D9D9" w:themeFill="background1" w:themeFillShade="D9"/>
            <w:vAlign w:val="bottom"/>
            <w:hideMark/>
          </w:tcPr>
          <w:p w:rsidR="005729F5" w:rsidRPr="00FF4565" w:rsidRDefault="005729F5" w:rsidP="006D0874">
            <w:pPr>
              <w:spacing w:before="0" w:after="0"/>
              <w:jc w:val="right"/>
              <w:rPr>
                <w:rFonts w:cs="Arial"/>
                <w:color w:val="000000"/>
                <w:sz w:val="18"/>
                <w:szCs w:val="18"/>
              </w:rPr>
            </w:pPr>
            <w:r w:rsidRPr="00FF4565">
              <w:rPr>
                <w:rFonts w:cs="Arial"/>
                <w:color w:val="000000"/>
                <w:sz w:val="18"/>
                <w:szCs w:val="18"/>
              </w:rPr>
              <w:t>15.266,90</w:t>
            </w:r>
          </w:p>
        </w:tc>
        <w:tc>
          <w:tcPr>
            <w:tcW w:w="3402" w:type="dxa"/>
            <w:tcBorders>
              <w:top w:val="nil"/>
              <w:left w:val="nil"/>
              <w:bottom w:val="single" w:sz="4" w:space="0" w:color="auto"/>
              <w:right w:val="single" w:sz="4" w:space="0" w:color="auto"/>
            </w:tcBorders>
            <w:shd w:val="clear" w:color="auto" w:fill="D9D9D9" w:themeFill="background1" w:themeFillShade="D9"/>
          </w:tcPr>
          <w:p w:rsidR="005729F5" w:rsidRPr="00C6583F" w:rsidRDefault="005729F5" w:rsidP="006D0874">
            <w:pPr>
              <w:spacing w:before="0" w:after="0"/>
              <w:jc w:val="right"/>
              <w:rPr>
                <w:rFonts w:cs="Arial"/>
                <w:color w:val="000000"/>
                <w:spacing w:val="-4"/>
                <w:sz w:val="16"/>
                <w:szCs w:val="18"/>
              </w:rPr>
            </w:pPr>
            <w:r w:rsidRPr="00C6583F">
              <w:rPr>
                <w:rFonts w:cs="Arial"/>
                <w:color w:val="000000"/>
                <w:spacing w:val="-4"/>
                <w:sz w:val="16"/>
                <w:szCs w:val="18"/>
              </w:rPr>
              <w:t>CP d’Homes, CP de Dones, CO BCN 2. Trinitat</w:t>
            </w:r>
          </w:p>
        </w:tc>
      </w:tr>
      <w:tr w:rsidR="005729F5" w:rsidRPr="00FF4565" w:rsidTr="006D0874">
        <w:trPr>
          <w:trHeight w:val="255"/>
        </w:trPr>
        <w:tc>
          <w:tcPr>
            <w:tcW w:w="2020" w:type="dxa"/>
            <w:tcBorders>
              <w:top w:val="nil"/>
              <w:left w:val="single" w:sz="4" w:space="0" w:color="auto"/>
              <w:bottom w:val="single" w:sz="4" w:space="0" w:color="auto"/>
              <w:right w:val="single" w:sz="4" w:space="0" w:color="auto"/>
            </w:tcBorders>
            <w:shd w:val="clear" w:color="auto" w:fill="auto"/>
            <w:vAlign w:val="center"/>
            <w:hideMark/>
          </w:tcPr>
          <w:p w:rsidR="005729F5" w:rsidRPr="00FF4565" w:rsidRDefault="005729F5" w:rsidP="006D0874">
            <w:pPr>
              <w:spacing w:before="0" w:after="0"/>
              <w:rPr>
                <w:rFonts w:cs="Arial"/>
                <w:color w:val="000000"/>
                <w:sz w:val="18"/>
                <w:szCs w:val="18"/>
              </w:rPr>
            </w:pPr>
            <w:r w:rsidRPr="00FF4565">
              <w:rPr>
                <w:rFonts w:cs="Arial"/>
                <w:color w:val="000000"/>
                <w:sz w:val="18"/>
                <w:szCs w:val="18"/>
              </w:rPr>
              <w:t>Berguedà</w:t>
            </w:r>
          </w:p>
        </w:tc>
        <w:tc>
          <w:tcPr>
            <w:tcW w:w="1030" w:type="dxa"/>
            <w:tcBorders>
              <w:top w:val="nil"/>
              <w:left w:val="nil"/>
              <w:bottom w:val="single" w:sz="4" w:space="0" w:color="auto"/>
              <w:right w:val="single" w:sz="4" w:space="0" w:color="auto"/>
            </w:tcBorders>
            <w:shd w:val="clear" w:color="auto" w:fill="auto"/>
            <w:vAlign w:val="bottom"/>
            <w:hideMark/>
          </w:tcPr>
          <w:p w:rsidR="005729F5" w:rsidRPr="00FF4565" w:rsidRDefault="005729F5" w:rsidP="006D0874">
            <w:pPr>
              <w:spacing w:before="0" w:after="0"/>
              <w:jc w:val="right"/>
              <w:rPr>
                <w:rFonts w:cs="Arial"/>
                <w:color w:val="000000"/>
                <w:sz w:val="18"/>
                <w:szCs w:val="18"/>
              </w:rPr>
            </w:pPr>
            <w:r w:rsidRPr="00FF4565">
              <w:rPr>
                <w:rFonts w:cs="Arial"/>
                <w:color w:val="000000"/>
                <w:sz w:val="18"/>
                <w:szCs w:val="18"/>
              </w:rPr>
              <w:t>39.517</w:t>
            </w:r>
          </w:p>
        </w:tc>
        <w:tc>
          <w:tcPr>
            <w:tcW w:w="1360" w:type="dxa"/>
            <w:tcBorders>
              <w:top w:val="nil"/>
              <w:left w:val="nil"/>
              <w:bottom w:val="single" w:sz="4" w:space="0" w:color="auto"/>
              <w:right w:val="single" w:sz="4" w:space="0" w:color="auto"/>
            </w:tcBorders>
            <w:shd w:val="clear" w:color="auto" w:fill="auto"/>
            <w:vAlign w:val="bottom"/>
            <w:hideMark/>
          </w:tcPr>
          <w:p w:rsidR="005729F5" w:rsidRPr="00FF4565" w:rsidRDefault="005729F5" w:rsidP="006D0874">
            <w:pPr>
              <w:spacing w:before="0" w:after="0"/>
              <w:jc w:val="right"/>
              <w:rPr>
                <w:rFonts w:cs="Arial"/>
                <w:color w:val="000000"/>
                <w:sz w:val="18"/>
                <w:szCs w:val="18"/>
              </w:rPr>
            </w:pPr>
            <w:r w:rsidRPr="00FF4565">
              <w:rPr>
                <w:rFonts w:cs="Arial"/>
                <w:color w:val="000000"/>
                <w:sz w:val="18"/>
                <w:szCs w:val="18"/>
              </w:rPr>
              <w:t>1.185,30</w:t>
            </w:r>
          </w:p>
        </w:tc>
        <w:tc>
          <w:tcPr>
            <w:tcW w:w="1559" w:type="dxa"/>
            <w:tcBorders>
              <w:top w:val="nil"/>
              <w:left w:val="nil"/>
              <w:bottom w:val="single" w:sz="4" w:space="0" w:color="auto"/>
              <w:right w:val="single" w:sz="4" w:space="0" w:color="auto"/>
            </w:tcBorders>
            <w:shd w:val="clear" w:color="auto" w:fill="auto"/>
            <w:vAlign w:val="bottom"/>
            <w:hideMark/>
          </w:tcPr>
          <w:p w:rsidR="005729F5" w:rsidRPr="00FF4565" w:rsidRDefault="005729F5" w:rsidP="006D0874">
            <w:pPr>
              <w:spacing w:before="0" w:after="0"/>
              <w:jc w:val="right"/>
              <w:rPr>
                <w:rFonts w:cs="Arial"/>
                <w:color w:val="000000"/>
                <w:sz w:val="18"/>
                <w:szCs w:val="18"/>
              </w:rPr>
            </w:pPr>
            <w:r w:rsidRPr="00FF4565">
              <w:rPr>
                <w:rFonts w:cs="Arial"/>
                <w:color w:val="000000"/>
                <w:sz w:val="18"/>
                <w:szCs w:val="18"/>
              </w:rPr>
              <w:t>33,3</w:t>
            </w:r>
          </w:p>
        </w:tc>
        <w:tc>
          <w:tcPr>
            <w:tcW w:w="3402" w:type="dxa"/>
            <w:tcBorders>
              <w:top w:val="nil"/>
              <w:left w:val="nil"/>
              <w:bottom w:val="single" w:sz="4" w:space="0" w:color="auto"/>
              <w:right w:val="single" w:sz="4" w:space="0" w:color="auto"/>
            </w:tcBorders>
          </w:tcPr>
          <w:p w:rsidR="005729F5" w:rsidRPr="00FF4565" w:rsidRDefault="005729F5" w:rsidP="006D0874">
            <w:pPr>
              <w:spacing w:before="0" w:after="0"/>
              <w:jc w:val="right"/>
              <w:rPr>
                <w:rFonts w:cs="Arial"/>
                <w:color w:val="000000"/>
                <w:sz w:val="16"/>
                <w:szCs w:val="18"/>
              </w:rPr>
            </w:pPr>
          </w:p>
        </w:tc>
      </w:tr>
      <w:tr w:rsidR="005729F5" w:rsidRPr="00FF4565" w:rsidTr="006D0874">
        <w:trPr>
          <w:trHeight w:val="255"/>
        </w:trPr>
        <w:tc>
          <w:tcPr>
            <w:tcW w:w="2020" w:type="dxa"/>
            <w:tcBorders>
              <w:top w:val="nil"/>
              <w:left w:val="single" w:sz="4" w:space="0" w:color="auto"/>
              <w:bottom w:val="single" w:sz="4" w:space="0" w:color="auto"/>
              <w:right w:val="single" w:sz="4" w:space="0" w:color="auto"/>
            </w:tcBorders>
            <w:shd w:val="clear" w:color="auto" w:fill="auto"/>
            <w:vAlign w:val="center"/>
            <w:hideMark/>
          </w:tcPr>
          <w:p w:rsidR="005729F5" w:rsidRPr="00FF4565" w:rsidRDefault="005729F5" w:rsidP="006D0874">
            <w:pPr>
              <w:spacing w:before="0" w:after="0"/>
              <w:rPr>
                <w:rFonts w:cs="Arial"/>
                <w:color w:val="000000"/>
                <w:sz w:val="18"/>
                <w:szCs w:val="18"/>
              </w:rPr>
            </w:pPr>
            <w:r w:rsidRPr="00FF4565">
              <w:rPr>
                <w:rFonts w:cs="Arial"/>
                <w:color w:val="000000"/>
                <w:sz w:val="18"/>
                <w:szCs w:val="18"/>
              </w:rPr>
              <w:t>Cerdanya</w:t>
            </w:r>
          </w:p>
        </w:tc>
        <w:tc>
          <w:tcPr>
            <w:tcW w:w="1030" w:type="dxa"/>
            <w:tcBorders>
              <w:top w:val="nil"/>
              <w:left w:val="nil"/>
              <w:bottom w:val="single" w:sz="4" w:space="0" w:color="auto"/>
              <w:right w:val="single" w:sz="4" w:space="0" w:color="auto"/>
            </w:tcBorders>
            <w:shd w:val="clear" w:color="auto" w:fill="auto"/>
            <w:vAlign w:val="bottom"/>
            <w:hideMark/>
          </w:tcPr>
          <w:p w:rsidR="005729F5" w:rsidRPr="00FF4565" w:rsidRDefault="005729F5" w:rsidP="006D0874">
            <w:pPr>
              <w:spacing w:before="0" w:after="0"/>
              <w:jc w:val="right"/>
              <w:rPr>
                <w:rFonts w:cs="Arial"/>
                <w:color w:val="000000"/>
                <w:sz w:val="18"/>
                <w:szCs w:val="18"/>
              </w:rPr>
            </w:pPr>
            <w:r w:rsidRPr="00FF4565">
              <w:rPr>
                <w:rFonts w:cs="Arial"/>
                <w:color w:val="000000"/>
                <w:sz w:val="18"/>
                <w:szCs w:val="18"/>
              </w:rPr>
              <w:t>17.870</w:t>
            </w:r>
          </w:p>
        </w:tc>
        <w:tc>
          <w:tcPr>
            <w:tcW w:w="1360" w:type="dxa"/>
            <w:tcBorders>
              <w:top w:val="nil"/>
              <w:left w:val="nil"/>
              <w:bottom w:val="single" w:sz="4" w:space="0" w:color="auto"/>
              <w:right w:val="single" w:sz="4" w:space="0" w:color="auto"/>
            </w:tcBorders>
            <w:shd w:val="clear" w:color="auto" w:fill="auto"/>
            <w:vAlign w:val="bottom"/>
            <w:hideMark/>
          </w:tcPr>
          <w:p w:rsidR="005729F5" w:rsidRPr="00FF4565" w:rsidRDefault="005729F5" w:rsidP="006D0874">
            <w:pPr>
              <w:spacing w:before="0" w:after="0"/>
              <w:jc w:val="right"/>
              <w:rPr>
                <w:rFonts w:cs="Arial"/>
                <w:color w:val="000000"/>
                <w:sz w:val="18"/>
                <w:szCs w:val="18"/>
              </w:rPr>
            </w:pPr>
            <w:r w:rsidRPr="00FF4565">
              <w:rPr>
                <w:rFonts w:cs="Arial"/>
                <w:color w:val="000000"/>
                <w:sz w:val="18"/>
                <w:szCs w:val="18"/>
              </w:rPr>
              <w:t>546,7</w:t>
            </w:r>
          </w:p>
        </w:tc>
        <w:tc>
          <w:tcPr>
            <w:tcW w:w="1559" w:type="dxa"/>
            <w:tcBorders>
              <w:top w:val="nil"/>
              <w:left w:val="nil"/>
              <w:bottom w:val="single" w:sz="4" w:space="0" w:color="auto"/>
              <w:right w:val="single" w:sz="4" w:space="0" w:color="auto"/>
            </w:tcBorders>
            <w:shd w:val="clear" w:color="auto" w:fill="auto"/>
            <w:vAlign w:val="bottom"/>
            <w:hideMark/>
          </w:tcPr>
          <w:p w:rsidR="005729F5" w:rsidRPr="00FF4565" w:rsidRDefault="005729F5" w:rsidP="006D0874">
            <w:pPr>
              <w:spacing w:before="0" w:after="0"/>
              <w:jc w:val="right"/>
              <w:rPr>
                <w:rFonts w:cs="Arial"/>
                <w:color w:val="000000"/>
                <w:sz w:val="18"/>
                <w:szCs w:val="18"/>
              </w:rPr>
            </w:pPr>
            <w:r w:rsidRPr="00FF4565">
              <w:rPr>
                <w:rFonts w:cs="Arial"/>
                <w:color w:val="000000"/>
                <w:sz w:val="18"/>
                <w:szCs w:val="18"/>
              </w:rPr>
              <w:t>32,7</w:t>
            </w:r>
          </w:p>
        </w:tc>
        <w:tc>
          <w:tcPr>
            <w:tcW w:w="3402" w:type="dxa"/>
            <w:tcBorders>
              <w:top w:val="nil"/>
              <w:left w:val="nil"/>
              <w:bottom w:val="single" w:sz="4" w:space="0" w:color="auto"/>
              <w:right w:val="single" w:sz="4" w:space="0" w:color="auto"/>
            </w:tcBorders>
          </w:tcPr>
          <w:p w:rsidR="005729F5" w:rsidRPr="00FF4565" w:rsidRDefault="005729F5" w:rsidP="006D0874">
            <w:pPr>
              <w:spacing w:before="0" w:after="0"/>
              <w:jc w:val="right"/>
              <w:rPr>
                <w:rFonts w:cs="Arial"/>
                <w:color w:val="000000"/>
                <w:sz w:val="16"/>
                <w:szCs w:val="18"/>
              </w:rPr>
            </w:pPr>
          </w:p>
        </w:tc>
      </w:tr>
      <w:tr w:rsidR="005729F5" w:rsidRPr="00FF4565" w:rsidTr="006D0874">
        <w:trPr>
          <w:trHeight w:val="255"/>
        </w:trPr>
        <w:tc>
          <w:tcPr>
            <w:tcW w:w="2020" w:type="dxa"/>
            <w:tcBorders>
              <w:top w:val="nil"/>
              <w:left w:val="single" w:sz="4" w:space="0" w:color="auto"/>
              <w:bottom w:val="single" w:sz="4" w:space="0" w:color="auto"/>
              <w:right w:val="single" w:sz="4" w:space="0" w:color="auto"/>
            </w:tcBorders>
            <w:shd w:val="clear" w:color="auto" w:fill="auto"/>
            <w:vAlign w:val="center"/>
            <w:hideMark/>
          </w:tcPr>
          <w:p w:rsidR="005729F5" w:rsidRPr="00FF4565" w:rsidRDefault="005729F5" w:rsidP="006D0874">
            <w:pPr>
              <w:spacing w:before="0" w:after="0"/>
              <w:rPr>
                <w:rFonts w:cs="Arial"/>
                <w:color w:val="000000"/>
                <w:sz w:val="18"/>
                <w:szCs w:val="18"/>
              </w:rPr>
            </w:pPr>
            <w:r w:rsidRPr="00FF4565">
              <w:rPr>
                <w:rFonts w:cs="Arial"/>
                <w:color w:val="000000"/>
                <w:sz w:val="18"/>
                <w:szCs w:val="18"/>
              </w:rPr>
              <w:t>Conca de Barberà</w:t>
            </w:r>
          </w:p>
        </w:tc>
        <w:tc>
          <w:tcPr>
            <w:tcW w:w="1030" w:type="dxa"/>
            <w:tcBorders>
              <w:top w:val="nil"/>
              <w:left w:val="nil"/>
              <w:bottom w:val="single" w:sz="4" w:space="0" w:color="auto"/>
              <w:right w:val="single" w:sz="4" w:space="0" w:color="auto"/>
            </w:tcBorders>
            <w:shd w:val="clear" w:color="auto" w:fill="auto"/>
            <w:vAlign w:val="bottom"/>
            <w:hideMark/>
          </w:tcPr>
          <w:p w:rsidR="005729F5" w:rsidRPr="00FF4565" w:rsidRDefault="005729F5" w:rsidP="006D0874">
            <w:pPr>
              <w:spacing w:before="0" w:after="0"/>
              <w:jc w:val="right"/>
              <w:rPr>
                <w:rFonts w:cs="Arial"/>
                <w:color w:val="000000"/>
                <w:sz w:val="18"/>
                <w:szCs w:val="18"/>
              </w:rPr>
            </w:pPr>
            <w:r w:rsidRPr="00FF4565">
              <w:rPr>
                <w:rFonts w:cs="Arial"/>
                <w:color w:val="000000"/>
                <w:sz w:val="18"/>
                <w:szCs w:val="18"/>
              </w:rPr>
              <w:t>20.482</w:t>
            </w:r>
          </w:p>
        </w:tc>
        <w:tc>
          <w:tcPr>
            <w:tcW w:w="1360" w:type="dxa"/>
            <w:tcBorders>
              <w:top w:val="nil"/>
              <w:left w:val="nil"/>
              <w:bottom w:val="single" w:sz="4" w:space="0" w:color="auto"/>
              <w:right w:val="single" w:sz="4" w:space="0" w:color="auto"/>
            </w:tcBorders>
            <w:shd w:val="clear" w:color="auto" w:fill="auto"/>
            <w:vAlign w:val="bottom"/>
            <w:hideMark/>
          </w:tcPr>
          <w:p w:rsidR="005729F5" w:rsidRPr="00FF4565" w:rsidRDefault="005729F5" w:rsidP="006D0874">
            <w:pPr>
              <w:spacing w:before="0" w:after="0"/>
              <w:jc w:val="right"/>
              <w:rPr>
                <w:rFonts w:cs="Arial"/>
                <w:color w:val="000000"/>
                <w:sz w:val="18"/>
                <w:szCs w:val="18"/>
              </w:rPr>
            </w:pPr>
            <w:r w:rsidRPr="00FF4565">
              <w:rPr>
                <w:rFonts w:cs="Arial"/>
                <w:color w:val="000000"/>
                <w:sz w:val="18"/>
                <w:szCs w:val="18"/>
              </w:rPr>
              <w:t>650,2</w:t>
            </w:r>
          </w:p>
        </w:tc>
        <w:tc>
          <w:tcPr>
            <w:tcW w:w="1559" w:type="dxa"/>
            <w:tcBorders>
              <w:top w:val="nil"/>
              <w:left w:val="nil"/>
              <w:bottom w:val="single" w:sz="4" w:space="0" w:color="auto"/>
              <w:right w:val="single" w:sz="4" w:space="0" w:color="auto"/>
            </w:tcBorders>
            <w:shd w:val="clear" w:color="auto" w:fill="auto"/>
            <w:vAlign w:val="bottom"/>
            <w:hideMark/>
          </w:tcPr>
          <w:p w:rsidR="005729F5" w:rsidRPr="00FF4565" w:rsidRDefault="005729F5" w:rsidP="006D0874">
            <w:pPr>
              <w:spacing w:before="0" w:after="0"/>
              <w:jc w:val="right"/>
              <w:rPr>
                <w:rFonts w:cs="Arial"/>
                <w:color w:val="000000"/>
                <w:sz w:val="18"/>
                <w:szCs w:val="18"/>
              </w:rPr>
            </w:pPr>
            <w:r w:rsidRPr="00FF4565">
              <w:rPr>
                <w:rFonts w:cs="Arial"/>
                <w:color w:val="000000"/>
                <w:sz w:val="18"/>
                <w:szCs w:val="18"/>
              </w:rPr>
              <w:t>31,5</w:t>
            </w:r>
          </w:p>
        </w:tc>
        <w:tc>
          <w:tcPr>
            <w:tcW w:w="3402" w:type="dxa"/>
            <w:tcBorders>
              <w:top w:val="nil"/>
              <w:left w:val="nil"/>
              <w:bottom w:val="single" w:sz="4" w:space="0" w:color="auto"/>
              <w:right w:val="single" w:sz="4" w:space="0" w:color="auto"/>
            </w:tcBorders>
          </w:tcPr>
          <w:p w:rsidR="005729F5" w:rsidRPr="00FF4565" w:rsidRDefault="005729F5" w:rsidP="006D0874">
            <w:pPr>
              <w:spacing w:before="0" w:after="0"/>
              <w:jc w:val="right"/>
              <w:rPr>
                <w:rFonts w:cs="Arial"/>
                <w:color w:val="000000"/>
                <w:sz w:val="16"/>
                <w:szCs w:val="18"/>
              </w:rPr>
            </w:pPr>
          </w:p>
        </w:tc>
      </w:tr>
      <w:tr w:rsidR="005729F5" w:rsidRPr="00FF4565" w:rsidTr="006D0874">
        <w:trPr>
          <w:trHeight w:val="255"/>
        </w:trPr>
        <w:tc>
          <w:tcPr>
            <w:tcW w:w="2020" w:type="dxa"/>
            <w:tcBorders>
              <w:top w:val="nil"/>
              <w:left w:val="single" w:sz="4" w:space="0" w:color="auto"/>
              <w:bottom w:val="single" w:sz="4" w:space="0" w:color="auto"/>
              <w:right w:val="single" w:sz="4" w:space="0" w:color="auto"/>
            </w:tcBorders>
            <w:shd w:val="clear" w:color="auto" w:fill="auto"/>
            <w:vAlign w:val="center"/>
            <w:hideMark/>
          </w:tcPr>
          <w:p w:rsidR="005729F5" w:rsidRPr="00FF4565" w:rsidRDefault="005729F5" w:rsidP="006D0874">
            <w:pPr>
              <w:spacing w:before="0" w:after="0"/>
              <w:rPr>
                <w:rFonts w:cs="Arial"/>
                <w:color w:val="000000"/>
                <w:sz w:val="18"/>
                <w:szCs w:val="18"/>
              </w:rPr>
            </w:pPr>
            <w:r w:rsidRPr="00FF4565">
              <w:rPr>
                <w:rFonts w:cs="Arial"/>
                <w:color w:val="000000"/>
                <w:sz w:val="18"/>
                <w:szCs w:val="18"/>
              </w:rPr>
              <w:t>Garraf</w:t>
            </w:r>
          </w:p>
        </w:tc>
        <w:tc>
          <w:tcPr>
            <w:tcW w:w="1030" w:type="dxa"/>
            <w:tcBorders>
              <w:top w:val="nil"/>
              <w:left w:val="nil"/>
              <w:bottom w:val="single" w:sz="4" w:space="0" w:color="auto"/>
              <w:right w:val="single" w:sz="4" w:space="0" w:color="auto"/>
            </w:tcBorders>
            <w:shd w:val="clear" w:color="auto" w:fill="auto"/>
            <w:vAlign w:val="bottom"/>
            <w:hideMark/>
          </w:tcPr>
          <w:p w:rsidR="005729F5" w:rsidRPr="00FF4565" w:rsidRDefault="005729F5" w:rsidP="006D0874">
            <w:pPr>
              <w:spacing w:before="0" w:after="0"/>
              <w:jc w:val="right"/>
              <w:rPr>
                <w:rFonts w:cs="Arial"/>
                <w:color w:val="000000"/>
                <w:sz w:val="18"/>
                <w:szCs w:val="18"/>
              </w:rPr>
            </w:pPr>
            <w:r w:rsidRPr="00FF4565">
              <w:rPr>
                <w:rFonts w:cs="Arial"/>
                <w:color w:val="000000"/>
                <w:sz w:val="18"/>
                <w:szCs w:val="18"/>
              </w:rPr>
              <w:t>145.983</w:t>
            </w:r>
          </w:p>
        </w:tc>
        <w:tc>
          <w:tcPr>
            <w:tcW w:w="1360" w:type="dxa"/>
            <w:tcBorders>
              <w:top w:val="nil"/>
              <w:left w:val="nil"/>
              <w:bottom w:val="single" w:sz="4" w:space="0" w:color="auto"/>
              <w:right w:val="single" w:sz="4" w:space="0" w:color="auto"/>
            </w:tcBorders>
            <w:shd w:val="clear" w:color="auto" w:fill="auto"/>
            <w:vAlign w:val="bottom"/>
            <w:hideMark/>
          </w:tcPr>
          <w:p w:rsidR="005729F5" w:rsidRPr="00FF4565" w:rsidRDefault="005729F5" w:rsidP="006D0874">
            <w:pPr>
              <w:spacing w:before="0" w:after="0"/>
              <w:jc w:val="right"/>
              <w:rPr>
                <w:rFonts w:cs="Arial"/>
                <w:color w:val="000000"/>
                <w:sz w:val="18"/>
                <w:szCs w:val="18"/>
              </w:rPr>
            </w:pPr>
            <w:r w:rsidRPr="00FF4565">
              <w:rPr>
                <w:rFonts w:cs="Arial"/>
                <w:color w:val="000000"/>
                <w:sz w:val="18"/>
                <w:szCs w:val="18"/>
              </w:rPr>
              <w:t>185,1</w:t>
            </w:r>
          </w:p>
        </w:tc>
        <w:tc>
          <w:tcPr>
            <w:tcW w:w="1559" w:type="dxa"/>
            <w:tcBorders>
              <w:top w:val="nil"/>
              <w:left w:val="nil"/>
              <w:bottom w:val="single" w:sz="4" w:space="0" w:color="auto"/>
              <w:right w:val="single" w:sz="4" w:space="0" w:color="auto"/>
            </w:tcBorders>
            <w:shd w:val="clear" w:color="auto" w:fill="auto"/>
            <w:vAlign w:val="bottom"/>
            <w:hideMark/>
          </w:tcPr>
          <w:p w:rsidR="005729F5" w:rsidRPr="00FF4565" w:rsidRDefault="005729F5" w:rsidP="006D0874">
            <w:pPr>
              <w:spacing w:before="0" w:after="0"/>
              <w:jc w:val="right"/>
              <w:rPr>
                <w:rFonts w:cs="Arial"/>
                <w:color w:val="000000"/>
                <w:sz w:val="18"/>
                <w:szCs w:val="18"/>
              </w:rPr>
            </w:pPr>
            <w:r w:rsidRPr="00FF4565">
              <w:rPr>
                <w:rFonts w:cs="Arial"/>
                <w:color w:val="000000"/>
                <w:sz w:val="18"/>
                <w:szCs w:val="18"/>
              </w:rPr>
              <w:t>788,6</w:t>
            </w:r>
          </w:p>
        </w:tc>
        <w:tc>
          <w:tcPr>
            <w:tcW w:w="3402" w:type="dxa"/>
            <w:tcBorders>
              <w:top w:val="nil"/>
              <w:left w:val="nil"/>
              <w:bottom w:val="single" w:sz="4" w:space="0" w:color="auto"/>
              <w:right w:val="single" w:sz="4" w:space="0" w:color="auto"/>
            </w:tcBorders>
          </w:tcPr>
          <w:p w:rsidR="005729F5" w:rsidRPr="00FF4565" w:rsidRDefault="005729F5" w:rsidP="006D0874">
            <w:pPr>
              <w:spacing w:before="0" w:after="0"/>
              <w:jc w:val="right"/>
              <w:rPr>
                <w:rFonts w:cs="Arial"/>
                <w:color w:val="000000"/>
                <w:sz w:val="16"/>
                <w:szCs w:val="18"/>
              </w:rPr>
            </w:pPr>
          </w:p>
        </w:tc>
      </w:tr>
      <w:tr w:rsidR="005729F5" w:rsidRPr="00FF4565" w:rsidTr="006D0874">
        <w:trPr>
          <w:trHeight w:val="255"/>
        </w:trPr>
        <w:tc>
          <w:tcPr>
            <w:tcW w:w="2020" w:type="dxa"/>
            <w:tcBorders>
              <w:top w:val="nil"/>
              <w:left w:val="single" w:sz="4" w:space="0" w:color="auto"/>
              <w:bottom w:val="single" w:sz="4" w:space="0" w:color="auto"/>
              <w:right w:val="single" w:sz="4" w:space="0" w:color="auto"/>
            </w:tcBorders>
            <w:shd w:val="clear" w:color="auto" w:fill="auto"/>
            <w:vAlign w:val="center"/>
            <w:hideMark/>
          </w:tcPr>
          <w:p w:rsidR="005729F5" w:rsidRPr="00FF4565" w:rsidRDefault="005729F5" w:rsidP="006D0874">
            <w:pPr>
              <w:spacing w:before="0" w:after="0"/>
              <w:rPr>
                <w:rFonts w:cs="Arial"/>
                <w:color w:val="000000"/>
                <w:sz w:val="18"/>
                <w:szCs w:val="18"/>
              </w:rPr>
            </w:pPr>
            <w:r w:rsidRPr="00FF4565">
              <w:rPr>
                <w:rFonts w:cs="Arial"/>
                <w:color w:val="000000"/>
                <w:sz w:val="18"/>
                <w:szCs w:val="18"/>
              </w:rPr>
              <w:t>Garrigues</w:t>
            </w:r>
          </w:p>
        </w:tc>
        <w:tc>
          <w:tcPr>
            <w:tcW w:w="1030" w:type="dxa"/>
            <w:tcBorders>
              <w:top w:val="nil"/>
              <w:left w:val="nil"/>
              <w:bottom w:val="single" w:sz="4" w:space="0" w:color="auto"/>
              <w:right w:val="single" w:sz="4" w:space="0" w:color="auto"/>
            </w:tcBorders>
            <w:shd w:val="clear" w:color="auto" w:fill="auto"/>
            <w:vAlign w:val="bottom"/>
            <w:hideMark/>
          </w:tcPr>
          <w:p w:rsidR="005729F5" w:rsidRPr="00FF4565" w:rsidRDefault="005729F5" w:rsidP="006D0874">
            <w:pPr>
              <w:spacing w:before="0" w:after="0"/>
              <w:jc w:val="right"/>
              <w:rPr>
                <w:rFonts w:cs="Arial"/>
                <w:color w:val="000000"/>
                <w:sz w:val="18"/>
                <w:szCs w:val="18"/>
              </w:rPr>
            </w:pPr>
            <w:r w:rsidRPr="00FF4565">
              <w:rPr>
                <w:rFonts w:cs="Arial"/>
                <w:color w:val="000000"/>
                <w:sz w:val="18"/>
                <w:szCs w:val="18"/>
              </w:rPr>
              <w:t>19.342</w:t>
            </w:r>
          </w:p>
        </w:tc>
        <w:tc>
          <w:tcPr>
            <w:tcW w:w="1360" w:type="dxa"/>
            <w:tcBorders>
              <w:top w:val="nil"/>
              <w:left w:val="nil"/>
              <w:bottom w:val="single" w:sz="4" w:space="0" w:color="auto"/>
              <w:right w:val="single" w:sz="4" w:space="0" w:color="auto"/>
            </w:tcBorders>
            <w:shd w:val="clear" w:color="auto" w:fill="auto"/>
            <w:vAlign w:val="bottom"/>
            <w:hideMark/>
          </w:tcPr>
          <w:p w:rsidR="005729F5" w:rsidRPr="00FF4565" w:rsidRDefault="005729F5" w:rsidP="006D0874">
            <w:pPr>
              <w:spacing w:before="0" w:after="0"/>
              <w:jc w:val="right"/>
              <w:rPr>
                <w:rFonts w:cs="Arial"/>
                <w:color w:val="000000"/>
                <w:sz w:val="18"/>
                <w:szCs w:val="18"/>
              </w:rPr>
            </w:pPr>
            <w:r w:rsidRPr="00FF4565">
              <w:rPr>
                <w:rFonts w:cs="Arial"/>
                <w:color w:val="000000"/>
                <w:sz w:val="18"/>
                <w:szCs w:val="18"/>
              </w:rPr>
              <w:t>797,7</w:t>
            </w:r>
          </w:p>
        </w:tc>
        <w:tc>
          <w:tcPr>
            <w:tcW w:w="1559" w:type="dxa"/>
            <w:tcBorders>
              <w:top w:val="nil"/>
              <w:left w:val="nil"/>
              <w:bottom w:val="single" w:sz="4" w:space="0" w:color="auto"/>
              <w:right w:val="single" w:sz="4" w:space="0" w:color="auto"/>
            </w:tcBorders>
            <w:shd w:val="clear" w:color="auto" w:fill="auto"/>
            <w:vAlign w:val="bottom"/>
            <w:hideMark/>
          </w:tcPr>
          <w:p w:rsidR="005729F5" w:rsidRPr="00FF4565" w:rsidRDefault="005729F5" w:rsidP="006D0874">
            <w:pPr>
              <w:spacing w:before="0" w:after="0"/>
              <w:jc w:val="right"/>
              <w:rPr>
                <w:rFonts w:cs="Arial"/>
                <w:color w:val="000000"/>
                <w:sz w:val="18"/>
                <w:szCs w:val="18"/>
              </w:rPr>
            </w:pPr>
            <w:r w:rsidRPr="00FF4565">
              <w:rPr>
                <w:rFonts w:cs="Arial"/>
                <w:color w:val="000000"/>
                <w:sz w:val="18"/>
                <w:szCs w:val="18"/>
              </w:rPr>
              <w:t>24,3</w:t>
            </w:r>
          </w:p>
        </w:tc>
        <w:tc>
          <w:tcPr>
            <w:tcW w:w="3402" w:type="dxa"/>
            <w:tcBorders>
              <w:top w:val="nil"/>
              <w:left w:val="nil"/>
              <w:bottom w:val="single" w:sz="4" w:space="0" w:color="auto"/>
              <w:right w:val="single" w:sz="4" w:space="0" w:color="auto"/>
            </w:tcBorders>
          </w:tcPr>
          <w:p w:rsidR="005729F5" w:rsidRPr="00FF4565" w:rsidRDefault="005729F5" w:rsidP="006D0874">
            <w:pPr>
              <w:spacing w:before="0" w:after="0"/>
              <w:jc w:val="right"/>
              <w:rPr>
                <w:rFonts w:cs="Arial"/>
                <w:color w:val="000000"/>
                <w:sz w:val="16"/>
                <w:szCs w:val="18"/>
              </w:rPr>
            </w:pPr>
          </w:p>
        </w:tc>
      </w:tr>
      <w:tr w:rsidR="005729F5" w:rsidRPr="00FF4565" w:rsidTr="006D0874">
        <w:trPr>
          <w:trHeight w:val="255"/>
        </w:trPr>
        <w:tc>
          <w:tcPr>
            <w:tcW w:w="2020" w:type="dxa"/>
            <w:tcBorders>
              <w:top w:val="nil"/>
              <w:left w:val="single" w:sz="4" w:space="0" w:color="auto"/>
              <w:bottom w:val="single" w:sz="4" w:space="0" w:color="auto"/>
              <w:right w:val="single" w:sz="4" w:space="0" w:color="auto"/>
            </w:tcBorders>
            <w:shd w:val="clear" w:color="auto" w:fill="auto"/>
            <w:vAlign w:val="center"/>
            <w:hideMark/>
          </w:tcPr>
          <w:p w:rsidR="005729F5" w:rsidRPr="00FF4565" w:rsidRDefault="005729F5" w:rsidP="006D0874">
            <w:pPr>
              <w:spacing w:before="0" w:after="0"/>
              <w:rPr>
                <w:rFonts w:cs="Arial"/>
                <w:color w:val="000000"/>
                <w:sz w:val="18"/>
                <w:szCs w:val="18"/>
              </w:rPr>
            </w:pPr>
            <w:r w:rsidRPr="00FF4565">
              <w:rPr>
                <w:rFonts w:cs="Arial"/>
                <w:color w:val="000000"/>
                <w:sz w:val="18"/>
                <w:szCs w:val="18"/>
              </w:rPr>
              <w:t>Garrotxa</w:t>
            </w:r>
          </w:p>
        </w:tc>
        <w:tc>
          <w:tcPr>
            <w:tcW w:w="1030" w:type="dxa"/>
            <w:tcBorders>
              <w:top w:val="nil"/>
              <w:left w:val="nil"/>
              <w:bottom w:val="single" w:sz="4" w:space="0" w:color="auto"/>
              <w:right w:val="single" w:sz="4" w:space="0" w:color="auto"/>
            </w:tcBorders>
            <w:shd w:val="clear" w:color="auto" w:fill="auto"/>
            <w:vAlign w:val="bottom"/>
            <w:hideMark/>
          </w:tcPr>
          <w:p w:rsidR="005729F5" w:rsidRPr="00FF4565" w:rsidRDefault="005729F5" w:rsidP="006D0874">
            <w:pPr>
              <w:spacing w:before="0" w:after="0"/>
              <w:jc w:val="right"/>
              <w:rPr>
                <w:rFonts w:cs="Arial"/>
                <w:color w:val="000000"/>
                <w:sz w:val="18"/>
                <w:szCs w:val="18"/>
              </w:rPr>
            </w:pPr>
            <w:r w:rsidRPr="00FF4565">
              <w:rPr>
                <w:rFonts w:cs="Arial"/>
                <w:color w:val="000000"/>
                <w:sz w:val="18"/>
                <w:szCs w:val="18"/>
              </w:rPr>
              <w:t>56.063</w:t>
            </w:r>
          </w:p>
        </w:tc>
        <w:tc>
          <w:tcPr>
            <w:tcW w:w="1360" w:type="dxa"/>
            <w:tcBorders>
              <w:top w:val="nil"/>
              <w:left w:val="nil"/>
              <w:bottom w:val="single" w:sz="4" w:space="0" w:color="auto"/>
              <w:right w:val="single" w:sz="4" w:space="0" w:color="auto"/>
            </w:tcBorders>
            <w:shd w:val="clear" w:color="auto" w:fill="auto"/>
            <w:vAlign w:val="bottom"/>
            <w:hideMark/>
          </w:tcPr>
          <w:p w:rsidR="005729F5" w:rsidRPr="00FF4565" w:rsidRDefault="005729F5" w:rsidP="006D0874">
            <w:pPr>
              <w:spacing w:before="0" w:after="0"/>
              <w:jc w:val="right"/>
              <w:rPr>
                <w:rFonts w:cs="Arial"/>
                <w:color w:val="000000"/>
                <w:sz w:val="18"/>
                <w:szCs w:val="18"/>
              </w:rPr>
            </w:pPr>
            <w:r w:rsidRPr="00FF4565">
              <w:rPr>
                <w:rFonts w:cs="Arial"/>
                <w:color w:val="000000"/>
                <w:sz w:val="18"/>
                <w:szCs w:val="18"/>
              </w:rPr>
              <w:t>734,6</w:t>
            </w:r>
          </w:p>
        </w:tc>
        <w:tc>
          <w:tcPr>
            <w:tcW w:w="1559" w:type="dxa"/>
            <w:tcBorders>
              <w:top w:val="nil"/>
              <w:left w:val="nil"/>
              <w:bottom w:val="single" w:sz="4" w:space="0" w:color="auto"/>
              <w:right w:val="single" w:sz="4" w:space="0" w:color="auto"/>
            </w:tcBorders>
            <w:shd w:val="clear" w:color="auto" w:fill="auto"/>
            <w:vAlign w:val="bottom"/>
            <w:hideMark/>
          </w:tcPr>
          <w:p w:rsidR="005729F5" w:rsidRPr="00FF4565" w:rsidRDefault="005729F5" w:rsidP="006D0874">
            <w:pPr>
              <w:spacing w:before="0" w:after="0"/>
              <w:jc w:val="right"/>
              <w:rPr>
                <w:rFonts w:cs="Arial"/>
                <w:color w:val="000000"/>
                <w:sz w:val="18"/>
                <w:szCs w:val="18"/>
              </w:rPr>
            </w:pPr>
            <w:r w:rsidRPr="00FF4565">
              <w:rPr>
                <w:rFonts w:cs="Arial"/>
                <w:color w:val="000000"/>
                <w:sz w:val="18"/>
                <w:szCs w:val="18"/>
              </w:rPr>
              <w:t>76,3</w:t>
            </w:r>
          </w:p>
        </w:tc>
        <w:tc>
          <w:tcPr>
            <w:tcW w:w="3402" w:type="dxa"/>
            <w:tcBorders>
              <w:top w:val="nil"/>
              <w:left w:val="nil"/>
              <w:bottom w:val="single" w:sz="4" w:space="0" w:color="auto"/>
              <w:right w:val="single" w:sz="4" w:space="0" w:color="auto"/>
            </w:tcBorders>
          </w:tcPr>
          <w:p w:rsidR="005729F5" w:rsidRPr="00FF4565" w:rsidRDefault="005729F5" w:rsidP="006D0874">
            <w:pPr>
              <w:spacing w:before="0" w:after="0"/>
              <w:jc w:val="right"/>
              <w:rPr>
                <w:rFonts w:cs="Arial"/>
                <w:color w:val="000000"/>
                <w:sz w:val="16"/>
                <w:szCs w:val="18"/>
              </w:rPr>
            </w:pPr>
          </w:p>
        </w:tc>
      </w:tr>
      <w:tr w:rsidR="005729F5" w:rsidRPr="00FF4565" w:rsidTr="006D0874">
        <w:trPr>
          <w:trHeight w:val="255"/>
        </w:trPr>
        <w:tc>
          <w:tcPr>
            <w:tcW w:w="202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5729F5" w:rsidRPr="00FF4565" w:rsidRDefault="005729F5" w:rsidP="006D0874">
            <w:pPr>
              <w:spacing w:before="0" w:after="0"/>
              <w:rPr>
                <w:rFonts w:cs="Arial"/>
                <w:color w:val="000000"/>
                <w:sz w:val="18"/>
                <w:szCs w:val="18"/>
              </w:rPr>
            </w:pPr>
            <w:r w:rsidRPr="00FF4565">
              <w:rPr>
                <w:rFonts w:cs="Arial"/>
                <w:color w:val="000000"/>
                <w:sz w:val="18"/>
                <w:szCs w:val="18"/>
              </w:rPr>
              <w:t>Gironès</w:t>
            </w:r>
          </w:p>
        </w:tc>
        <w:tc>
          <w:tcPr>
            <w:tcW w:w="1030" w:type="dxa"/>
            <w:tcBorders>
              <w:top w:val="nil"/>
              <w:left w:val="nil"/>
              <w:bottom w:val="single" w:sz="4" w:space="0" w:color="auto"/>
              <w:right w:val="single" w:sz="4" w:space="0" w:color="auto"/>
            </w:tcBorders>
            <w:shd w:val="clear" w:color="auto" w:fill="D9D9D9" w:themeFill="background1" w:themeFillShade="D9"/>
            <w:vAlign w:val="bottom"/>
            <w:hideMark/>
          </w:tcPr>
          <w:p w:rsidR="005729F5" w:rsidRPr="00FF4565" w:rsidRDefault="005729F5" w:rsidP="006D0874">
            <w:pPr>
              <w:spacing w:before="0" w:after="0"/>
              <w:jc w:val="right"/>
              <w:rPr>
                <w:rFonts w:cs="Arial"/>
                <w:color w:val="000000"/>
                <w:sz w:val="18"/>
                <w:szCs w:val="18"/>
              </w:rPr>
            </w:pPr>
            <w:r w:rsidRPr="00FF4565">
              <w:rPr>
                <w:rFonts w:cs="Arial"/>
                <w:color w:val="000000"/>
                <w:sz w:val="18"/>
                <w:szCs w:val="18"/>
              </w:rPr>
              <w:t>184.993</w:t>
            </w:r>
          </w:p>
        </w:tc>
        <w:tc>
          <w:tcPr>
            <w:tcW w:w="1360" w:type="dxa"/>
            <w:tcBorders>
              <w:top w:val="nil"/>
              <w:left w:val="nil"/>
              <w:bottom w:val="single" w:sz="4" w:space="0" w:color="auto"/>
              <w:right w:val="single" w:sz="4" w:space="0" w:color="auto"/>
            </w:tcBorders>
            <w:shd w:val="clear" w:color="auto" w:fill="D9D9D9" w:themeFill="background1" w:themeFillShade="D9"/>
            <w:vAlign w:val="bottom"/>
            <w:hideMark/>
          </w:tcPr>
          <w:p w:rsidR="005729F5" w:rsidRPr="00FF4565" w:rsidRDefault="005729F5" w:rsidP="006D0874">
            <w:pPr>
              <w:spacing w:before="0" w:after="0"/>
              <w:jc w:val="right"/>
              <w:rPr>
                <w:rFonts w:cs="Arial"/>
                <w:color w:val="000000"/>
                <w:sz w:val="18"/>
                <w:szCs w:val="18"/>
              </w:rPr>
            </w:pPr>
            <w:r w:rsidRPr="00FF4565">
              <w:rPr>
                <w:rFonts w:cs="Arial"/>
                <w:color w:val="000000"/>
                <w:sz w:val="18"/>
                <w:szCs w:val="18"/>
              </w:rPr>
              <w:t>575,6</w:t>
            </w:r>
          </w:p>
        </w:tc>
        <w:tc>
          <w:tcPr>
            <w:tcW w:w="1559" w:type="dxa"/>
            <w:tcBorders>
              <w:top w:val="nil"/>
              <w:left w:val="nil"/>
              <w:bottom w:val="single" w:sz="4" w:space="0" w:color="auto"/>
              <w:right w:val="single" w:sz="4" w:space="0" w:color="auto"/>
            </w:tcBorders>
            <w:shd w:val="clear" w:color="auto" w:fill="D9D9D9" w:themeFill="background1" w:themeFillShade="D9"/>
            <w:vAlign w:val="bottom"/>
            <w:hideMark/>
          </w:tcPr>
          <w:p w:rsidR="005729F5" w:rsidRPr="00FF4565" w:rsidRDefault="005729F5" w:rsidP="006D0874">
            <w:pPr>
              <w:spacing w:before="0" w:after="0"/>
              <w:jc w:val="right"/>
              <w:rPr>
                <w:rFonts w:cs="Arial"/>
                <w:color w:val="000000"/>
                <w:sz w:val="18"/>
                <w:szCs w:val="18"/>
              </w:rPr>
            </w:pPr>
            <w:r w:rsidRPr="00FF4565">
              <w:rPr>
                <w:rFonts w:cs="Arial"/>
                <w:color w:val="000000"/>
                <w:sz w:val="18"/>
                <w:szCs w:val="18"/>
              </w:rPr>
              <w:t>321,4</w:t>
            </w:r>
          </w:p>
        </w:tc>
        <w:tc>
          <w:tcPr>
            <w:tcW w:w="3402" w:type="dxa"/>
            <w:tcBorders>
              <w:top w:val="nil"/>
              <w:left w:val="nil"/>
              <w:bottom w:val="single" w:sz="4" w:space="0" w:color="auto"/>
              <w:right w:val="single" w:sz="4" w:space="0" w:color="auto"/>
            </w:tcBorders>
            <w:shd w:val="clear" w:color="auto" w:fill="D9D9D9" w:themeFill="background1" w:themeFillShade="D9"/>
          </w:tcPr>
          <w:p w:rsidR="005729F5" w:rsidRPr="00FF4565" w:rsidRDefault="005729F5" w:rsidP="006D0874">
            <w:pPr>
              <w:spacing w:before="0" w:after="0"/>
              <w:jc w:val="right"/>
              <w:rPr>
                <w:rFonts w:cs="Arial"/>
                <w:color w:val="000000"/>
                <w:sz w:val="16"/>
                <w:szCs w:val="18"/>
              </w:rPr>
            </w:pPr>
            <w:r w:rsidRPr="00FF4565">
              <w:rPr>
                <w:rFonts w:cs="Arial"/>
                <w:color w:val="000000"/>
                <w:sz w:val="16"/>
                <w:szCs w:val="18"/>
              </w:rPr>
              <w:t xml:space="preserve"> CO Girona</w:t>
            </w:r>
          </w:p>
        </w:tc>
      </w:tr>
      <w:tr w:rsidR="005729F5" w:rsidRPr="00FF4565" w:rsidTr="006D0874">
        <w:trPr>
          <w:trHeight w:val="255"/>
        </w:trPr>
        <w:tc>
          <w:tcPr>
            <w:tcW w:w="2020" w:type="dxa"/>
            <w:tcBorders>
              <w:top w:val="nil"/>
              <w:left w:val="single" w:sz="4" w:space="0" w:color="auto"/>
              <w:bottom w:val="single" w:sz="4" w:space="0" w:color="auto"/>
              <w:right w:val="single" w:sz="4" w:space="0" w:color="auto"/>
            </w:tcBorders>
            <w:shd w:val="clear" w:color="auto" w:fill="auto"/>
            <w:vAlign w:val="center"/>
            <w:hideMark/>
          </w:tcPr>
          <w:p w:rsidR="005729F5" w:rsidRPr="00FF4565" w:rsidRDefault="005729F5" w:rsidP="006D0874">
            <w:pPr>
              <w:spacing w:before="0" w:after="0"/>
              <w:rPr>
                <w:rFonts w:cs="Arial"/>
                <w:color w:val="000000"/>
                <w:sz w:val="18"/>
                <w:szCs w:val="18"/>
              </w:rPr>
            </w:pPr>
            <w:r w:rsidRPr="00FF4565">
              <w:rPr>
                <w:rFonts w:cs="Arial"/>
                <w:color w:val="000000"/>
                <w:sz w:val="18"/>
                <w:szCs w:val="18"/>
              </w:rPr>
              <w:t>Maresme</w:t>
            </w:r>
          </w:p>
        </w:tc>
        <w:tc>
          <w:tcPr>
            <w:tcW w:w="1030" w:type="dxa"/>
            <w:tcBorders>
              <w:top w:val="nil"/>
              <w:left w:val="nil"/>
              <w:bottom w:val="single" w:sz="4" w:space="0" w:color="auto"/>
              <w:right w:val="single" w:sz="4" w:space="0" w:color="auto"/>
            </w:tcBorders>
            <w:shd w:val="clear" w:color="auto" w:fill="auto"/>
            <w:vAlign w:val="bottom"/>
            <w:hideMark/>
          </w:tcPr>
          <w:p w:rsidR="005729F5" w:rsidRPr="00FF4565" w:rsidRDefault="005729F5" w:rsidP="006D0874">
            <w:pPr>
              <w:spacing w:before="0" w:after="0"/>
              <w:jc w:val="right"/>
              <w:rPr>
                <w:rFonts w:cs="Arial"/>
                <w:color w:val="000000"/>
                <w:sz w:val="18"/>
                <w:szCs w:val="18"/>
              </w:rPr>
            </w:pPr>
            <w:r w:rsidRPr="00FF4565">
              <w:rPr>
                <w:rFonts w:cs="Arial"/>
                <w:color w:val="000000"/>
                <w:sz w:val="18"/>
                <w:szCs w:val="18"/>
              </w:rPr>
              <w:t>439.512</w:t>
            </w:r>
          </w:p>
        </w:tc>
        <w:tc>
          <w:tcPr>
            <w:tcW w:w="1360" w:type="dxa"/>
            <w:tcBorders>
              <w:top w:val="nil"/>
              <w:left w:val="nil"/>
              <w:bottom w:val="single" w:sz="4" w:space="0" w:color="auto"/>
              <w:right w:val="single" w:sz="4" w:space="0" w:color="auto"/>
            </w:tcBorders>
            <w:shd w:val="clear" w:color="auto" w:fill="auto"/>
            <w:vAlign w:val="bottom"/>
            <w:hideMark/>
          </w:tcPr>
          <w:p w:rsidR="005729F5" w:rsidRPr="00FF4565" w:rsidRDefault="005729F5" w:rsidP="006D0874">
            <w:pPr>
              <w:spacing w:before="0" w:after="0"/>
              <w:jc w:val="right"/>
              <w:rPr>
                <w:rFonts w:cs="Arial"/>
                <w:color w:val="000000"/>
                <w:sz w:val="18"/>
                <w:szCs w:val="18"/>
              </w:rPr>
            </w:pPr>
            <w:r w:rsidRPr="00FF4565">
              <w:rPr>
                <w:rFonts w:cs="Arial"/>
                <w:color w:val="000000"/>
                <w:sz w:val="18"/>
                <w:szCs w:val="18"/>
              </w:rPr>
              <w:t>398,5</w:t>
            </w:r>
          </w:p>
        </w:tc>
        <w:tc>
          <w:tcPr>
            <w:tcW w:w="1559" w:type="dxa"/>
            <w:tcBorders>
              <w:top w:val="nil"/>
              <w:left w:val="nil"/>
              <w:bottom w:val="single" w:sz="4" w:space="0" w:color="auto"/>
              <w:right w:val="single" w:sz="4" w:space="0" w:color="auto"/>
            </w:tcBorders>
            <w:shd w:val="clear" w:color="auto" w:fill="auto"/>
            <w:vAlign w:val="bottom"/>
            <w:hideMark/>
          </w:tcPr>
          <w:p w:rsidR="005729F5" w:rsidRPr="00FF4565" w:rsidRDefault="005729F5" w:rsidP="006D0874">
            <w:pPr>
              <w:spacing w:before="0" w:after="0"/>
              <w:jc w:val="right"/>
              <w:rPr>
                <w:rFonts w:cs="Arial"/>
                <w:color w:val="000000"/>
                <w:sz w:val="18"/>
                <w:szCs w:val="18"/>
              </w:rPr>
            </w:pPr>
            <w:r w:rsidRPr="00FF4565">
              <w:rPr>
                <w:rFonts w:cs="Arial"/>
                <w:color w:val="000000"/>
                <w:sz w:val="18"/>
                <w:szCs w:val="18"/>
              </w:rPr>
              <w:t>1.102,80</w:t>
            </w:r>
          </w:p>
        </w:tc>
        <w:tc>
          <w:tcPr>
            <w:tcW w:w="3402" w:type="dxa"/>
            <w:tcBorders>
              <w:top w:val="nil"/>
              <w:left w:val="nil"/>
              <w:bottom w:val="single" w:sz="4" w:space="0" w:color="auto"/>
              <w:right w:val="single" w:sz="4" w:space="0" w:color="auto"/>
            </w:tcBorders>
          </w:tcPr>
          <w:p w:rsidR="005729F5" w:rsidRPr="00FF4565" w:rsidRDefault="005729F5" w:rsidP="006D0874">
            <w:pPr>
              <w:spacing w:before="0" w:after="0"/>
              <w:jc w:val="right"/>
              <w:rPr>
                <w:rFonts w:cs="Arial"/>
                <w:color w:val="000000"/>
                <w:sz w:val="16"/>
                <w:szCs w:val="18"/>
              </w:rPr>
            </w:pPr>
          </w:p>
        </w:tc>
      </w:tr>
      <w:tr w:rsidR="005729F5" w:rsidRPr="00FF4565" w:rsidTr="006D0874">
        <w:trPr>
          <w:trHeight w:val="255"/>
        </w:trPr>
        <w:tc>
          <w:tcPr>
            <w:tcW w:w="2020" w:type="dxa"/>
            <w:tcBorders>
              <w:top w:val="nil"/>
              <w:left w:val="single" w:sz="4" w:space="0" w:color="auto"/>
              <w:bottom w:val="single" w:sz="4" w:space="0" w:color="auto"/>
              <w:right w:val="single" w:sz="4" w:space="0" w:color="auto"/>
            </w:tcBorders>
            <w:shd w:val="clear" w:color="auto" w:fill="auto"/>
            <w:vAlign w:val="center"/>
            <w:hideMark/>
          </w:tcPr>
          <w:p w:rsidR="005729F5" w:rsidRPr="00FF4565" w:rsidRDefault="005729F5" w:rsidP="006D0874">
            <w:pPr>
              <w:spacing w:before="0" w:after="0"/>
              <w:rPr>
                <w:rFonts w:cs="Arial"/>
                <w:color w:val="000000"/>
                <w:sz w:val="18"/>
                <w:szCs w:val="18"/>
              </w:rPr>
            </w:pPr>
            <w:r w:rsidRPr="00FF4565">
              <w:rPr>
                <w:rFonts w:cs="Arial"/>
                <w:color w:val="000000"/>
                <w:sz w:val="18"/>
                <w:szCs w:val="18"/>
              </w:rPr>
              <w:t>Moianès</w:t>
            </w:r>
          </w:p>
        </w:tc>
        <w:tc>
          <w:tcPr>
            <w:tcW w:w="1030" w:type="dxa"/>
            <w:tcBorders>
              <w:top w:val="nil"/>
              <w:left w:val="nil"/>
              <w:bottom w:val="single" w:sz="4" w:space="0" w:color="auto"/>
              <w:right w:val="single" w:sz="4" w:space="0" w:color="auto"/>
            </w:tcBorders>
            <w:shd w:val="clear" w:color="auto" w:fill="auto"/>
            <w:vAlign w:val="bottom"/>
            <w:hideMark/>
          </w:tcPr>
          <w:p w:rsidR="005729F5" w:rsidRPr="00FF4565" w:rsidRDefault="005729F5" w:rsidP="006D0874">
            <w:pPr>
              <w:spacing w:before="0" w:after="0"/>
              <w:jc w:val="right"/>
              <w:rPr>
                <w:rFonts w:cs="Arial"/>
                <w:color w:val="000000"/>
                <w:sz w:val="18"/>
                <w:szCs w:val="18"/>
              </w:rPr>
            </w:pPr>
            <w:r w:rsidRPr="00FF4565">
              <w:rPr>
                <w:rFonts w:cs="Arial"/>
                <w:color w:val="000000"/>
                <w:sz w:val="18"/>
                <w:szCs w:val="18"/>
              </w:rPr>
              <w:t>13.098</w:t>
            </w:r>
          </w:p>
        </w:tc>
        <w:tc>
          <w:tcPr>
            <w:tcW w:w="1360" w:type="dxa"/>
            <w:tcBorders>
              <w:top w:val="nil"/>
              <w:left w:val="nil"/>
              <w:bottom w:val="single" w:sz="4" w:space="0" w:color="auto"/>
              <w:right w:val="single" w:sz="4" w:space="0" w:color="auto"/>
            </w:tcBorders>
            <w:shd w:val="clear" w:color="auto" w:fill="auto"/>
            <w:vAlign w:val="bottom"/>
            <w:hideMark/>
          </w:tcPr>
          <w:p w:rsidR="005729F5" w:rsidRPr="00FF4565" w:rsidRDefault="005729F5" w:rsidP="006D0874">
            <w:pPr>
              <w:spacing w:before="0" w:after="0"/>
              <w:jc w:val="right"/>
              <w:rPr>
                <w:rFonts w:cs="Arial"/>
                <w:color w:val="000000"/>
                <w:sz w:val="18"/>
                <w:szCs w:val="18"/>
              </w:rPr>
            </w:pPr>
            <w:r w:rsidRPr="00FF4565">
              <w:rPr>
                <w:rFonts w:cs="Arial"/>
                <w:color w:val="000000"/>
                <w:sz w:val="18"/>
                <w:szCs w:val="18"/>
              </w:rPr>
              <w:t>337,9</w:t>
            </w:r>
          </w:p>
        </w:tc>
        <w:tc>
          <w:tcPr>
            <w:tcW w:w="1559" w:type="dxa"/>
            <w:tcBorders>
              <w:top w:val="nil"/>
              <w:left w:val="nil"/>
              <w:bottom w:val="single" w:sz="4" w:space="0" w:color="auto"/>
              <w:right w:val="single" w:sz="4" w:space="0" w:color="auto"/>
            </w:tcBorders>
            <w:shd w:val="clear" w:color="auto" w:fill="auto"/>
            <w:vAlign w:val="bottom"/>
            <w:hideMark/>
          </w:tcPr>
          <w:p w:rsidR="005729F5" w:rsidRPr="00FF4565" w:rsidRDefault="005729F5" w:rsidP="006D0874">
            <w:pPr>
              <w:spacing w:before="0" w:after="0"/>
              <w:jc w:val="right"/>
              <w:rPr>
                <w:rFonts w:cs="Arial"/>
                <w:color w:val="000000"/>
                <w:sz w:val="18"/>
                <w:szCs w:val="18"/>
              </w:rPr>
            </w:pPr>
            <w:r w:rsidRPr="00FF4565">
              <w:rPr>
                <w:rFonts w:cs="Arial"/>
                <w:color w:val="000000"/>
                <w:sz w:val="18"/>
                <w:szCs w:val="18"/>
              </w:rPr>
              <w:t>38,8</w:t>
            </w:r>
          </w:p>
        </w:tc>
        <w:tc>
          <w:tcPr>
            <w:tcW w:w="3402" w:type="dxa"/>
            <w:tcBorders>
              <w:top w:val="nil"/>
              <w:left w:val="nil"/>
              <w:bottom w:val="single" w:sz="4" w:space="0" w:color="auto"/>
              <w:right w:val="single" w:sz="4" w:space="0" w:color="auto"/>
            </w:tcBorders>
          </w:tcPr>
          <w:p w:rsidR="005729F5" w:rsidRPr="00FF4565" w:rsidRDefault="005729F5" w:rsidP="006D0874">
            <w:pPr>
              <w:spacing w:before="0" w:after="0"/>
              <w:jc w:val="right"/>
              <w:rPr>
                <w:rFonts w:cs="Arial"/>
                <w:color w:val="000000"/>
                <w:sz w:val="16"/>
                <w:szCs w:val="18"/>
              </w:rPr>
            </w:pPr>
          </w:p>
        </w:tc>
      </w:tr>
      <w:tr w:rsidR="005729F5" w:rsidRPr="00FF4565" w:rsidTr="006D0874">
        <w:trPr>
          <w:trHeight w:val="255"/>
        </w:trPr>
        <w:tc>
          <w:tcPr>
            <w:tcW w:w="2020" w:type="dxa"/>
            <w:tcBorders>
              <w:top w:val="nil"/>
              <w:left w:val="single" w:sz="4" w:space="0" w:color="auto"/>
              <w:bottom w:val="single" w:sz="4" w:space="0" w:color="auto"/>
              <w:right w:val="single" w:sz="4" w:space="0" w:color="auto"/>
            </w:tcBorders>
            <w:shd w:val="clear" w:color="auto" w:fill="auto"/>
            <w:vAlign w:val="center"/>
            <w:hideMark/>
          </w:tcPr>
          <w:p w:rsidR="005729F5" w:rsidRPr="00FF4565" w:rsidRDefault="005729F5" w:rsidP="006D0874">
            <w:pPr>
              <w:spacing w:before="0" w:after="0"/>
              <w:rPr>
                <w:rFonts w:cs="Arial"/>
                <w:color w:val="000000"/>
                <w:sz w:val="18"/>
                <w:szCs w:val="18"/>
              </w:rPr>
            </w:pPr>
            <w:r w:rsidRPr="00FF4565">
              <w:rPr>
                <w:rFonts w:cs="Arial"/>
                <w:color w:val="000000"/>
                <w:sz w:val="18"/>
                <w:szCs w:val="18"/>
              </w:rPr>
              <w:t>Montsià</w:t>
            </w:r>
          </w:p>
        </w:tc>
        <w:tc>
          <w:tcPr>
            <w:tcW w:w="1030" w:type="dxa"/>
            <w:tcBorders>
              <w:top w:val="nil"/>
              <w:left w:val="nil"/>
              <w:bottom w:val="single" w:sz="4" w:space="0" w:color="auto"/>
              <w:right w:val="single" w:sz="4" w:space="0" w:color="auto"/>
            </w:tcBorders>
            <w:shd w:val="clear" w:color="auto" w:fill="auto"/>
            <w:vAlign w:val="bottom"/>
            <w:hideMark/>
          </w:tcPr>
          <w:p w:rsidR="005729F5" w:rsidRPr="00FF4565" w:rsidRDefault="005729F5" w:rsidP="006D0874">
            <w:pPr>
              <w:spacing w:before="0" w:after="0"/>
              <w:jc w:val="right"/>
              <w:rPr>
                <w:rFonts w:cs="Arial"/>
                <w:color w:val="000000"/>
                <w:sz w:val="18"/>
                <w:szCs w:val="18"/>
              </w:rPr>
            </w:pPr>
            <w:r w:rsidRPr="00FF4565">
              <w:rPr>
                <w:rFonts w:cs="Arial"/>
                <w:color w:val="000000"/>
                <w:sz w:val="18"/>
                <w:szCs w:val="18"/>
              </w:rPr>
              <w:t>68.524</w:t>
            </w:r>
          </w:p>
        </w:tc>
        <w:tc>
          <w:tcPr>
            <w:tcW w:w="1360" w:type="dxa"/>
            <w:tcBorders>
              <w:top w:val="nil"/>
              <w:left w:val="nil"/>
              <w:bottom w:val="single" w:sz="4" w:space="0" w:color="auto"/>
              <w:right w:val="single" w:sz="4" w:space="0" w:color="auto"/>
            </w:tcBorders>
            <w:shd w:val="clear" w:color="auto" w:fill="auto"/>
            <w:vAlign w:val="bottom"/>
            <w:hideMark/>
          </w:tcPr>
          <w:p w:rsidR="005729F5" w:rsidRPr="00FF4565" w:rsidRDefault="005729F5" w:rsidP="006D0874">
            <w:pPr>
              <w:spacing w:before="0" w:after="0"/>
              <w:jc w:val="right"/>
              <w:rPr>
                <w:rFonts w:cs="Arial"/>
                <w:color w:val="000000"/>
                <w:sz w:val="18"/>
                <w:szCs w:val="18"/>
              </w:rPr>
            </w:pPr>
            <w:r w:rsidRPr="00FF4565">
              <w:rPr>
                <w:rFonts w:cs="Arial"/>
                <w:color w:val="000000"/>
                <w:sz w:val="18"/>
                <w:szCs w:val="18"/>
              </w:rPr>
              <w:t>735,4</w:t>
            </w:r>
          </w:p>
        </w:tc>
        <w:tc>
          <w:tcPr>
            <w:tcW w:w="1559" w:type="dxa"/>
            <w:tcBorders>
              <w:top w:val="nil"/>
              <w:left w:val="nil"/>
              <w:bottom w:val="single" w:sz="4" w:space="0" w:color="auto"/>
              <w:right w:val="single" w:sz="4" w:space="0" w:color="auto"/>
            </w:tcBorders>
            <w:shd w:val="clear" w:color="auto" w:fill="auto"/>
            <w:vAlign w:val="bottom"/>
            <w:hideMark/>
          </w:tcPr>
          <w:p w:rsidR="005729F5" w:rsidRPr="00FF4565" w:rsidRDefault="005729F5" w:rsidP="006D0874">
            <w:pPr>
              <w:spacing w:before="0" w:after="0"/>
              <w:jc w:val="right"/>
              <w:rPr>
                <w:rFonts w:cs="Arial"/>
                <w:color w:val="000000"/>
                <w:sz w:val="18"/>
                <w:szCs w:val="18"/>
              </w:rPr>
            </w:pPr>
            <w:r w:rsidRPr="00FF4565">
              <w:rPr>
                <w:rFonts w:cs="Arial"/>
                <w:color w:val="000000"/>
                <w:sz w:val="18"/>
                <w:szCs w:val="18"/>
              </w:rPr>
              <w:t>93,2</w:t>
            </w:r>
          </w:p>
        </w:tc>
        <w:tc>
          <w:tcPr>
            <w:tcW w:w="3402" w:type="dxa"/>
            <w:tcBorders>
              <w:top w:val="nil"/>
              <w:left w:val="nil"/>
              <w:bottom w:val="single" w:sz="4" w:space="0" w:color="auto"/>
              <w:right w:val="single" w:sz="4" w:space="0" w:color="auto"/>
            </w:tcBorders>
          </w:tcPr>
          <w:p w:rsidR="005729F5" w:rsidRPr="00FF4565" w:rsidRDefault="005729F5" w:rsidP="006D0874">
            <w:pPr>
              <w:spacing w:before="0" w:after="0"/>
              <w:jc w:val="right"/>
              <w:rPr>
                <w:rFonts w:cs="Arial"/>
                <w:color w:val="000000"/>
                <w:sz w:val="16"/>
                <w:szCs w:val="18"/>
              </w:rPr>
            </w:pPr>
          </w:p>
        </w:tc>
      </w:tr>
      <w:tr w:rsidR="005729F5" w:rsidRPr="00FF4565" w:rsidTr="006D0874">
        <w:trPr>
          <w:trHeight w:val="255"/>
        </w:trPr>
        <w:tc>
          <w:tcPr>
            <w:tcW w:w="2020" w:type="dxa"/>
            <w:tcBorders>
              <w:top w:val="nil"/>
              <w:left w:val="single" w:sz="4" w:space="0" w:color="auto"/>
              <w:bottom w:val="single" w:sz="4" w:space="0" w:color="auto"/>
              <w:right w:val="single" w:sz="4" w:space="0" w:color="auto"/>
            </w:tcBorders>
            <w:shd w:val="clear" w:color="auto" w:fill="auto"/>
            <w:vAlign w:val="center"/>
            <w:hideMark/>
          </w:tcPr>
          <w:p w:rsidR="005729F5" w:rsidRPr="00FF4565" w:rsidRDefault="005729F5" w:rsidP="006D0874">
            <w:pPr>
              <w:spacing w:before="0" w:after="0"/>
              <w:rPr>
                <w:rFonts w:cs="Arial"/>
                <w:color w:val="000000"/>
                <w:sz w:val="18"/>
                <w:szCs w:val="18"/>
              </w:rPr>
            </w:pPr>
            <w:r w:rsidRPr="00FF4565">
              <w:rPr>
                <w:rFonts w:cs="Arial"/>
                <w:color w:val="000000"/>
                <w:sz w:val="18"/>
                <w:szCs w:val="18"/>
              </w:rPr>
              <w:t>Noguera</w:t>
            </w:r>
          </w:p>
        </w:tc>
        <w:tc>
          <w:tcPr>
            <w:tcW w:w="1030" w:type="dxa"/>
            <w:tcBorders>
              <w:top w:val="nil"/>
              <w:left w:val="nil"/>
              <w:bottom w:val="single" w:sz="4" w:space="0" w:color="auto"/>
              <w:right w:val="single" w:sz="4" w:space="0" w:color="auto"/>
            </w:tcBorders>
            <w:shd w:val="clear" w:color="auto" w:fill="auto"/>
            <w:vAlign w:val="bottom"/>
            <w:hideMark/>
          </w:tcPr>
          <w:p w:rsidR="005729F5" w:rsidRPr="00FF4565" w:rsidRDefault="005729F5" w:rsidP="006D0874">
            <w:pPr>
              <w:spacing w:before="0" w:after="0"/>
              <w:jc w:val="right"/>
              <w:rPr>
                <w:rFonts w:cs="Arial"/>
                <w:color w:val="000000"/>
                <w:sz w:val="18"/>
                <w:szCs w:val="18"/>
              </w:rPr>
            </w:pPr>
            <w:r w:rsidRPr="00FF4565">
              <w:rPr>
                <w:rFonts w:cs="Arial"/>
                <w:color w:val="000000"/>
                <w:sz w:val="18"/>
                <w:szCs w:val="18"/>
              </w:rPr>
              <w:t>39.109</w:t>
            </w:r>
          </w:p>
        </w:tc>
        <w:tc>
          <w:tcPr>
            <w:tcW w:w="1360" w:type="dxa"/>
            <w:tcBorders>
              <w:top w:val="nil"/>
              <w:left w:val="nil"/>
              <w:bottom w:val="single" w:sz="4" w:space="0" w:color="auto"/>
              <w:right w:val="single" w:sz="4" w:space="0" w:color="auto"/>
            </w:tcBorders>
            <w:shd w:val="clear" w:color="auto" w:fill="auto"/>
            <w:vAlign w:val="bottom"/>
            <w:hideMark/>
          </w:tcPr>
          <w:p w:rsidR="005729F5" w:rsidRPr="00FF4565" w:rsidRDefault="005729F5" w:rsidP="006D0874">
            <w:pPr>
              <w:spacing w:before="0" w:after="0"/>
              <w:jc w:val="right"/>
              <w:rPr>
                <w:rFonts w:cs="Arial"/>
                <w:color w:val="000000"/>
                <w:sz w:val="18"/>
                <w:szCs w:val="18"/>
              </w:rPr>
            </w:pPr>
            <w:r w:rsidRPr="00FF4565">
              <w:rPr>
                <w:rFonts w:cs="Arial"/>
                <w:color w:val="000000"/>
                <w:sz w:val="18"/>
                <w:szCs w:val="18"/>
              </w:rPr>
              <w:t>1.784,10</w:t>
            </w:r>
          </w:p>
        </w:tc>
        <w:tc>
          <w:tcPr>
            <w:tcW w:w="1559" w:type="dxa"/>
            <w:tcBorders>
              <w:top w:val="nil"/>
              <w:left w:val="nil"/>
              <w:bottom w:val="single" w:sz="4" w:space="0" w:color="auto"/>
              <w:right w:val="single" w:sz="4" w:space="0" w:color="auto"/>
            </w:tcBorders>
            <w:shd w:val="clear" w:color="auto" w:fill="auto"/>
            <w:vAlign w:val="bottom"/>
            <w:hideMark/>
          </w:tcPr>
          <w:p w:rsidR="005729F5" w:rsidRPr="00FF4565" w:rsidRDefault="005729F5" w:rsidP="006D0874">
            <w:pPr>
              <w:spacing w:before="0" w:after="0"/>
              <w:jc w:val="right"/>
              <w:rPr>
                <w:rFonts w:cs="Arial"/>
                <w:color w:val="000000"/>
                <w:sz w:val="18"/>
                <w:szCs w:val="18"/>
              </w:rPr>
            </w:pPr>
            <w:r w:rsidRPr="00FF4565">
              <w:rPr>
                <w:rFonts w:cs="Arial"/>
                <w:color w:val="000000"/>
                <w:sz w:val="18"/>
                <w:szCs w:val="18"/>
              </w:rPr>
              <w:t>21,9</w:t>
            </w:r>
          </w:p>
        </w:tc>
        <w:tc>
          <w:tcPr>
            <w:tcW w:w="3402" w:type="dxa"/>
            <w:tcBorders>
              <w:top w:val="nil"/>
              <w:left w:val="nil"/>
              <w:bottom w:val="single" w:sz="4" w:space="0" w:color="auto"/>
              <w:right w:val="single" w:sz="4" w:space="0" w:color="auto"/>
            </w:tcBorders>
          </w:tcPr>
          <w:p w:rsidR="005729F5" w:rsidRPr="00FF4565" w:rsidRDefault="005729F5" w:rsidP="006D0874">
            <w:pPr>
              <w:spacing w:before="0" w:after="0"/>
              <w:jc w:val="right"/>
              <w:rPr>
                <w:rFonts w:cs="Arial"/>
                <w:color w:val="000000"/>
                <w:sz w:val="16"/>
                <w:szCs w:val="18"/>
              </w:rPr>
            </w:pPr>
          </w:p>
        </w:tc>
      </w:tr>
      <w:tr w:rsidR="005729F5" w:rsidRPr="00FF4565" w:rsidTr="006D0874">
        <w:trPr>
          <w:trHeight w:val="255"/>
        </w:trPr>
        <w:tc>
          <w:tcPr>
            <w:tcW w:w="2020" w:type="dxa"/>
            <w:tcBorders>
              <w:top w:val="nil"/>
              <w:left w:val="single" w:sz="4" w:space="0" w:color="auto"/>
              <w:bottom w:val="single" w:sz="4" w:space="0" w:color="auto"/>
              <w:right w:val="single" w:sz="4" w:space="0" w:color="auto"/>
            </w:tcBorders>
            <w:shd w:val="clear" w:color="auto" w:fill="auto"/>
            <w:vAlign w:val="center"/>
            <w:hideMark/>
          </w:tcPr>
          <w:p w:rsidR="005729F5" w:rsidRPr="00FF4565" w:rsidRDefault="005729F5" w:rsidP="006D0874">
            <w:pPr>
              <w:spacing w:before="0" w:after="0"/>
              <w:rPr>
                <w:rFonts w:cs="Arial"/>
                <w:color w:val="000000"/>
                <w:sz w:val="18"/>
                <w:szCs w:val="18"/>
              </w:rPr>
            </w:pPr>
            <w:r w:rsidRPr="00FF4565">
              <w:rPr>
                <w:rFonts w:cs="Arial"/>
                <w:color w:val="000000"/>
                <w:sz w:val="18"/>
                <w:szCs w:val="18"/>
              </w:rPr>
              <w:t>Osona</w:t>
            </w:r>
          </w:p>
        </w:tc>
        <w:tc>
          <w:tcPr>
            <w:tcW w:w="1030" w:type="dxa"/>
            <w:tcBorders>
              <w:top w:val="nil"/>
              <w:left w:val="nil"/>
              <w:bottom w:val="single" w:sz="4" w:space="0" w:color="auto"/>
              <w:right w:val="single" w:sz="4" w:space="0" w:color="auto"/>
            </w:tcBorders>
            <w:shd w:val="clear" w:color="auto" w:fill="auto"/>
            <w:vAlign w:val="bottom"/>
            <w:hideMark/>
          </w:tcPr>
          <w:p w:rsidR="005729F5" w:rsidRPr="00FF4565" w:rsidRDefault="005729F5" w:rsidP="006D0874">
            <w:pPr>
              <w:spacing w:before="0" w:after="0"/>
              <w:jc w:val="right"/>
              <w:rPr>
                <w:rFonts w:cs="Arial"/>
                <w:color w:val="000000"/>
                <w:sz w:val="18"/>
                <w:szCs w:val="18"/>
              </w:rPr>
            </w:pPr>
            <w:r w:rsidRPr="00FF4565">
              <w:rPr>
                <w:rFonts w:cs="Arial"/>
                <w:color w:val="000000"/>
                <w:sz w:val="18"/>
                <w:szCs w:val="18"/>
              </w:rPr>
              <w:t>154.925</w:t>
            </w:r>
          </w:p>
        </w:tc>
        <w:tc>
          <w:tcPr>
            <w:tcW w:w="1360" w:type="dxa"/>
            <w:tcBorders>
              <w:top w:val="nil"/>
              <w:left w:val="nil"/>
              <w:bottom w:val="single" w:sz="4" w:space="0" w:color="auto"/>
              <w:right w:val="single" w:sz="4" w:space="0" w:color="auto"/>
            </w:tcBorders>
            <w:shd w:val="clear" w:color="auto" w:fill="auto"/>
            <w:vAlign w:val="bottom"/>
            <w:hideMark/>
          </w:tcPr>
          <w:p w:rsidR="005729F5" w:rsidRPr="00FF4565" w:rsidRDefault="005729F5" w:rsidP="006D0874">
            <w:pPr>
              <w:spacing w:before="0" w:after="0"/>
              <w:jc w:val="right"/>
              <w:rPr>
                <w:rFonts w:cs="Arial"/>
                <w:color w:val="000000"/>
                <w:sz w:val="18"/>
                <w:szCs w:val="18"/>
              </w:rPr>
            </w:pPr>
            <w:r w:rsidRPr="00FF4565">
              <w:rPr>
                <w:rFonts w:cs="Arial"/>
                <w:color w:val="000000"/>
                <w:sz w:val="18"/>
                <w:szCs w:val="18"/>
              </w:rPr>
              <w:t>1.245,20</w:t>
            </w:r>
          </w:p>
        </w:tc>
        <w:tc>
          <w:tcPr>
            <w:tcW w:w="1559" w:type="dxa"/>
            <w:tcBorders>
              <w:top w:val="nil"/>
              <w:left w:val="nil"/>
              <w:bottom w:val="single" w:sz="4" w:space="0" w:color="auto"/>
              <w:right w:val="single" w:sz="4" w:space="0" w:color="auto"/>
            </w:tcBorders>
            <w:shd w:val="clear" w:color="auto" w:fill="auto"/>
            <w:vAlign w:val="bottom"/>
            <w:hideMark/>
          </w:tcPr>
          <w:p w:rsidR="005729F5" w:rsidRPr="00FF4565" w:rsidRDefault="005729F5" w:rsidP="006D0874">
            <w:pPr>
              <w:spacing w:before="0" w:after="0"/>
              <w:jc w:val="right"/>
              <w:rPr>
                <w:rFonts w:cs="Arial"/>
                <w:color w:val="000000"/>
                <w:sz w:val="18"/>
                <w:szCs w:val="18"/>
              </w:rPr>
            </w:pPr>
            <w:r w:rsidRPr="00FF4565">
              <w:rPr>
                <w:rFonts w:cs="Arial"/>
                <w:color w:val="000000"/>
                <w:sz w:val="18"/>
                <w:szCs w:val="18"/>
              </w:rPr>
              <w:t>124,4</w:t>
            </w:r>
          </w:p>
        </w:tc>
        <w:tc>
          <w:tcPr>
            <w:tcW w:w="3402" w:type="dxa"/>
            <w:tcBorders>
              <w:top w:val="nil"/>
              <w:left w:val="nil"/>
              <w:bottom w:val="single" w:sz="4" w:space="0" w:color="auto"/>
              <w:right w:val="single" w:sz="4" w:space="0" w:color="auto"/>
            </w:tcBorders>
          </w:tcPr>
          <w:p w:rsidR="005729F5" w:rsidRPr="00FF4565" w:rsidRDefault="005729F5" w:rsidP="006D0874">
            <w:pPr>
              <w:spacing w:before="0" w:after="0"/>
              <w:jc w:val="right"/>
              <w:rPr>
                <w:rFonts w:cs="Arial"/>
                <w:color w:val="000000"/>
                <w:sz w:val="16"/>
                <w:szCs w:val="18"/>
              </w:rPr>
            </w:pPr>
          </w:p>
        </w:tc>
      </w:tr>
      <w:tr w:rsidR="005729F5" w:rsidRPr="00FF4565" w:rsidTr="006D0874">
        <w:trPr>
          <w:trHeight w:val="255"/>
        </w:trPr>
        <w:tc>
          <w:tcPr>
            <w:tcW w:w="2020" w:type="dxa"/>
            <w:tcBorders>
              <w:top w:val="nil"/>
              <w:left w:val="single" w:sz="4" w:space="0" w:color="auto"/>
              <w:bottom w:val="single" w:sz="4" w:space="0" w:color="auto"/>
              <w:right w:val="single" w:sz="4" w:space="0" w:color="auto"/>
            </w:tcBorders>
            <w:shd w:val="clear" w:color="auto" w:fill="auto"/>
            <w:vAlign w:val="center"/>
            <w:hideMark/>
          </w:tcPr>
          <w:p w:rsidR="005729F5" w:rsidRPr="00FF4565" w:rsidRDefault="005729F5" w:rsidP="006D0874">
            <w:pPr>
              <w:spacing w:before="0" w:after="0"/>
              <w:rPr>
                <w:rFonts w:cs="Arial"/>
                <w:color w:val="000000"/>
                <w:sz w:val="18"/>
                <w:szCs w:val="18"/>
              </w:rPr>
            </w:pPr>
            <w:r w:rsidRPr="00FF4565">
              <w:rPr>
                <w:rFonts w:cs="Arial"/>
                <w:color w:val="000000"/>
                <w:sz w:val="18"/>
                <w:szCs w:val="18"/>
              </w:rPr>
              <w:t>Pallars Jussà</w:t>
            </w:r>
          </w:p>
        </w:tc>
        <w:tc>
          <w:tcPr>
            <w:tcW w:w="1030" w:type="dxa"/>
            <w:tcBorders>
              <w:top w:val="nil"/>
              <w:left w:val="nil"/>
              <w:bottom w:val="single" w:sz="4" w:space="0" w:color="auto"/>
              <w:right w:val="single" w:sz="4" w:space="0" w:color="auto"/>
            </w:tcBorders>
            <w:shd w:val="clear" w:color="auto" w:fill="auto"/>
            <w:vAlign w:val="bottom"/>
            <w:hideMark/>
          </w:tcPr>
          <w:p w:rsidR="005729F5" w:rsidRPr="00FF4565" w:rsidRDefault="005729F5" w:rsidP="006D0874">
            <w:pPr>
              <w:spacing w:before="0" w:after="0"/>
              <w:jc w:val="right"/>
              <w:rPr>
                <w:rFonts w:cs="Arial"/>
                <w:color w:val="000000"/>
                <w:sz w:val="18"/>
                <w:szCs w:val="18"/>
              </w:rPr>
            </w:pPr>
            <w:r w:rsidRPr="00FF4565">
              <w:rPr>
                <w:rFonts w:cs="Arial"/>
                <w:color w:val="000000"/>
                <w:sz w:val="18"/>
                <w:szCs w:val="18"/>
              </w:rPr>
              <w:t>13.609</w:t>
            </w:r>
          </w:p>
        </w:tc>
        <w:tc>
          <w:tcPr>
            <w:tcW w:w="1360" w:type="dxa"/>
            <w:tcBorders>
              <w:top w:val="nil"/>
              <w:left w:val="nil"/>
              <w:bottom w:val="single" w:sz="4" w:space="0" w:color="auto"/>
              <w:right w:val="single" w:sz="4" w:space="0" w:color="auto"/>
            </w:tcBorders>
            <w:shd w:val="clear" w:color="auto" w:fill="auto"/>
            <w:vAlign w:val="bottom"/>
            <w:hideMark/>
          </w:tcPr>
          <w:p w:rsidR="005729F5" w:rsidRPr="00FF4565" w:rsidRDefault="005729F5" w:rsidP="006D0874">
            <w:pPr>
              <w:spacing w:before="0" w:after="0"/>
              <w:jc w:val="right"/>
              <w:rPr>
                <w:rFonts w:cs="Arial"/>
                <w:color w:val="000000"/>
                <w:sz w:val="18"/>
                <w:szCs w:val="18"/>
              </w:rPr>
            </w:pPr>
            <w:r w:rsidRPr="00FF4565">
              <w:rPr>
                <w:rFonts w:cs="Arial"/>
                <w:color w:val="000000"/>
                <w:sz w:val="18"/>
                <w:szCs w:val="18"/>
              </w:rPr>
              <w:t>1.343,10</w:t>
            </w:r>
          </w:p>
        </w:tc>
        <w:tc>
          <w:tcPr>
            <w:tcW w:w="1559" w:type="dxa"/>
            <w:tcBorders>
              <w:top w:val="nil"/>
              <w:left w:val="nil"/>
              <w:bottom w:val="single" w:sz="4" w:space="0" w:color="auto"/>
              <w:right w:val="single" w:sz="4" w:space="0" w:color="auto"/>
            </w:tcBorders>
            <w:shd w:val="clear" w:color="auto" w:fill="auto"/>
            <w:vAlign w:val="bottom"/>
            <w:hideMark/>
          </w:tcPr>
          <w:p w:rsidR="005729F5" w:rsidRPr="00FF4565" w:rsidRDefault="005729F5" w:rsidP="006D0874">
            <w:pPr>
              <w:spacing w:before="0" w:after="0"/>
              <w:jc w:val="right"/>
              <w:rPr>
                <w:rFonts w:cs="Arial"/>
                <w:color w:val="000000"/>
                <w:sz w:val="18"/>
                <w:szCs w:val="18"/>
              </w:rPr>
            </w:pPr>
            <w:r w:rsidRPr="00FF4565">
              <w:rPr>
                <w:rFonts w:cs="Arial"/>
                <w:color w:val="000000"/>
                <w:sz w:val="18"/>
                <w:szCs w:val="18"/>
              </w:rPr>
              <w:t>10,1</w:t>
            </w:r>
          </w:p>
        </w:tc>
        <w:tc>
          <w:tcPr>
            <w:tcW w:w="3402" w:type="dxa"/>
            <w:tcBorders>
              <w:top w:val="nil"/>
              <w:left w:val="nil"/>
              <w:bottom w:val="single" w:sz="4" w:space="0" w:color="auto"/>
              <w:right w:val="single" w:sz="4" w:space="0" w:color="auto"/>
            </w:tcBorders>
          </w:tcPr>
          <w:p w:rsidR="005729F5" w:rsidRPr="00FF4565" w:rsidRDefault="005729F5" w:rsidP="006D0874">
            <w:pPr>
              <w:spacing w:before="0" w:after="0"/>
              <w:jc w:val="right"/>
              <w:rPr>
                <w:rFonts w:cs="Arial"/>
                <w:color w:val="000000"/>
                <w:sz w:val="16"/>
                <w:szCs w:val="18"/>
              </w:rPr>
            </w:pPr>
          </w:p>
        </w:tc>
      </w:tr>
      <w:tr w:rsidR="005729F5" w:rsidRPr="00FF4565" w:rsidTr="006D0874">
        <w:trPr>
          <w:trHeight w:val="255"/>
        </w:trPr>
        <w:tc>
          <w:tcPr>
            <w:tcW w:w="2020" w:type="dxa"/>
            <w:tcBorders>
              <w:top w:val="nil"/>
              <w:left w:val="single" w:sz="4" w:space="0" w:color="auto"/>
              <w:bottom w:val="single" w:sz="4" w:space="0" w:color="auto"/>
              <w:right w:val="single" w:sz="4" w:space="0" w:color="auto"/>
            </w:tcBorders>
            <w:shd w:val="clear" w:color="auto" w:fill="auto"/>
            <w:vAlign w:val="center"/>
            <w:hideMark/>
          </w:tcPr>
          <w:p w:rsidR="005729F5" w:rsidRPr="00FF4565" w:rsidRDefault="005729F5" w:rsidP="006D0874">
            <w:pPr>
              <w:spacing w:before="0" w:after="0"/>
              <w:rPr>
                <w:rFonts w:cs="Arial"/>
                <w:color w:val="000000"/>
                <w:sz w:val="18"/>
                <w:szCs w:val="18"/>
              </w:rPr>
            </w:pPr>
            <w:r w:rsidRPr="00FF4565">
              <w:rPr>
                <w:rFonts w:cs="Arial"/>
                <w:color w:val="000000"/>
                <w:sz w:val="18"/>
                <w:szCs w:val="18"/>
              </w:rPr>
              <w:t>Pallars Sobirà</w:t>
            </w:r>
          </w:p>
        </w:tc>
        <w:tc>
          <w:tcPr>
            <w:tcW w:w="1030" w:type="dxa"/>
            <w:tcBorders>
              <w:top w:val="nil"/>
              <w:left w:val="nil"/>
              <w:bottom w:val="single" w:sz="4" w:space="0" w:color="auto"/>
              <w:right w:val="single" w:sz="4" w:space="0" w:color="auto"/>
            </w:tcBorders>
            <w:shd w:val="clear" w:color="auto" w:fill="auto"/>
            <w:vAlign w:val="bottom"/>
            <w:hideMark/>
          </w:tcPr>
          <w:p w:rsidR="005729F5" w:rsidRPr="00FF4565" w:rsidRDefault="005729F5" w:rsidP="006D0874">
            <w:pPr>
              <w:spacing w:before="0" w:after="0"/>
              <w:jc w:val="right"/>
              <w:rPr>
                <w:rFonts w:cs="Arial"/>
                <w:color w:val="000000"/>
                <w:sz w:val="18"/>
                <w:szCs w:val="18"/>
              </w:rPr>
            </w:pPr>
            <w:r w:rsidRPr="00FF4565">
              <w:rPr>
                <w:rFonts w:cs="Arial"/>
                <w:color w:val="000000"/>
                <w:sz w:val="18"/>
                <w:szCs w:val="18"/>
              </w:rPr>
              <w:t>7.060</w:t>
            </w:r>
          </w:p>
        </w:tc>
        <w:tc>
          <w:tcPr>
            <w:tcW w:w="1360" w:type="dxa"/>
            <w:tcBorders>
              <w:top w:val="nil"/>
              <w:left w:val="nil"/>
              <w:bottom w:val="single" w:sz="4" w:space="0" w:color="auto"/>
              <w:right w:val="single" w:sz="4" w:space="0" w:color="auto"/>
            </w:tcBorders>
            <w:shd w:val="clear" w:color="auto" w:fill="auto"/>
            <w:vAlign w:val="bottom"/>
            <w:hideMark/>
          </w:tcPr>
          <w:p w:rsidR="005729F5" w:rsidRPr="00FF4565" w:rsidRDefault="005729F5" w:rsidP="006D0874">
            <w:pPr>
              <w:spacing w:before="0" w:after="0"/>
              <w:jc w:val="right"/>
              <w:rPr>
                <w:rFonts w:cs="Arial"/>
                <w:color w:val="000000"/>
                <w:sz w:val="18"/>
                <w:szCs w:val="18"/>
              </w:rPr>
            </w:pPr>
            <w:r w:rsidRPr="00FF4565">
              <w:rPr>
                <w:rFonts w:cs="Arial"/>
                <w:color w:val="000000"/>
                <w:sz w:val="18"/>
                <w:szCs w:val="18"/>
              </w:rPr>
              <w:t>1.377,90</w:t>
            </w:r>
          </w:p>
        </w:tc>
        <w:tc>
          <w:tcPr>
            <w:tcW w:w="1559" w:type="dxa"/>
            <w:tcBorders>
              <w:top w:val="nil"/>
              <w:left w:val="nil"/>
              <w:bottom w:val="single" w:sz="4" w:space="0" w:color="auto"/>
              <w:right w:val="single" w:sz="4" w:space="0" w:color="auto"/>
            </w:tcBorders>
            <w:shd w:val="clear" w:color="auto" w:fill="auto"/>
            <w:vAlign w:val="bottom"/>
            <w:hideMark/>
          </w:tcPr>
          <w:p w:rsidR="005729F5" w:rsidRPr="00FF4565" w:rsidRDefault="005729F5" w:rsidP="006D0874">
            <w:pPr>
              <w:spacing w:before="0" w:after="0"/>
              <w:jc w:val="right"/>
              <w:rPr>
                <w:rFonts w:cs="Arial"/>
                <w:color w:val="000000"/>
                <w:sz w:val="18"/>
                <w:szCs w:val="18"/>
              </w:rPr>
            </w:pPr>
            <w:r w:rsidRPr="00FF4565">
              <w:rPr>
                <w:rFonts w:cs="Arial"/>
                <w:color w:val="000000"/>
                <w:sz w:val="18"/>
                <w:szCs w:val="18"/>
              </w:rPr>
              <w:t>5,1</w:t>
            </w:r>
          </w:p>
        </w:tc>
        <w:tc>
          <w:tcPr>
            <w:tcW w:w="3402" w:type="dxa"/>
            <w:tcBorders>
              <w:top w:val="nil"/>
              <w:left w:val="nil"/>
              <w:bottom w:val="single" w:sz="4" w:space="0" w:color="auto"/>
              <w:right w:val="single" w:sz="4" w:space="0" w:color="auto"/>
            </w:tcBorders>
          </w:tcPr>
          <w:p w:rsidR="005729F5" w:rsidRPr="00FF4565" w:rsidRDefault="005729F5" w:rsidP="006D0874">
            <w:pPr>
              <w:spacing w:before="0" w:after="0"/>
              <w:jc w:val="right"/>
              <w:rPr>
                <w:rFonts w:cs="Arial"/>
                <w:color w:val="000000"/>
                <w:sz w:val="16"/>
                <w:szCs w:val="18"/>
              </w:rPr>
            </w:pPr>
          </w:p>
        </w:tc>
      </w:tr>
      <w:tr w:rsidR="005729F5" w:rsidRPr="00FF4565" w:rsidTr="006D0874">
        <w:trPr>
          <w:trHeight w:val="255"/>
        </w:trPr>
        <w:tc>
          <w:tcPr>
            <w:tcW w:w="2020" w:type="dxa"/>
            <w:tcBorders>
              <w:top w:val="nil"/>
              <w:left w:val="single" w:sz="4" w:space="0" w:color="auto"/>
              <w:bottom w:val="single" w:sz="4" w:space="0" w:color="auto"/>
              <w:right w:val="single" w:sz="4" w:space="0" w:color="auto"/>
            </w:tcBorders>
            <w:shd w:val="clear" w:color="auto" w:fill="auto"/>
            <w:vAlign w:val="center"/>
            <w:hideMark/>
          </w:tcPr>
          <w:p w:rsidR="005729F5" w:rsidRPr="00FF4565" w:rsidRDefault="005729F5" w:rsidP="006D0874">
            <w:pPr>
              <w:spacing w:before="0" w:after="0"/>
              <w:rPr>
                <w:rFonts w:cs="Arial"/>
                <w:color w:val="000000"/>
                <w:sz w:val="18"/>
                <w:szCs w:val="18"/>
              </w:rPr>
            </w:pPr>
            <w:r w:rsidRPr="00FF4565">
              <w:rPr>
                <w:rFonts w:cs="Arial"/>
                <w:color w:val="000000"/>
                <w:sz w:val="18"/>
                <w:szCs w:val="18"/>
              </w:rPr>
              <w:t>Pla d'Urgell</w:t>
            </w:r>
          </w:p>
        </w:tc>
        <w:tc>
          <w:tcPr>
            <w:tcW w:w="1030" w:type="dxa"/>
            <w:tcBorders>
              <w:top w:val="nil"/>
              <w:left w:val="nil"/>
              <w:bottom w:val="single" w:sz="4" w:space="0" w:color="auto"/>
              <w:right w:val="single" w:sz="4" w:space="0" w:color="auto"/>
            </w:tcBorders>
            <w:shd w:val="clear" w:color="auto" w:fill="auto"/>
            <w:vAlign w:val="bottom"/>
            <w:hideMark/>
          </w:tcPr>
          <w:p w:rsidR="005729F5" w:rsidRPr="00FF4565" w:rsidRDefault="005729F5" w:rsidP="006D0874">
            <w:pPr>
              <w:spacing w:before="0" w:after="0"/>
              <w:jc w:val="right"/>
              <w:rPr>
                <w:rFonts w:cs="Arial"/>
                <w:color w:val="000000"/>
                <w:sz w:val="18"/>
                <w:szCs w:val="18"/>
              </w:rPr>
            </w:pPr>
            <w:r w:rsidRPr="00FF4565">
              <w:rPr>
                <w:rFonts w:cs="Arial"/>
                <w:color w:val="000000"/>
                <w:sz w:val="18"/>
                <w:szCs w:val="18"/>
              </w:rPr>
              <w:t>37.053</w:t>
            </w:r>
          </w:p>
        </w:tc>
        <w:tc>
          <w:tcPr>
            <w:tcW w:w="1360" w:type="dxa"/>
            <w:tcBorders>
              <w:top w:val="nil"/>
              <w:left w:val="nil"/>
              <w:bottom w:val="single" w:sz="4" w:space="0" w:color="auto"/>
              <w:right w:val="single" w:sz="4" w:space="0" w:color="auto"/>
            </w:tcBorders>
            <w:shd w:val="clear" w:color="auto" w:fill="auto"/>
            <w:vAlign w:val="bottom"/>
            <w:hideMark/>
          </w:tcPr>
          <w:p w:rsidR="005729F5" w:rsidRPr="00FF4565" w:rsidRDefault="005729F5" w:rsidP="006D0874">
            <w:pPr>
              <w:spacing w:before="0" w:after="0"/>
              <w:jc w:val="right"/>
              <w:rPr>
                <w:rFonts w:cs="Arial"/>
                <w:color w:val="000000"/>
                <w:sz w:val="18"/>
                <w:szCs w:val="18"/>
              </w:rPr>
            </w:pPr>
            <w:r w:rsidRPr="00FF4565">
              <w:rPr>
                <w:rFonts w:cs="Arial"/>
                <w:color w:val="000000"/>
                <w:sz w:val="18"/>
                <w:szCs w:val="18"/>
              </w:rPr>
              <w:t>305,1</w:t>
            </w:r>
          </w:p>
        </w:tc>
        <w:tc>
          <w:tcPr>
            <w:tcW w:w="1559" w:type="dxa"/>
            <w:tcBorders>
              <w:top w:val="nil"/>
              <w:left w:val="nil"/>
              <w:bottom w:val="single" w:sz="4" w:space="0" w:color="auto"/>
              <w:right w:val="single" w:sz="4" w:space="0" w:color="auto"/>
            </w:tcBorders>
            <w:shd w:val="clear" w:color="auto" w:fill="auto"/>
            <w:vAlign w:val="bottom"/>
            <w:hideMark/>
          </w:tcPr>
          <w:p w:rsidR="005729F5" w:rsidRPr="00FF4565" w:rsidRDefault="005729F5" w:rsidP="006D0874">
            <w:pPr>
              <w:spacing w:before="0" w:after="0"/>
              <w:jc w:val="right"/>
              <w:rPr>
                <w:rFonts w:cs="Arial"/>
                <w:color w:val="000000"/>
                <w:sz w:val="18"/>
                <w:szCs w:val="18"/>
              </w:rPr>
            </w:pPr>
            <w:r w:rsidRPr="00FF4565">
              <w:rPr>
                <w:rFonts w:cs="Arial"/>
                <w:color w:val="000000"/>
                <w:sz w:val="18"/>
                <w:szCs w:val="18"/>
              </w:rPr>
              <w:t>121,4</w:t>
            </w:r>
          </w:p>
        </w:tc>
        <w:tc>
          <w:tcPr>
            <w:tcW w:w="3402" w:type="dxa"/>
            <w:tcBorders>
              <w:top w:val="nil"/>
              <w:left w:val="nil"/>
              <w:bottom w:val="single" w:sz="4" w:space="0" w:color="auto"/>
              <w:right w:val="single" w:sz="4" w:space="0" w:color="auto"/>
            </w:tcBorders>
          </w:tcPr>
          <w:p w:rsidR="005729F5" w:rsidRPr="00FF4565" w:rsidRDefault="005729F5" w:rsidP="006D0874">
            <w:pPr>
              <w:spacing w:before="0" w:after="0"/>
              <w:jc w:val="right"/>
              <w:rPr>
                <w:rFonts w:cs="Arial"/>
                <w:color w:val="000000"/>
                <w:sz w:val="16"/>
                <w:szCs w:val="18"/>
              </w:rPr>
            </w:pPr>
          </w:p>
        </w:tc>
      </w:tr>
      <w:tr w:rsidR="005729F5" w:rsidRPr="00FF4565" w:rsidTr="006D0874">
        <w:trPr>
          <w:trHeight w:val="255"/>
        </w:trPr>
        <w:tc>
          <w:tcPr>
            <w:tcW w:w="2020" w:type="dxa"/>
            <w:tcBorders>
              <w:top w:val="nil"/>
              <w:left w:val="single" w:sz="4" w:space="0" w:color="auto"/>
              <w:bottom w:val="single" w:sz="4" w:space="0" w:color="auto"/>
              <w:right w:val="single" w:sz="4" w:space="0" w:color="auto"/>
            </w:tcBorders>
            <w:shd w:val="clear" w:color="auto" w:fill="auto"/>
            <w:vAlign w:val="center"/>
            <w:hideMark/>
          </w:tcPr>
          <w:p w:rsidR="005729F5" w:rsidRPr="00FF4565" w:rsidRDefault="005729F5" w:rsidP="006D0874">
            <w:pPr>
              <w:spacing w:before="0" w:after="0"/>
              <w:rPr>
                <w:rFonts w:cs="Arial"/>
                <w:color w:val="000000"/>
                <w:sz w:val="18"/>
                <w:szCs w:val="18"/>
              </w:rPr>
            </w:pPr>
            <w:r w:rsidRPr="00FF4565">
              <w:rPr>
                <w:rFonts w:cs="Arial"/>
                <w:color w:val="000000"/>
                <w:sz w:val="18"/>
                <w:szCs w:val="18"/>
              </w:rPr>
              <w:t>Pla de l'Estany</w:t>
            </w:r>
          </w:p>
        </w:tc>
        <w:tc>
          <w:tcPr>
            <w:tcW w:w="1030" w:type="dxa"/>
            <w:tcBorders>
              <w:top w:val="nil"/>
              <w:left w:val="nil"/>
              <w:bottom w:val="single" w:sz="4" w:space="0" w:color="auto"/>
              <w:right w:val="single" w:sz="4" w:space="0" w:color="auto"/>
            </w:tcBorders>
            <w:shd w:val="clear" w:color="auto" w:fill="auto"/>
            <w:vAlign w:val="bottom"/>
            <w:hideMark/>
          </w:tcPr>
          <w:p w:rsidR="005729F5" w:rsidRPr="00FF4565" w:rsidRDefault="005729F5" w:rsidP="006D0874">
            <w:pPr>
              <w:spacing w:before="0" w:after="0"/>
              <w:jc w:val="right"/>
              <w:rPr>
                <w:rFonts w:cs="Arial"/>
                <w:color w:val="000000"/>
                <w:sz w:val="18"/>
                <w:szCs w:val="18"/>
              </w:rPr>
            </w:pPr>
            <w:r w:rsidRPr="00FF4565">
              <w:rPr>
                <w:rFonts w:cs="Arial"/>
                <w:color w:val="000000"/>
                <w:sz w:val="18"/>
                <w:szCs w:val="18"/>
              </w:rPr>
              <w:t>31.536</w:t>
            </w:r>
          </w:p>
        </w:tc>
        <w:tc>
          <w:tcPr>
            <w:tcW w:w="1360" w:type="dxa"/>
            <w:tcBorders>
              <w:top w:val="nil"/>
              <w:left w:val="nil"/>
              <w:bottom w:val="single" w:sz="4" w:space="0" w:color="auto"/>
              <w:right w:val="single" w:sz="4" w:space="0" w:color="auto"/>
            </w:tcBorders>
            <w:shd w:val="clear" w:color="auto" w:fill="auto"/>
            <w:vAlign w:val="bottom"/>
            <w:hideMark/>
          </w:tcPr>
          <w:p w:rsidR="005729F5" w:rsidRPr="00FF4565" w:rsidRDefault="005729F5" w:rsidP="006D0874">
            <w:pPr>
              <w:spacing w:before="0" w:after="0"/>
              <w:jc w:val="right"/>
              <w:rPr>
                <w:rFonts w:cs="Arial"/>
                <w:color w:val="000000"/>
                <w:sz w:val="18"/>
                <w:szCs w:val="18"/>
              </w:rPr>
            </w:pPr>
            <w:r w:rsidRPr="00FF4565">
              <w:rPr>
                <w:rFonts w:cs="Arial"/>
                <w:color w:val="000000"/>
                <w:sz w:val="18"/>
                <w:szCs w:val="18"/>
              </w:rPr>
              <w:t>262,8</w:t>
            </w:r>
          </w:p>
        </w:tc>
        <w:tc>
          <w:tcPr>
            <w:tcW w:w="1559" w:type="dxa"/>
            <w:tcBorders>
              <w:top w:val="nil"/>
              <w:left w:val="nil"/>
              <w:bottom w:val="single" w:sz="4" w:space="0" w:color="auto"/>
              <w:right w:val="single" w:sz="4" w:space="0" w:color="auto"/>
            </w:tcBorders>
            <w:shd w:val="clear" w:color="auto" w:fill="auto"/>
            <w:vAlign w:val="bottom"/>
            <w:hideMark/>
          </w:tcPr>
          <w:p w:rsidR="005729F5" w:rsidRPr="00FF4565" w:rsidRDefault="005729F5" w:rsidP="006D0874">
            <w:pPr>
              <w:spacing w:before="0" w:after="0"/>
              <w:jc w:val="right"/>
              <w:rPr>
                <w:rFonts w:cs="Arial"/>
                <w:color w:val="000000"/>
                <w:sz w:val="18"/>
                <w:szCs w:val="18"/>
              </w:rPr>
            </w:pPr>
            <w:r w:rsidRPr="00FF4565">
              <w:rPr>
                <w:rFonts w:cs="Arial"/>
                <w:color w:val="000000"/>
                <w:sz w:val="18"/>
                <w:szCs w:val="18"/>
              </w:rPr>
              <w:t>120</w:t>
            </w:r>
          </w:p>
        </w:tc>
        <w:tc>
          <w:tcPr>
            <w:tcW w:w="3402" w:type="dxa"/>
            <w:tcBorders>
              <w:top w:val="nil"/>
              <w:left w:val="nil"/>
              <w:bottom w:val="single" w:sz="4" w:space="0" w:color="auto"/>
              <w:right w:val="single" w:sz="4" w:space="0" w:color="auto"/>
            </w:tcBorders>
          </w:tcPr>
          <w:p w:rsidR="005729F5" w:rsidRPr="00FF4565" w:rsidRDefault="005729F5" w:rsidP="006D0874">
            <w:pPr>
              <w:spacing w:before="0" w:after="0"/>
              <w:jc w:val="right"/>
              <w:rPr>
                <w:rFonts w:cs="Arial"/>
                <w:color w:val="000000"/>
                <w:sz w:val="16"/>
                <w:szCs w:val="18"/>
              </w:rPr>
            </w:pPr>
          </w:p>
        </w:tc>
      </w:tr>
      <w:tr w:rsidR="005729F5" w:rsidRPr="00FF4565" w:rsidTr="006D0874">
        <w:trPr>
          <w:trHeight w:val="255"/>
        </w:trPr>
        <w:tc>
          <w:tcPr>
            <w:tcW w:w="2020" w:type="dxa"/>
            <w:tcBorders>
              <w:top w:val="nil"/>
              <w:left w:val="single" w:sz="4" w:space="0" w:color="auto"/>
              <w:bottom w:val="single" w:sz="4" w:space="0" w:color="auto"/>
              <w:right w:val="single" w:sz="4" w:space="0" w:color="auto"/>
            </w:tcBorders>
            <w:shd w:val="clear" w:color="auto" w:fill="auto"/>
            <w:vAlign w:val="center"/>
            <w:hideMark/>
          </w:tcPr>
          <w:p w:rsidR="005729F5" w:rsidRPr="00FF4565" w:rsidRDefault="005729F5" w:rsidP="006D0874">
            <w:pPr>
              <w:spacing w:before="0" w:after="0"/>
              <w:rPr>
                <w:rFonts w:cs="Arial"/>
                <w:color w:val="000000"/>
                <w:sz w:val="18"/>
                <w:szCs w:val="18"/>
              </w:rPr>
            </w:pPr>
            <w:r w:rsidRPr="00FF4565">
              <w:rPr>
                <w:rFonts w:cs="Arial"/>
                <w:color w:val="000000"/>
                <w:sz w:val="18"/>
                <w:szCs w:val="18"/>
              </w:rPr>
              <w:t>Priorat</w:t>
            </w:r>
          </w:p>
        </w:tc>
        <w:tc>
          <w:tcPr>
            <w:tcW w:w="1030" w:type="dxa"/>
            <w:tcBorders>
              <w:top w:val="nil"/>
              <w:left w:val="nil"/>
              <w:bottom w:val="single" w:sz="4" w:space="0" w:color="auto"/>
              <w:right w:val="single" w:sz="4" w:space="0" w:color="auto"/>
            </w:tcBorders>
            <w:shd w:val="clear" w:color="auto" w:fill="auto"/>
            <w:vAlign w:val="bottom"/>
            <w:hideMark/>
          </w:tcPr>
          <w:p w:rsidR="005729F5" w:rsidRPr="00FF4565" w:rsidRDefault="005729F5" w:rsidP="006D0874">
            <w:pPr>
              <w:spacing w:before="0" w:after="0"/>
              <w:jc w:val="right"/>
              <w:rPr>
                <w:rFonts w:cs="Arial"/>
                <w:color w:val="000000"/>
                <w:sz w:val="18"/>
                <w:szCs w:val="18"/>
              </w:rPr>
            </w:pPr>
            <w:r w:rsidRPr="00FF4565">
              <w:rPr>
                <w:rFonts w:cs="Arial"/>
                <w:color w:val="000000"/>
                <w:sz w:val="18"/>
                <w:szCs w:val="18"/>
              </w:rPr>
              <w:t>9.547</w:t>
            </w:r>
          </w:p>
        </w:tc>
        <w:tc>
          <w:tcPr>
            <w:tcW w:w="1360" w:type="dxa"/>
            <w:tcBorders>
              <w:top w:val="nil"/>
              <w:left w:val="nil"/>
              <w:bottom w:val="single" w:sz="4" w:space="0" w:color="auto"/>
              <w:right w:val="single" w:sz="4" w:space="0" w:color="auto"/>
            </w:tcBorders>
            <w:shd w:val="clear" w:color="auto" w:fill="auto"/>
            <w:vAlign w:val="bottom"/>
            <w:hideMark/>
          </w:tcPr>
          <w:p w:rsidR="005729F5" w:rsidRPr="00FF4565" w:rsidRDefault="005729F5" w:rsidP="006D0874">
            <w:pPr>
              <w:spacing w:before="0" w:after="0"/>
              <w:jc w:val="right"/>
              <w:rPr>
                <w:rFonts w:cs="Arial"/>
                <w:color w:val="000000"/>
                <w:sz w:val="18"/>
                <w:szCs w:val="18"/>
              </w:rPr>
            </w:pPr>
            <w:r w:rsidRPr="00FF4565">
              <w:rPr>
                <w:rFonts w:cs="Arial"/>
                <w:color w:val="000000"/>
                <w:sz w:val="18"/>
                <w:szCs w:val="18"/>
              </w:rPr>
              <w:t>498,6</w:t>
            </w:r>
          </w:p>
        </w:tc>
        <w:tc>
          <w:tcPr>
            <w:tcW w:w="1559" w:type="dxa"/>
            <w:tcBorders>
              <w:top w:val="nil"/>
              <w:left w:val="nil"/>
              <w:bottom w:val="single" w:sz="4" w:space="0" w:color="auto"/>
              <w:right w:val="single" w:sz="4" w:space="0" w:color="auto"/>
            </w:tcBorders>
            <w:shd w:val="clear" w:color="auto" w:fill="auto"/>
            <w:vAlign w:val="bottom"/>
            <w:hideMark/>
          </w:tcPr>
          <w:p w:rsidR="005729F5" w:rsidRPr="00FF4565" w:rsidRDefault="005729F5" w:rsidP="006D0874">
            <w:pPr>
              <w:spacing w:before="0" w:after="0"/>
              <w:jc w:val="right"/>
              <w:rPr>
                <w:rFonts w:cs="Arial"/>
                <w:color w:val="000000"/>
                <w:sz w:val="18"/>
                <w:szCs w:val="18"/>
              </w:rPr>
            </w:pPr>
            <w:r w:rsidRPr="00FF4565">
              <w:rPr>
                <w:rFonts w:cs="Arial"/>
                <w:color w:val="000000"/>
                <w:sz w:val="18"/>
                <w:szCs w:val="18"/>
              </w:rPr>
              <w:t>19,2</w:t>
            </w:r>
          </w:p>
        </w:tc>
        <w:tc>
          <w:tcPr>
            <w:tcW w:w="3402" w:type="dxa"/>
            <w:tcBorders>
              <w:top w:val="nil"/>
              <w:left w:val="nil"/>
              <w:bottom w:val="single" w:sz="4" w:space="0" w:color="auto"/>
              <w:right w:val="single" w:sz="4" w:space="0" w:color="auto"/>
            </w:tcBorders>
          </w:tcPr>
          <w:p w:rsidR="005729F5" w:rsidRPr="00FF4565" w:rsidRDefault="005729F5" w:rsidP="006D0874">
            <w:pPr>
              <w:spacing w:before="0" w:after="0"/>
              <w:jc w:val="right"/>
              <w:rPr>
                <w:rFonts w:cs="Arial"/>
                <w:color w:val="000000"/>
                <w:sz w:val="16"/>
                <w:szCs w:val="18"/>
              </w:rPr>
            </w:pPr>
          </w:p>
        </w:tc>
      </w:tr>
      <w:tr w:rsidR="005729F5" w:rsidRPr="00FF4565" w:rsidTr="006D0874">
        <w:trPr>
          <w:trHeight w:val="255"/>
        </w:trPr>
        <w:tc>
          <w:tcPr>
            <w:tcW w:w="2020" w:type="dxa"/>
            <w:tcBorders>
              <w:top w:val="nil"/>
              <w:left w:val="single" w:sz="4" w:space="0" w:color="auto"/>
              <w:bottom w:val="single" w:sz="4" w:space="0" w:color="auto"/>
              <w:right w:val="single" w:sz="4" w:space="0" w:color="auto"/>
            </w:tcBorders>
            <w:shd w:val="clear" w:color="auto" w:fill="auto"/>
            <w:vAlign w:val="center"/>
            <w:hideMark/>
          </w:tcPr>
          <w:p w:rsidR="005729F5" w:rsidRPr="00FF4565" w:rsidRDefault="005729F5" w:rsidP="006D0874">
            <w:pPr>
              <w:spacing w:before="0" w:after="0"/>
              <w:rPr>
                <w:rFonts w:cs="Arial"/>
                <w:color w:val="000000"/>
                <w:sz w:val="18"/>
                <w:szCs w:val="18"/>
              </w:rPr>
            </w:pPr>
            <w:r w:rsidRPr="00FF4565">
              <w:rPr>
                <w:rFonts w:cs="Arial"/>
                <w:color w:val="000000"/>
                <w:sz w:val="18"/>
                <w:szCs w:val="18"/>
              </w:rPr>
              <w:t>Ribera d'Ebre</w:t>
            </w:r>
          </w:p>
        </w:tc>
        <w:tc>
          <w:tcPr>
            <w:tcW w:w="1030" w:type="dxa"/>
            <w:tcBorders>
              <w:top w:val="nil"/>
              <w:left w:val="nil"/>
              <w:bottom w:val="single" w:sz="4" w:space="0" w:color="auto"/>
              <w:right w:val="single" w:sz="4" w:space="0" w:color="auto"/>
            </w:tcBorders>
            <w:shd w:val="clear" w:color="auto" w:fill="auto"/>
            <w:vAlign w:val="bottom"/>
            <w:hideMark/>
          </w:tcPr>
          <w:p w:rsidR="005729F5" w:rsidRPr="00FF4565" w:rsidRDefault="005729F5" w:rsidP="006D0874">
            <w:pPr>
              <w:spacing w:before="0" w:after="0"/>
              <w:jc w:val="right"/>
              <w:rPr>
                <w:rFonts w:cs="Arial"/>
                <w:color w:val="000000"/>
                <w:sz w:val="18"/>
                <w:szCs w:val="18"/>
              </w:rPr>
            </w:pPr>
            <w:r w:rsidRPr="00FF4565">
              <w:rPr>
                <w:rFonts w:cs="Arial"/>
                <w:color w:val="000000"/>
                <w:sz w:val="18"/>
                <w:szCs w:val="18"/>
              </w:rPr>
              <w:t>22.723</w:t>
            </w:r>
          </w:p>
        </w:tc>
        <w:tc>
          <w:tcPr>
            <w:tcW w:w="1360" w:type="dxa"/>
            <w:tcBorders>
              <w:top w:val="nil"/>
              <w:left w:val="nil"/>
              <w:bottom w:val="single" w:sz="4" w:space="0" w:color="auto"/>
              <w:right w:val="single" w:sz="4" w:space="0" w:color="auto"/>
            </w:tcBorders>
            <w:shd w:val="clear" w:color="auto" w:fill="auto"/>
            <w:vAlign w:val="bottom"/>
            <w:hideMark/>
          </w:tcPr>
          <w:p w:rsidR="005729F5" w:rsidRPr="00FF4565" w:rsidRDefault="005729F5" w:rsidP="006D0874">
            <w:pPr>
              <w:spacing w:before="0" w:after="0"/>
              <w:jc w:val="right"/>
              <w:rPr>
                <w:rFonts w:cs="Arial"/>
                <w:color w:val="000000"/>
                <w:sz w:val="18"/>
                <w:szCs w:val="18"/>
              </w:rPr>
            </w:pPr>
            <w:r w:rsidRPr="00FF4565">
              <w:rPr>
                <w:rFonts w:cs="Arial"/>
                <w:color w:val="000000"/>
                <w:sz w:val="18"/>
                <w:szCs w:val="18"/>
              </w:rPr>
              <w:t>827,3</w:t>
            </w:r>
          </w:p>
        </w:tc>
        <w:tc>
          <w:tcPr>
            <w:tcW w:w="1559" w:type="dxa"/>
            <w:tcBorders>
              <w:top w:val="nil"/>
              <w:left w:val="nil"/>
              <w:bottom w:val="single" w:sz="4" w:space="0" w:color="auto"/>
              <w:right w:val="single" w:sz="4" w:space="0" w:color="auto"/>
            </w:tcBorders>
            <w:shd w:val="clear" w:color="auto" w:fill="auto"/>
            <w:vAlign w:val="bottom"/>
            <w:hideMark/>
          </w:tcPr>
          <w:p w:rsidR="005729F5" w:rsidRPr="00FF4565" w:rsidRDefault="005729F5" w:rsidP="006D0874">
            <w:pPr>
              <w:spacing w:before="0" w:after="0"/>
              <w:jc w:val="right"/>
              <w:rPr>
                <w:rFonts w:cs="Arial"/>
                <w:color w:val="000000"/>
                <w:sz w:val="18"/>
                <w:szCs w:val="18"/>
              </w:rPr>
            </w:pPr>
            <w:r w:rsidRPr="00FF4565">
              <w:rPr>
                <w:rFonts w:cs="Arial"/>
                <w:color w:val="000000"/>
                <w:sz w:val="18"/>
                <w:szCs w:val="18"/>
              </w:rPr>
              <w:t>27,5</w:t>
            </w:r>
          </w:p>
        </w:tc>
        <w:tc>
          <w:tcPr>
            <w:tcW w:w="3402" w:type="dxa"/>
            <w:tcBorders>
              <w:top w:val="nil"/>
              <w:left w:val="nil"/>
              <w:bottom w:val="single" w:sz="4" w:space="0" w:color="auto"/>
              <w:right w:val="single" w:sz="4" w:space="0" w:color="auto"/>
            </w:tcBorders>
          </w:tcPr>
          <w:p w:rsidR="005729F5" w:rsidRPr="00FF4565" w:rsidRDefault="005729F5" w:rsidP="006D0874">
            <w:pPr>
              <w:spacing w:before="0" w:after="0"/>
              <w:jc w:val="right"/>
              <w:rPr>
                <w:rFonts w:cs="Arial"/>
                <w:color w:val="000000"/>
                <w:sz w:val="16"/>
                <w:szCs w:val="18"/>
              </w:rPr>
            </w:pPr>
          </w:p>
        </w:tc>
      </w:tr>
      <w:tr w:rsidR="005729F5" w:rsidRPr="00FF4565" w:rsidTr="006D0874">
        <w:trPr>
          <w:trHeight w:val="255"/>
        </w:trPr>
        <w:tc>
          <w:tcPr>
            <w:tcW w:w="2020" w:type="dxa"/>
            <w:tcBorders>
              <w:top w:val="nil"/>
              <w:left w:val="single" w:sz="4" w:space="0" w:color="auto"/>
              <w:bottom w:val="single" w:sz="4" w:space="0" w:color="auto"/>
              <w:right w:val="single" w:sz="4" w:space="0" w:color="auto"/>
            </w:tcBorders>
            <w:shd w:val="clear" w:color="auto" w:fill="auto"/>
            <w:vAlign w:val="center"/>
            <w:hideMark/>
          </w:tcPr>
          <w:p w:rsidR="005729F5" w:rsidRPr="00FF4565" w:rsidRDefault="005729F5" w:rsidP="006D0874">
            <w:pPr>
              <w:spacing w:before="0" w:after="0"/>
              <w:rPr>
                <w:rFonts w:cs="Arial"/>
                <w:color w:val="000000"/>
                <w:sz w:val="18"/>
                <w:szCs w:val="18"/>
              </w:rPr>
            </w:pPr>
            <w:r w:rsidRPr="00FF4565">
              <w:rPr>
                <w:rFonts w:cs="Arial"/>
                <w:color w:val="000000"/>
                <w:sz w:val="18"/>
                <w:szCs w:val="18"/>
              </w:rPr>
              <w:t>Ripollès</w:t>
            </w:r>
          </w:p>
        </w:tc>
        <w:tc>
          <w:tcPr>
            <w:tcW w:w="1030" w:type="dxa"/>
            <w:tcBorders>
              <w:top w:val="nil"/>
              <w:left w:val="nil"/>
              <w:bottom w:val="single" w:sz="4" w:space="0" w:color="auto"/>
              <w:right w:val="single" w:sz="4" w:space="0" w:color="auto"/>
            </w:tcBorders>
            <w:shd w:val="clear" w:color="auto" w:fill="auto"/>
            <w:vAlign w:val="bottom"/>
            <w:hideMark/>
          </w:tcPr>
          <w:p w:rsidR="005729F5" w:rsidRPr="00FF4565" w:rsidRDefault="005729F5" w:rsidP="006D0874">
            <w:pPr>
              <w:spacing w:before="0" w:after="0"/>
              <w:jc w:val="right"/>
              <w:rPr>
                <w:rFonts w:cs="Arial"/>
                <w:color w:val="000000"/>
                <w:sz w:val="18"/>
                <w:szCs w:val="18"/>
              </w:rPr>
            </w:pPr>
            <w:r w:rsidRPr="00FF4565">
              <w:rPr>
                <w:rFonts w:cs="Arial"/>
                <w:color w:val="000000"/>
                <w:sz w:val="18"/>
                <w:szCs w:val="18"/>
              </w:rPr>
              <w:t>25.342</w:t>
            </w:r>
          </w:p>
        </w:tc>
        <w:tc>
          <w:tcPr>
            <w:tcW w:w="1360" w:type="dxa"/>
            <w:tcBorders>
              <w:top w:val="nil"/>
              <w:left w:val="nil"/>
              <w:bottom w:val="single" w:sz="4" w:space="0" w:color="auto"/>
              <w:right w:val="single" w:sz="4" w:space="0" w:color="auto"/>
            </w:tcBorders>
            <w:shd w:val="clear" w:color="auto" w:fill="auto"/>
            <w:vAlign w:val="bottom"/>
            <w:hideMark/>
          </w:tcPr>
          <w:p w:rsidR="005729F5" w:rsidRPr="00FF4565" w:rsidRDefault="005729F5" w:rsidP="006D0874">
            <w:pPr>
              <w:spacing w:before="0" w:after="0"/>
              <w:jc w:val="right"/>
              <w:rPr>
                <w:rFonts w:cs="Arial"/>
                <w:color w:val="000000"/>
                <w:sz w:val="18"/>
                <w:szCs w:val="18"/>
              </w:rPr>
            </w:pPr>
            <w:r w:rsidRPr="00FF4565">
              <w:rPr>
                <w:rFonts w:cs="Arial"/>
                <w:color w:val="000000"/>
                <w:sz w:val="18"/>
                <w:szCs w:val="18"/>
              </w:rPr>
              <w:t>956,6</w:t>
            </w:r>
          </w:p>
        </w:tc>
        <w:tc>
          <w:tcPr>
            <w:tcW w:w="1559" w:type="dxa"/>
            <w:tcBorders>
              <w:top w:val="nil"/>
              <w:left w:val="nil"/>
              <w:bottom w:val="single" w:sz="4" w:space="0" w:color="auto"/>
              <w:right w:val="single" w:sz="4" w:space="0" w:color="auto"/>
            </w:tcBorders>
            <w:shd w:val="clear" w:color="auto" w:fill="auto"/>
            <w:vAlign w:val="bottom"/>
            <w:hideMark/>
          </w:tcPr>
          <w:p w:rsidR="005729F5" w:rsidRPr="00FF4565" w:rsidRDefault="005729F5" w:rsidP="006D0874">
            <w:pPr>
              <w:spacing w:before="0" w:after="0"/>
              <w:jc w:val="right"/>
              <w:rPr>
                <w:rFonts w:cs="Arial"/>
                <w:color w:val="000000"/>
                <w:sz w:val="18"/>
                <w:szCs w:val="18"/>
              </w:rPr>
            </w:pPr>
            <w:r w:rsidRPr="00FF4565">
              <w:rPr>
                <w:rFonts w:cs="Arial"/>
                <w:color w:val="000000"/>
                <w:sz w:val="18"/>
                <w:szCs w:val="18"/>
              </w:rPr>
              <w:t>26,5</w:t>
            </w:r>
          </w:p>
        </w:tc>
        <w:tc>
          <w:tcPr>
            <w:tcW w:w="3402" w:type="dxa"/>
            <w:tcBorders>
              <w:top w:val="nil"/>
              <w:left w:val="nil"/>
              <w:bottom w:val="single" w:sz="4" w:space="0" w:color="auto"/>
              <w:right w:val="single" w:sz="4" w:space="0" w:color="auto"/>
            </w:tcBorders>
          </w:tcPr>
          <w:p w:rsidR="005729F5" w:rsidRPr="00FF4565" w:rsidRDefault="005729F5" w:rsidP="006D0874">
            <w:pPr>
              <w:spacing w:before="0" w:after="0"/>
              <w:jc w:val="right"/>
              <w:rPr>
                <w:rFonts w:cs="Arial"/>
                <w:color w:val="000000"/>
                <w:sz w:val="16"/>
                <w:szCs w:val="18"/>
              </w:rPr>
            </w:pPr>
          </w:p>
        </w:tc>
      </w:tr>
      <w:tr w:rsidR="005729F5" w:rsidRPr="00FF4565" w:rsidTr="006D0874">
        <w:trPr>
          <w:trHeight w:val="255"/>
        </w:trPr>
        <w:tc>
          <w:tcPr>
            <w:tcW w:w="2020" w:type="dxa"/>
            <w:tcBorders>
              <w:top w:val="nil"/>
              <w:left w:val="single" w:sz="4" w:space="0" w:color="auto"/>
              <w:bottom w:val="single" w:sz="4" w:space="0" w:color="auto"/>
              <w:right w:val="single" w:sz="4" w:space="0" w:color="auto"/>
            </w:tcBorders>
            <w:shd w:val="clear" w:color="auto" w:fill="auto"/>
            <w:vAlign w:val="center"/>
            <w:hideMark/>
          </w:tcPr>
          <w:p w:rsidR="005729F5" w:rsidRPr="00FF4565" w:rsidRDefault="005729F5" w:rsidP="006D0874">
            <w:pPr>
              <w:spacing w:before="0" w:after="0"/>
              <w:rPr>
                <w:rFonts w:cs="Arial"/>
                <w:color w:val="000000"/>
                <w:sz w:val="18"/>
                <w:szCs w:val="18"/>
              </w:rPr>
            </w:pPr>
            <w:r w:rsidRPr="00FF4565">
              <w:rPr>
                <w:rFonts w:cs="Arial"/>
                <w:color w:val="000000"/>
                <w:sz w:val="18"/>
                <w:szCs w:val="18"/>
              </w:rPr>
              <w:t>Segarra</w:t>
            </w:r>
          </w:p>
        </w:tc>
        <w:tc>
          <w:tcPr>
            <w:tcW w:w="1030" w:type="dxa"/>
            <w:tcBorders>
              <w:top w:val="nil"/>
              <w:left w:val="nil"/>
              <w:bottom w:val="single" w:sz="4" w:space="0" w:color="auto"/>
              <w:right w:val="single" w:sz="4" w:space="0" w:color="auto"/>
            </w:tcBorders>
            <w:shd w:val="clear" w:color="auto" w:fill="auto"/>
            <w:vAlign w:val="bottom"/>
            <w:hideMark/>
          </w:tcPr>
          <w:p w:rsidR="005729F5" w:rsidRPr="00FF4565" w:rsidRDefault="005729F5" w:rsidP="006D0874">
            <w:pPr>
              <w:spacing w:before="0" w:after="0"/>
              <w:jc w:val="right"/>
              <w:rPr>
                <w:rFonts w:cs="Arial"/>
                <w:color w:val="000000"/>
                <w:sz w:val="18"/>
                <w:szCs w:val="18"/>
              </w:rPr>
            </w:pPr>
            <w:r w:rsidRPr="00FF4565">
              <w:rPr>
                <w:rFonts w:cs="Arial"/>
                <w:color w:val="000000"/>
                <w:sz w:val="18"/>
                <w:szCs w:val="18"/>
              </w:rPr>
              <w:t>22.647</w:t>
            </w:r>
          </w:p>
        </w:tc>
        <w:tc>
          <w:tcPr>
            <w:tcW w:w="1360" w:type="dxa"/>
            <w:tcBorders>
              <w:top w:val="nil"/>
              <w:left w:val="nil"/>
              <w:bottom w:val="single" w:sz="4" w:space="0" w:color="auto"/>
              <w:right w:val="single" w:sz="4" w:space="0" w:color="auto"/>
            </w:tcBorders>
            <w:shd w:val="clear" w:color="auto" w:fill="auto"/>
            <w:vAlign w:val="bottom"/>
            <w:hideMark/>
          </w:tcPr>
          <w:p w:rsidR="005729F5" w:rsidRPr="00FF4565" w:rsidRDefault="005729F5" w:rsidP="006D0874">
            <w:pPr>
              <w:spacing w:before="0" w:after="0"/>
              <w:jc w:val="right"/>
              <w:rPr>
                <w:rFonts w:cs="Arial"/>
                <w:color w:val="000000"/>
                <w:sz w:val="18"/>
                <w:szCs w:val="18"/>
              </w:rPr>
            </w:pPr>
            <w:r w:rsidRPr="00FF4565">
              <w:rPr>
                <w:rFonts w:cs="Arial"/>
                <w:color w:val="000000"/>
                <w:sz w:val="18"/>
                <w:szCs w:val="18"/>
              </w:rPr>
              <w:t>722,7</w:t>
            </w:r>
          </w:p>
        </w:tc>
        <w:tc>
          <w:tcPr>
            <w:tcW w:w="1559" w:type="dxa"/>
            <w:tcBorders>
              <w:top w:val="nil"/>
              <w:left w:val="nil"/>
              <w:bottom w:val="single" w:sz="4" w:space="0" w:color="auto"/>
              <w:right w:val="single" w:sz="4" w:space="0" w:color="auto"/>
            </w:tcBorders>
            <w:shd w:val="clear" w:color="auto" w:fill="auto"/>
            <w:vAlign w:val="bottom"/>
            <w:hideMark/>
          </w:tcPr>
          <w:p w:rsidR="005729F5" w:rsidRPr="00FF4565" w:rsidRDefault="005729F5" w:rsidP="006D0874">
            <w:pPr>
              <w:spacing w:before="0" w:after="0"/>
              <w:jc w:val="right"/>
              <w:rPr>
                <w:rFonts w:cs="Arial"/>
                <w:color w:val="000000"/>
                <w:sz w:val="18"/>
                <w:szCs w:val="18"/>
              </w:rPr>
            </w:pPr>
            <w:r w:rsidRPr="00FF4565">
              <w:rPr>
                <w:rFonts w:cs="Arial"/>
                <w:color w:val="000000"/>
                <w:sz w:val="18"/>
                <w:szCs w:val="18"/>
              </w:rPr>
              <w:t>31,3</w:t>
            </w:r>
          </w:p>
        </w:tc>
        <w:tc>
          <w:tcPr>
            <w:tcW w:w="3402" w:type="dxa"/>
            <w:tcBorders>
              <w:top w:val="nil"/>
              <w:left w:val="nil"/>
              <w:bottom w:val="single" w:sz="4" w:space="0" w:color="auto"/>
              <w:right w:val="single" w:sz="4" w:space="0" w:color="auto"/>
            </w:tcBorders>
          </w:tcPr>
          <w:p w:rsidR="005729F5" w:rsidRPr="00FF4565" w:rsidRDefault="005729F5" w:rsidP="006D0874">
            <w:pPr>
              <w:spacing w:before="0" w:after="0"/>
              <w:jc w:val="right"/>
              <w:rPr>
                <w:rFonts w:cs="Arial"/>
                <w:color w:val="000000"/>
                <w:sz w:val="16"/>
                <w:szCs w:val="18"/>
              </w:rPr>
            </w:pPr>
          </w:p>
        </w:tc>
      </w:tr>
      <w:tr w:rsidR="005729F5" w:rsidRPr="00FF4565" w:rsidTr="006D0874">
        <w:trPr>
          <w:trHeight w:val="255"/>
        </w:trPr>
        <w:tc>
          <w:tcPr>
            <w:tcW w:w="202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5729F5" w:rsidRPr="00FF4565" w:rsidRDefault="005729F5" w:rsidP="006D0874">
            <w:pPr>
              <w:spacing w:before="0" w:after="0"/>
              <w:rPr>
                <w:rFonts w:cs="Arial"/>
                <w:color w:val="000000"/>
                <w:sz w:val="18"/>
                <w:szCs w:val="18"/>
              </w:rPr>
            </w:pPr>
            <w:r w:rsidRPr="00FF4565">
              <w:rPr>
                <w:rFonts w:cs="Arial"/>
                <w:color w:val="000000"/>
                <w:sz w:val="18"/>
                <w:szCs w:val="18"/>
              </w:rPr>
              <w:t>Segrià</w:t>
            </w:r>
          </w:p>
        </w:tc>
        <w:tc>
          <w:tcPr>
            <w:tcW w:w="1030" w:type="dxa"/>
            <w:tcBorders>
              <w:top w:val="nil"/>
              <w:left w:val="nil"/>
              <w:bottom w:val="single" w:sz="4" w:space="0" w:color="auto"/>
              <w:right w:val="single" w:sz="4" w:space="0" w:color="auto"/>
            </w:tcBorders>
            <w:shd w:val="clear" w:color="auto" w:fill="D9D9D9" w:themeFill="background1" w:themeFillShade="D9"/>
            <w:vAlign w:val="bottom"/>
            <w:hideMark/>
          </w:tcPr>
          <w:p w:rsidR="005729F5" w:rsidRPr="00FF4565" w:rsidRDefault="005729F5" w:rsidP="006D0874">
            <w:pPr>
              <w:spacing w:before="0" w:after="0"/>
              <w:jc w:val="right"/>
              <w:rPr>
                <w:rFonts w:cs="Arial"/>
                <w:color w:val="000000"/>
                <w:sz w:val="18"/>
                <w:szCs w:val="18"/>
              </w:rPr>
            </w:pPr>
            <w:r w:rsidRPr="00FF4565">
              <w:rPr>
                <w:rFonts w:cs="Arial"/>
                <w:color w:val="000000"/>
                <w:sz w:val="18"/>
                <w:szCs w:val="18"/>
              </w:rPr>
              <w:t>209.324</w:t>
            </w:r>
          </w:p>
        </w:tc>
        <w:tc>
          <w:tcPr>
            <w:tcW w:w="1360" w:type="dxa"/>
            <w:tcBorders>
              <w:top w:val="nil"/>
              <w:left w:val="nil"/>
              <w:bottom w:val="single" w:sz="4" w:space="0" w:color="auto"/>
              <w:right w:val="single" w:sz="4" w:space="0" w:color="auto"/>
            </w:tcBorders>
            <w:shd w:val="clear" w:color="auto" w:fill="D9D9D9" w:themeFill="background1" w:themeFillShade="D9"/>
            <w:vAlign w:val="bottom"/>
            <w:hideMark/>
          </w:tcPr>
          <w:p w:rsidR="005729F5" w:rsidRPr="00FF4565" w:rsidRDefault="005729F5" w:rsidP="006D0874">
            <w:pPr>
              <w:spacing w:before="0" w:after="0"/>
              <w:jc w:val="right"/>
              <w:rPr>
                <w:rFonts w:cs="Arial"/>
                <w:color w:val="000000"/>
                <w:sz w:val="18"/>
                <w:szCs w:val="18"/>
              </w:rPr>
            </w:pPr>
            <w:r w:rsidRPr="00FF4565">
              <w:rPr>
                <w:rFonts w:cs="Arial"/>
                <w:color w:val="000000"/>
                <w:sz w:val="18"/>
                <w:szCs w:val="18"/>
              </w:rPr>
              <w:t>1.396,70</w:t>
            </w:r>
          </w:p>
        </w:tc>
        <w:tc>
          <w:tcPr>
            <w:tcW w:w="1559" w:type="dxa"/>
            <w:tcBorders>
              <w:top w:val="nil"/>
              <w:left w:val="nil"/>
              <w:bottom w:val="single" w:sz="4" w:space="0" w:color="auto"/>
              <w:right w:val="single" w:sz="4" w:space="0" w:color="auto"/>
            </w:tcBorders>
            <w:shd w:val="clear" w:color="auto" w:fill="D9D9D9" w:themeFill="background1" w:themeFillShade="D9"/>
            <w:vAlign w:val="bottom"/>
            <w:hideMark/>
          </w:tcPr>
          <w:p w:rsidR="005729F5" w:rsidRPr="00FF4565" w:rsidRDefault="005729F5" w:rsidP="006D0874">
            <w:pPr>
              <w:spacing w:before="0" w:after="0"/>
              <w:jc w:val="right"/>
              <w:rPr>
                <w:rFonts w:cs="Arial"/>
                <w:color w:val="000000"/>
                <w:sz w:val="18"/>
                <w:szCs w:val="18"/>
              </w:rPr>
            </w:pPr>
            <w:r w:rsidRPr="00FF4565">
              <w:rPr>
                <w:rFonts w:cs="Arial"/>
                <w:color w:val="000000"/>
                <w:sz w:val="18"/>
                <w:szCs w:val="18"/>
              </w:rPr>
              <w:t>149,9</w:t>
            </w:r>
          </w:p>
        </w:tc>
        <w:tc>
          <w:tcPr>
            <w:tcW w:w="3402" w:type="dxa"/>
            <w:tcBorders>
              <w:top w:val="nil"/>
              <w:left w:val="nil"/>
              <w:bottom w:val="single" w:sz="4" w:space="0" w:color="auto"/>
              <w:right w:val="single" w:sz="4" w:space="0" w:color="auto"/>
            </w:tcBorders>
            <w:shd w:val="clear" w:color="auto" w:fill="D9D9D9" w:themeFill="background1" w:themeFillShade="D9"/>
          </w:tcPr>
          <w:p w:rsidR="005729F5" w:rsidRPr="00FF4565" w:rsidRDefault="005729F5" w:rsidP="006D0874">
            <w:pPr>
              <w:spacing w:before="0" w:after="0"/>
              <w:jc w:val="right"/>
              <w:rPr>
                <w:rFonts w:cs="Arial"/>
                <w:color w:val="000000"/>
                <w:sz w:val="16"/>
                <w:szCs w:val="18"/>
              </w:rPr>
            </w:pPr>
            <w:r w:rsidRPr="00FF4565">
              <w:rPr>
                <w:rFonts w:cs="Arial"/>
                <w:color w:val="000000"/>
                <w:sz w:val="16"/>
                <w:szCs w:val="18"/>
              </w:rPr>
              <w:t xml:space="preserve"> CP Ponent, CO Lleida</w:t>
            </w:r>
          </w:p>
        </w:tc>
      </w:tr>
      <w:tr w:rsidR="005729F5" w:rsidRPr="00FF4565" w:rsidTr="006D0874">
        <w:trPr>
          <w:trHeight w:val="255"/>
        </w:trPr>
        <w:tc>
          <w:tcPr>
            <w:tcW w:w="2020" w:type="dxa"/>
            <w:tcBorders>
              <w:top w:val="nil"/>
              <w:left w:val="single" w:sz="4" w:space="0" w:color="auto"/>
              <w:bottom w:val="single" w:sz="4" w:space="0" w:color="auto"/>
              <w:right w:val="single" w:sz="4" w:space="0" w:color="auto"/>
            </w:tcBorders>
            <w:shd w:val="clear" w:color="auto" w:fill="auto"/>
            <w:vAlign w:val="center"/>
            <w:hideMark/>
          </w:tcPr>
          <w:p w:rsidR="005729F5" w:rsidRPr="00FF4565" w:rsidRDefault="005729F5" w:rsidP="006D0874">
            <w:pPr>
              <w:spacing w:before="0" w:after="0"/>
              <w:rPr>
                <w:rFonts w:cs="Arial"/>
                <w:color w:val="000000"/>
                <w:sz w:val="18"/>
                <w:szCs w:val="18"/>
              </w:rPr>
            </w:pPr>
            <w:r w:rsidRPr="00FF4565">
              <w:rPr>
                <w:rFonts w:cs="Arial"/>
                <w:color w:val="000000"/>
                <w:sz w:val="18"/>
                <w:szCs w:val="18"/>
              </w:rPr>
              <w:t>Selva</w:t>
            </w:r>
          </w:p>
        </w:tc>
        <w:tc>
          <w:tcPr>
            <w:tcW w:w="1030" w:type="dxa"/>
            <w:tcBorders>
              <w:top w:val="nil"/>
              <w:left w:val="nil"/>
              <w:bottom w:val="single" w:sz="4" w:space="0" w:color="auto"/>
              <w:right w:val="single" w:sz="4" w:space="0" w:color="auto"/>
            </w:tcBorders>
            <w:shd w:val="clear" w:color="auto" w:fill="auto"/>
            <w:vAlign w:val="bottom"/>
            <w:hideMark/>
          </w:tcPr>
          <w:p w:rsidR="005729F5" w:rsidRPr="00FF4565" w:rsidRDefault="005729F5" w:rsidP="006D0874">
            <w:pPr>
              <w:spacing w:before="0" w:after="0"/>
              <w:jc w:val="right"/>
              <w:rPr>
                <w:rFonts w:cs="Arial"/>
                <w:color w:val="000000"/>
                <w:sz w:val="18"/>
                <w:szCs w:val="18"/>
              </w:rPr>
            </w:pPr>
            <w:r w:rsidRPr="00FF4565">
              <w:rPr>
                <w:rFonts w:cs="Arial"/>
                <w:color w:val="000000"/>
                <w:sz w:val="18"/>
                <w:szCs w:val="18"/>
              </w:rPr>
              <w:t>168.555</w:t>
            </w:r>
          </w:p>
        </w:tc>
        <w:tc>
          <w:tcPr>
            <w:tcW w:w="1360" w:type="dxa"/>
            <w:tcBorders>
              <w:top w:val="nil"/>
              <w:left w:val="nil"/>
              <w:bottom w:val="single" w:sz="4" w:space="0" w:color="auto"/>
              <w:right w:val="single" w:sz="4" w:space="0" w:color="auto"/>
            </w:tcBorders>
            <w:shd w:val="clear" w:color="auto" w:fill="auto"/>
            <w:vAlign w:val="bottom"/>
            <w:hideMark/>
          </w:tcPr>
          <w:p w:rsidR="005729F5" w:rsidRPr="00FF4565" w:rsidRDefault="005729F5" w:rsidP="006D0874">
            <w:pPr>
              <w:spacing w:before="0" w:after="0"/>
              <w:jc w:val="right"/>
              <w:rPr>
                <w:rFonts w:cs="Arial"/>
                <w:color w:val="000000"/>
                <w:sz w:val="18"/>
                <w:szCs w:val="18"/>
              </w:rPr>
            </w:pPr>
            <w:r w:rsidRPr="00FF4565">
              <w:rPr>
                <w:rFonts w:cs="Arial"/>
                <w:color w:val="000000"/>
                <w:sz w:val="18"/>
                <w:szCs w:val="18"/>
              </w:rPr>
              <w:t>995</w:t>
            </w:r>
          </w:p>
        </w:tc>
        <w:tc>
          <w:tcPr>
            <w:tcW w:w="1559" w:type="dxa"/>
            <w:tcBorders>
              <w:top w:val="nil"/>
              <w:left w:val="nil"/>
              <w:bottom w:val="single" w:sz="4" w:space="0" w:color="auto"/>
              <w:right w:val="single" w:sz="4" w:space="0" w:color="auto"/>
            </w:tcBorders>
            <w:shd w:val="clear" w:color="auto" w:fill="auto"/>
            <w:vAlign w:val="bottom"/>
            <w:hideMark/>
          </w:tcPr>
          <w:p w:rsidR="005729F5" w:rsidRPr="00FF4565" w:rsidRDefault="005729F5" w:rsidP="006D0874">
            <w:pPr>
              <w:spacing w:before="0" w:after="0"/>
              <w:jc w:val="right"/>
              <w:rPr>
                <w:rFonts w:cs="Arial"/>
                <w:color w:val="000000"/>
                <w:sz w:val="18"/>
                <w:szCs w:val="18"/>
              </w:rPr>
            </w:pPr>
            <w:r w:rsidRPr="00FF4565">
              <w:rPr>
                <w:rFonts w:cs="Arial"/>
                <w:color w:val="000000"/>
                <w:sz w:val="18"/>
                <w:szCs w:val="18"/>
              </w:rPr>
              <w:t>169,4</w:t>
            </w:r>
          </w:p>
        </w:tc>
        <w:tc>
          <w:tcPr>
            <w:tcW w:w="3402" w:type="dxa"/>
            <w:tcBorders>
              <w:top w:val="nil"/>
              <w:left w:val="nil"/>
              <w:bottom w:val="single" w:sz="4" w:space="0" w:color="auto"/>
              <w:right w:val="single" w:sz="4" w:space="0" w:color="auto"/>
            </w:tcBorders>
          </w:tcPr>
          <w:p w:rsidR="005729F5" w:rsidRPr="00FF4565" w:rsidRDefault="005729F5" w:rsidP="006D0874">
            <w:pPr>
              <w:spacing w:before="0" w:after="0"/>
              <w:jc w:val="right"/>
              <w:rPr>
                <w:rFonts w:cs="Arial"/>
                <w:color w:val="000000"/>
                <w:sz w:val="16"/>
                <w:szCs w:val="18"/>
              </w:rPr>
            </w:pPr>
          </w:p>
        </w:tc>
      </w:tr>
      <w:tr w:rsidR="005729F5" w:rsidRPr="00FF4565" w:rsidTr="006D0874">
        <w:trPr>
          <w:trHeight w:val="255"/>
        </w:trPr>
        <w:tc>
          <w:tcPr>
            <w:tcW w:w="2020" w:type="dxa"/>
            <w:tcBorders>
              <w:top w:val="nil"/>
              <w:left w:val="single" w:sz="4" w:space="0" w:color="auto"/>
              <w:bottom w:val="single" w:sz="4" w:space="0" w:color="auto"/>
              <w:right w:val="single" w:sz="4" w:space="0" w:color="auto"/>
            </w:tcBorders>
            <w:shd w:val="clear" w:color="auto" w:fill="auto"/>
            <w:vAlign w:val="center"/>
            <w:hideMark/>
          </w:tcPr>
          <w:p w:rsidR="005729F5" w:rsidRPr="00FF4565" w:rsidRDefault="005729F5" w:rsidP="006D0874">
            <w:pPr>
              <w:spacing w:before="0" w:after="0"/>
              <w:rPr>
                <w:rFonts w:cs="Arial"/>
                <w:color w:val="000000"/>
                <w:sz w:val="18"/>
                <w:szCs w:val="18"/>
              </w:rPr>
            </w:pPr>
            <w:r w:rsidRPr="00FF4565">
              <w:rPr>
                <w:rFonts w:cs="Arial"/>
                <w:color w:val="000000"/>
                <w:sz w:val="18"/>
                <w:szCs w:val="18"/>
              </w:rPr>
              <w:t>Solsonès</w:t>
            </w:r>
          </w:p>
        </w:tc>
        <w:tc>
          <w:tcPr>
            <w:tcW w:w="1030" w:type="dxa"/>
            <w:tcBorders>
              <w:top w:val="nil"/>
              <w:left w:val="nil"/>
              <w:bottom w:val="single" w:sz="4" w:space="0" w:color="auto"/>
              <w:right w:val="single" w:sz="4" w:space="0" w:color="auto"/>
            </w:tcBorders>
            <w:shd w:val="clear" w:color="auto" w:fill="auto"/>
            <w:vAlign w:val="bottom"/>
            <w:hideMark/>
          </w:tcPr>
          <w:p w:rsidR="005729F5" w:rsidRPr="00FF4565" w:rsidRDefault="005729F5" w:rsidP="006D0874">
            <w:pPr>
              <w:spacing w:before="0" w:after="0"/>
              <w:jc w:val="right"/>
              <w:rPr>
                <w:rFonts w:cs="Arial"/>
                <w:color w:val="000000"/>
                <w:sz w:val="18"/>
                <w:szCs w:val="18"/>
              </w:rPr>
            </w:pPr>
            <w:r w:rsidRPr="00FF4565">
              <w:rPr>
                <w:rFonts w:cs="Arial"/>
                <w:color w:val="000000"/>
                <w:sz w:val="18"/>
                <w:szCs w:val="18"/>
              </w:rPr>
              <w:t>13.414</w:t>
            </w:r>
          </w:p>
        </w:tc>
        <w:tc>
          <w:tcPr>
            <w:tcW w:w="1360" w:type="dxa"/>
            <w:tcBorders>
              <w:top w:val="nil"/>
              <w:left w:val="nil"/>
              <w:bottom w:val="single" w:sz="4" w:space="0" w:color="auto"/>
              <w:right w:val="single" w:sz="4" w:space="0" w:color="auto"/>
            </w:tcBorders>
            <w:shd w:val="clear" w:color="auto" w:fill="auto"/>
            <w:vAlign w:val="bottom"/>
            <w:hideMark/>
          </w:tcPr>
          <w:p w:rsidR="005729F5" w:rsidRPr="00FF4565" w:rsidRDefault="005729F5" w:rsidP="006D0874">
            <w:pPr>
              <w:spacing w:before="0" w:after="0"/>
              <w:jc w:val="right"/>
              <w:rPr>
                <w:rFonts w:cs="Arial"/>
                <w:color w:val="000000"/>
                <w:sz w:val="18"/>
                <w:szCs w:val="18"/>
              </w:rPr>
            </w:pPr>
            <w:r w:rsidRPr="00FF4565">
              <w:rPr>
                <w:rFonts w:cs="Arial"/>
                <w:color w:val="000000"/>
                <w:sz w:val="18"/>
                <w:szCs w:val="18"/>
              </w:rPr>
              <w:t>1.001,20</w:t>
            </w:r>
          </w:p>
        </w:tc>
        <w:tc>
          <w:tcPr>
            <w:tcW w:w="1559" w:type="dxa"/>
            <w:tcBorders>
              <w:top w:val="nil"/>
              <w:left w:val="nil"/>
              <w:bottom w:val="single" w:sz="4" w:space="0" w:color="auto"/>
              <w:right w:val="single" w:sz="4" w:space="0" w:color="auto"/>
            </w:tcBorders>
            <w:shd w:val="clear" w:color="auto" w:fill="auto"/>
            <w:vAlign w:val="bottom"/>
            <w:hideMark/>
          </w:tcPr>
          <w:p w:rsidR="005729F5" w:rsidRPr="00FF4565" w:rsidRDefault="005729F5" w:rsidP="006D0874">
            <w:pPr>
              <w:spacing w:before="0" w:after="0"/>
              <w:jc w:val="right"/>
              <w:rPr>
                <w:rFonts w:cs="Arial"/>
                <w:color w:val="000000"/>
                <w:sz w:val="18"/>
                <w:szCs w:val="18"/>
              </w:rPr>
            </w:pPr>
            <w:r w:rsidRPr="00FF4565">
              <w:rPr>
                <w:rFonts w:cs="Arial"/>
                <w:color w:val="000000"/>
                <w:sz w:val="18"/>
                <w:szCs w:val="18"/>
              </w:rPr>
              <w:t>13,4</w:t>
            </w:r>
          </w:p>
        </w:tc>
        <w:tc>
          <w:tcPr>
            <w:tcW w:w="3402" w:type="dxa"/>
            <w:tcBorders>
              <w:top w:val="nil"/>
              <w:left w:val="nil"/>
              <w:bottom w:val="single" w:sz="4" w:space="0" w:color="auto"/>
              <w:right w:val="single" w:sz="4" w:space="0" w:color="auto"/>
            </w:tcBorders>
          </w:tcPr>
          <w:p w:rsidR="005729F5" w:rsidRPr="00FF4565" w:rsidRDefault="005729F5" w:rsidP="006D0874">
            <w:pPr>
              <w:spacing w:before="0" w:after="0"/>
              <w:jc w:val="right"/>
              <w:rPr>
                <w:rFonts w:cs="Arial"/>
                <w:color w:val="000000"/>
                <w:sz w:val="16"/>
                <w:szCs w:val="18"/>
              </w:rPr>
            </w:pPr>
          </w:p>
        </w:tc>
      </w:tr>
      <w:tr w:rsidR="005729F5" w:rsidRPr="00FF4565" w:rsidTr="006D0874">
        <w:trPr>
          <w:trHeight w:val="255"/>
        </w:trPr>
        <w:tc>
          <w:tcPr>
            <w:tcW w:w="202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5729F5" w:rsidRPr="00FF4565" w:rsidRDefault="005729F5" w:rsidP="006D0874">
            <w:pPr>
              <w:spacing w:before="0" w:after="0"/>
              <w:rPr>
                <w:rFonts w:cs="Arial"/>
                <w:color w:val="000000"/>
                <w:sz w:val="18"/>
                <w:szCs w:val="18"/>
              </w:rPr>
            </w:pPr>
            <w:r w:rsidRPr="00FF4565">
              <w:rPr>
                <w:rFonts w:cs="Arial"/>
                <w:color w:val="000000"/>
                <w:sz w:val="18"/>
                <w:szCs w:val="18"/>
              </w:rPr>
              <w:t>Tarragonès</w:t>
            </w:r>
          </w:p>
        </w:tc>
        <w:tc>
          <w:tcPr>
            <w:tcW w:w="1030" w:type="dxa"/>
            <w:tcBorders>
              <w:top w:val="nil"/>
              <w:left w:val="nil"/>
              <w:bottom w:val="single" w:sz="4" w:space="0" w:color="auto"/>
              <w:right w:val="single" w:sz="4" w:space="0" w:color="auto"/>
            </w:tcBorders>
            <w:shd w:val="clear" w:color="auto" w:fill="D9D9D9" w:themeFill="background1" w:themeFillShade="D9"/>
            <w:vAlign w:val="bottom"/>
            <w:hideMark/>
          </w:tcPr>
          <w:p w:rsidR="005729F5" w:rsidRPr="00FF4565" w:rsidRDefault="005729F5" w:rsidP="006D0874">
            <w:pPr>
              <w:spacing w:before="0" w:after="0"/>
              <w:jc w:val="right"/>
              <w:rPr>
                <w:rFonts w:cs="Arial"/>
                <w:color w:val="000000"/>
                <w:sz w:val="18"/>
                <w:szCs w:val="18"/>
              </w:rPr>
            </w:pPr>
            <w:r w:rsidRPr="00FF4565">
              <w:rPr>
                <w:rFonts w:cs="Arial"/>
                <w:color w:val="000000"/>
                <w:sz w:val="18"/>
                <w:szCs w:val="18"/>
              </w:rPr>
              <w:t>249.939</w:t>
            </w:r>
          </w:p>
        </w:tc>
        <w:tc>
          <w:tcPr>
            <w:tcW w:w="1360" w:type="dxa"/>
            <w:tcBorders>
              <w:top w:val="nil"/>
              <w:left w:val="nil"/>
              <w:bottom w:val="single" w:sz="4" w:space="0" w:color="auto"/>
              <w:right w:val="single" w:sz="4" w:space="0" w:color="auto"/>
            </w:tcBorders>
            <w:shd w:val="clear" w:color="auto" w:fill="D9D9D9" w:themeFill="background1" w:themeFillShade="D9"/>
            <w:vAlign w:val="bottom"/>
            <w:hideMark/>
          </w:tcPr>
          <w:p w:rsidR="005729F5" w:rsidRPr="00FF4565" w:rsidRDefault="005729F5" w:rsidP="006D0874">
            <w:pPr>
              <w:spacing w:before="0" w:after="0"/>
              <w:jc w:val="right"/>
              <w:rPr>
                <w:rFonts w:cs="Arial"/>
                <w:color w:val="000000"/>
                <w:sz w:val="18"/>
                <w:szCs w:val="18"/>
              </w:rPr>
            </w:pPr>
            <w:r w:rsidRPr="00FF4565">
              <w:rPr>
                <w:rFonts w:cs="Arial"/>
                <w:color w:val="000000"/>
                <w:sz w:val="18"/>
                <w:szCs w:val="18"/>
              </w:rPr>
              <w:t>319,4</w:t>
            </w:r>
          </w:p>
        </w:tc>
        <w:tc>
          <w:tcPr>
            <w:tcW w:w="1559" w:type="dxa"/>
            <w:tcBorders>
              <w:top w:val="nil"/>
              <w:left w:val="nil"/>
              <w:bottom w:val="single" w:sz="4" w:space="0" w:color="auto"/>
              <w:right w:val="single" w:sz="4" w:space="0" w:color="auto"/>
            </w:tcBorders>
            <w:shd w:val="clear" w:color="auto" w:fill="D9D9D9" w:themeFill="background1" w:themeFillShade="D9"/>
            <w:vAlign w:val="bottom"/>
            <w:hideMark/>
          </w:tcPr>
          <w:p w:rsidR="005729F5" w:rsidRPr="00FF4565" w:rsidRDefault="005729F5" w:rsidP="006D0874">
            <w:pPr>
              <w:spacing w:before="0" w:after="0"/>
              <w:jc w:val="right"/>
              <w:rPr>
                <w:rFonts w:cs="Arial"/>
                <w:color w:val="000000"/>
                <w:sz w:val="18"/>
                <w:szCs w:val="18"/>
              </w:rPr>
            </w:pPr>
            <w:r w:rsidRPr="00FF4565">
              <w:rPr>
                <w:rFonts w:cs="Arial"/>
                <w:color w:val="000000"/>
                <w:sz w:val="18"/>
                <w:szCs w:val="18"/>
              </w:rPr>
              <w:t>782,6</w:t>
            </w:r>
          </w:p>
        </w:tc>
        <w:tc>
          <w:tcPr>
            <w:tcW w:w="3402" w:type="dxa"/>
            <w:tcBorders>
              <w:top w:val="nil"/>
              <w:left w:val="nil"/>
              <w:bottom w:val="single" w:sz="4" w:space="0" w:color="auto"/>
              <w:right w:val="single" w:sz="4" w:space="0" w:color="auto"/>
            </w:tcBorders>
            <w:shd w:val="clear" w:color="auto" w:fill="D9D9D9" w:themeFill="background1" w:themeFillShade="D9"/>
          </w:tcPr>
          <w:p w:rsidR="005729F5" w:rsidRPr="00FF4565" w:rsidRDefault="005729F5" w:rsidP="006D0874">
            <w:pPr>
              <w:spacing w:before="0" w:after="0"/>
              <w:jc w:val="right"/>
              <w:rPr>
                <w:rFonts w:cs="Arial"/>
                <w:color w:val="000000"/>
                <w:sz w:val="16"/>
                <w:szCs w:val="18"/>
              </w:rPr>
            </w:pPr>
            <w:r w:rsidRPr="00FF4565">
              <w:rPr>
                <w:rFonts w:cs="Arial"/>
                <w:color w:val="000000"/>
                <w:sz w:val="16"/>
                <w:szCs w:val="18"/>
              </w:rPr>
              <w:t>CO Tarragona, CP Mas d’Enric</w:t>
            </w:r>
          </w:p>
        </w:tc>
      </w:tr>
      <w:tr w:rsidR="005729F5" w:rsidRPr="00FF4565" w:rsidTr="006D0874">
        <w:trPr>
          <w:trHeight w:val="255"/>
        </w:trPr>
        <w:tc>
          <w:tcPr>
            <w:tcW w:w="2020" w:type="dxa"/>
            <w:tcBorders>
              <w:top w:val="nil"/>
              <w:left w:val="single" w:sz="4" w:space="0" w:color="auto"/>
              <w:bottom w:val="single" w:sz="4" w:space="0" w:color="auto"/>
              <w:right w:val="single" w:sz="4" w:space="0" w:color="auto"/>
            </w:tcBorders>
            <w:shd w:val="clear" w:color="auto" w:fill="auto"/>
            <w:vAlign w:val="center"/>
            <w:hideMark/>
          </w:tcPr>
          <w:p w:rsidR="005729F5" w:rsidRPr="00FF4565" w:rsidRDefault="005729F5" w:rsidP="006D0874">
            <w:pPr>
              <w:spacing w:before="0" w:after="0"/>
              <w:rPr>
                <w:rFonts w:cs="Arial"/>
                <w:color w:val="000000"/>
                <w:sz w:val="18"/>
                <w:szCs w:val="18"/>
              </w:rPr>
            </w:pPr>
            <w:r w:rsidRPr="00FF4565">
              <w:rPr>
                <w:rFonts w:cs="Arial"/>
                <w:color w:val="000000"/>
                <w:sz w:val="18"/>
                <w:szCs w:val="18"/>
              </w:rPr>
              <w:t>Terra Alta</w:t>
            </w:r>
          </w:p>
        </w:tc>
        <w:tc>
          <w:tcPr>
            <w:tcW w:w="1030" w:type="dxa"/>
            <w:tcBorders>
              <w:top w:val="nil"/>
              <w:left w:val="nil"/>
              <w:bottom w:val="single" w:sz="4" w:space="0" w:color="auto"/>
              <w:right w:val="single" w:sz="4" w:space="0" w:color="auto"/>
            </w:tcBorders>
            <w:shd w:val="clear" w:color="auto" w:fill="auto"/>
            <w:vAlign w:val="bottom"/>
            <w:hideMark/>
          </w:tcPr>
          <w:p w:rsidR="005729F5" w:rsidRPr="00FF4565" w:rsidRDefault="005729F5" w:rsidP="006D0874">
            <w:pPr>
              <w:spacing w:before="0" w:after="0"/>
              <w:jc w:val="right"/>
              <w:rPr>
                <w:rFonts w:cs="Arial"/>
                <w:color w:val="000000"/>
                <w:sz w:val="18"/>
                <w:szCs w:val="18"/>
              </w:rPr>
            </w:pPr>
            <w:r w:rsidRPr="00FF4565">
              <w:rPr>
                <w:rFonts w:cs="Arial"/>
                <w:color w:val="000000"/>
                <w:sz w:val="18"/>
                <w:szCs w:val="18"/>
              </w:rPr>
              <w:t>11.872</w:t>
            </w:r>
          </w:p>
        </w:tc>
        <w:tc>
          <w:tcPr>
            <w:tcW w:w="1360" w:type="dxa"/>
            <w:tcBorders>
              <w:top w:val="nil"/>
              <w:left w:val="nil"/>
              <w:bottom w:val="single" w:sz="4" w:space="0" w:color="auto"/>
              <w:right w:val="single" w:sz="4" w:space="0" w:color="auto"/>
            </w:tcBorders>
            <w:shd w:val="clear" w:color="auto" w:fill="auto"/>
            <w:vAlign w:val="bottom"/>
            <w:hideMark/>
          </w:tcPr>
          <w:p w:rsidR="005729F5" w:rsidRPr="00FF4565" w:rsidRDefault="005729F5" w:rsidP="006D0874">
            <w:pPr>
              <w:spacing w:before="0" w:after="0"/>
              <w:jc w:val="right"/>
              <w:rPr>
                <w:rFonts w:cs="Arial"/>
                <w:color w:val="000000"/>
                <w:sz w:val="18"/>
                <w:szCs w:val="18"/>
              </w:rPr>
            </w:pPr>
            <w:r w:rsidRPr="00FF4565">
              <w:rPr>
                <w:rFonts w:cs="Arial"/>
                <w:color w:val="000000"/>
                <w:sz w:val="18"/>
                <w:szCs w:val="18"/>
              </w:rPr>
              <w:t>743</w:t>
            </w:r>
          </w:p>
        </w:tc>
        <w:tc>
          <w:tcPr>
            <w:tcW w:w="1559" w:type="dxa"/>
            <w:tcBorders>
              <w:top w:val="nil"/>
              <w:left w:val="nil"/>
              <w:bottom w:val="single" w:sz="4" w:space="0" w:color="auto"/>
              <w:right w:val="single" w:sz="4" w:space="0" w:color="auto"/>
            </w:tcBorders>
            <w:shd w:val="clear" w:color="auto" w:fill="auto"/>
            <w:vAlign w:val="bottom"/>
            <w:hideMark/>
          </w:tcPr>
          <w:p w:rsidR="005729F5" w:rsidRPr="00FF4565" w:rsidRDefault="005729F5" w:rsidP="006D0874">
            <w:pPr>
              <w:spacing w:before="0" w:after="0"/>
              <w:jc w:val="right"/>
              <w:rPr>
                <w:rFonts w:cs="Arial"/>
                <w:color w:val="000000"/>
                <w:sz w:val="18"/>
                <w:szCs w:val="18"/>
              </w:rPr>
            </w:pPr>
            <w:r w:rsidRPr="00FF4565">
              <w:rPr>
                <w:rFonts w:cs="Arial"/>
                <w:color w:val="000000"/>
                <w:sz w:val="18"/>
                <w:szCs w:val="18"/>
              </w:rPr>
              <w:t>16</w:t>
            </w:r>
          </w:p>
        </w:tc>
        <w:tc>
          <w:tcPr>
            <w:tcW w:w="3402" w:type="dxa"/>
            <w:tcBorders>
              <w:top w:val="nil"/>
              <w:left w:val="nil"/>
              <w:bottom w:val="single" w:sz="4" w:space="0" w:color="auto"/>
              <w:right w:val="single" w:sz="4" w:space="0" w:color="auto"/>
            </w:tcBorders>
          </w:tcPr>
          <w:p w:rsidR="005729F5" w:rsidRPr="00FF4565" w:rsidRDefault="005729F5" w:rsidP="006D0874">
            <w:pPr>
              <w:spacing w:before="0" w:after="0"/>
              <w:jc w:val="right"/>
              <w:rPr>
                <w:rFonts w:cs="Arial"/>
                <w:color w:val="000000"/>
                <w:sz w:val="16"/>
                <w:szCs w:val="18"/>
              </w:rPr>
            </w:pPr>
          </w:p>
        </w:tc>
      </w:tr>
      <w:tr w:rsidR="005729F5" w:rsidRPr="00FF4565" w:rsidTr="006D0874">
        <w:trPr>
          <w:trHeight w:val="255"/>
        </w:trPr>
        <w:tc>
          <w:tcPr>
            <w:tcW w:w="2020" w:type="dxa"/>
            <w:tcBorders>
              <w:top w:val="nil"/>
              <w:left w:val="single" w:sz="4" w:space="0" w:color="auto"/>
              <w:bottom w:val="single" w:sz="4" w:space="0" w:color="auto"/>
              <w:right w:val="single" w:sz="4" w:space="0" w:color="auto"/>
            </w:tcBorders>
            <w:shd w:val="clear" w:color="auto" w:fill="auto"/>
            <w:vAlign w:val="center"/>
            <w:hideMark/>
          </w:tcPr>
          <w:p w:rsidR="005729F5" w:rsidRPr="00FF4565" w:rsidRDefault="005729F5" w:rsidP="006D0874">
            <w:pPr>
              <w:spacing w:before="0" w:after="0"/>
              <w:rPr>
                <w:rFonts w:cs="Arial"/>
                <w:color w:val="000000"/>
                <w:sz w:val="18"/>
                <w:szCs w:val="18"/>
              </w:rPr>
            </w:pPr>
            <w:r w:rsidRPr="00FF4565">
              <w:rPr>
                <w:rFonts w:cs="Arial"/>
                <w:color w:val="000000"/>
                <w:sz w:val="18"/>
                <w:szCs w:val="18"/>
              </w:rPr>
              <w:t>Urgell</w:t>
            </w:r>
          </w:p>
        </w:tc>
        <w:tc>
          <w:tcPr>
            <w:tcW w:w="1030" w:type="dxa"/>
            <w:tcBorders>
              <w:top w:val="nil"/>
              <w:left w:val="nil"/>
              <w:bottom w:val="single" w:sz="4" w:space="0" w:color="auto"/>
              <w:right w:val="single" w:sz="4" w:space="0" w:color="auto"/>
            </w:tcBorders>
            <w:shd w:val="clear" w:color="auto" w:fill="auto"/>
            <w:vAlign w:val="bottom"/>
            <w:hideMark/>
          </w:tcPr>
          <w:p w:rsidR="005729F5" w:rsidRPr="00FF4565" w:rsidRDefault="005729F5" w:rsidP="006D0874">
            <w:pPr>
              <w:spacing w:before="0" w:after="0"/>
              <w:jc w:val="right"/>
              <w:rPr>
                <w:rFonts w:cs="Arial"/>
                <w:color w:val="000000"/>
                <w:sz w:val="18"/>
                <w:szCs w:val="18"/>
              </w:rPr>
            </w:pPr>
            <w:r w:rsidRPr="00FF4565">
              <w:rPr>
                <w:rFonts w:cs="Arial"/>
                <w:color w:val="000000"/>
                <w:sz w:val="18"/>
                <w:szCs w:val="18"/>
              </w:rPr>
              <w:t>36.308</w:t>
            </w:r>
          </w:p>
        </w:tc>
        <w:tc>
          <w:tcPr>
            <w:tcW w:w="1360" w:type="dxa"/>
            <w:tcBorders>
              <w:top w:val="nil"/>
              <w:left w:val="nil"/>
              <w:bottom w:val="single" w:sz="4" w:space="0" w:color="auto"/>
              <w:right w:val="single" w:sz="4" w:space="0" w:color="auto"/>
            </w:tcBorders>
            <w:shd w:val="clear" w:color="auto" w:fill="auto"/>
            <w:vAlign w:val="bottom"/>
            <w:hideMark/>
          </w:tcPr>
          <w:p w:rsidR="005729F5" w:rsidRPr="00FF4565" w:rsidRDefault="005729F5" w:rsidP="006D0874">
            <w:pPr>
              <w:spacing w:before="0" w:after="0"/>
              <w:jc w:val="right"/>
              <w:rPr>
                <w:rFonts w:cs="Arial"/>
                <w:color w:val="000000"/>
                <w:sz w:val="18"/>
                <w:szCs w:val="18"/>
              </w:rPr>
            </w:pPr>
            <w:r w:rsidRPr="00FF4565">
              <w:rPr>
                <w:rFonts w:cs="Arial"/>
                <w:color w:val="000000"/>
                <w:sz w:val="18"/>
                <w:szCs w:val="18"/>
              </w:rPr>
              <w:t>579,7</w:t>
            </w:r>
          </w:p>
        </w:tc>
        <w:tc>
          <w:tcPr>
            <w:tcW w:w="1559" w:type="dxa"/>
            <w:tcBorders>
              <w:top w:val="nil"/>
              <w:left w:val="nil"/>
              <w:bottom w:val="single" w:sz="4" w:space="0" w:color="auto"/>
              <w:right w:val="single" w:sz="4" w:space="0" w:color="auto"/>
            </w:tcBorders>
            <w:shd w:val="clear" w:color="auto" w:fill="auto"/>
            <w:vAlign w:val="bottom"/>
            <w:hideMark/>
          </w:tcPr>
          <w:p w:rsidR="005729F5" w:rsidRPr="00FF4565" w:rsidRDefault="005729F5" w:rsidP="006D0874">
            <w:pPr>
              <w:spacing w:before="0" w:after="0"/>
              <w:jc w:val="right"/>
              <w:rPr>
                <w:rFonts w:cs="Arial"/>
                <w:color w:val="000000"/>
                <w:sz w:val="18"/>
                <w:szCs w:val="18"/>
              </w:rPr>
            </w:pPr>
            <w:r w:rsidRPr="00FF4565">
              <w:rPr>
                <w:rFonts w:cs="Arial"/>
                <w:color w:val="000000"/>
                <w:sz w:val="18"/>
                <w:szCs w:val="18"/>
              </w:rPr>
              <w:t>62,6</w:t>
            </w:r>
          </w:p>
        </w:tc>
        <w:tc>
          <w:tcPr>
            <w:tcW w:w="3402" w:type="dxa"/>
            <w:tcBorders>
              <w:top w:val="nil"/>
              <w:left w:val="nil"/>
              <w:bottom w:val="single" w:sz="4" w:space="0" w:color="auto"/>
              <w:right w:val="single" w:sz="4" w:space="0" w:color="auto"/>
            </w:tcBorders>
          </w:tcPr>
          <w:p w:rsidR="005729F5" w:rsidRPr="00FF4565" w:rsidRDefault="005729F5" w:rsidP="006D0874">
            <w:pPr>
              <w:spacing w:before="0" w:after="0"/>
              <w:jc w:val="right"/>
              <w:rPr>
                <w:rFonts w:cs="Arial"/>
                <w:color w:val="000000"/>
                <w:sz w:val="16"/>
                <w:szCs w:val="18"/>
              </w:rPr>
            </w:pPr>
          </w:p>
        </w:tc>
      </w:tr>
      <w:tr w:rsidR="005729F5" w:rsidRPr="00FF4565" w:rsidTr="006D0874">
        <w:trPr>
          <w:trHeight w:val="255"/>
        </w:trPr>
        <w:tc>
          <w:tcPr>
            <w:tcW w:w="2020" w:type="dxa"/>
            <w:tcBorders>
              <w:top w:val="nil"/>
              <w:left w:val="single" w:sz="4" w:space="0" w:color="auto"/>
              <w:bottom w:val="single" w:sz="4" w:space="0" w:color="auto"/>
              <w:right w:val="single" w:sz="4" w:space="0" w:color="auto"/>
            </w:tcBorders>
            <w:shd w:val="clear" w:color="auto" w:fill="auto"/>
            <w:vAlign w:val="center"/>
            <w:hideMark/>
          </w:tcPr>
          <w:p w:rsidR="005729F5" w:rsidRPr="00FF4565" w:rsidRDefault="005729F5" w:rsidP="006D0874">
            <w:pPr>
              <w:spacing w:before="0" w:after="0"/>
              <w:rPr>
                <w:rFonts w:cs="Arial"/>
                <w:color w:val="000000"/>
                <w:sz w:val="18"/>
                <w:szCs w:val="18"/>
              </w:rPr>
            </w:pPr>
            <w:r w:rsidRPr="00FF4565">
              <w:rPr>
                <w:rFonts w:cs="Arial"/>
                <w:color w:val="000000"/>
                <w:sz w:val="18"/>
                <w:szCs w:val="18"/>
              </w:rPr>
              <w:t>Val d'Aran</w:t>
            </w:r>
          </w:p>
        </w:tc>
        <w:tc>
          <w:tcPr>
            <w:tcW w:w="1030" w:type="dxa"/>
            <w:tcBorders>
              <w:top w:val="nil"/>
              <w:left w:val="nil"/>
              <w:bottom w:val="single" w:sz="4" w:space="0" w:color="auto"/>
              <w:right w:val="single" w:sz="4" w:space="0" w:color="auto"/>
            </w:tcBorders>
            <w:shd w:val="clear" w:color="auto" w:fill="auto"/>
            <w:vAlign w:val="bottom"/>
            <w:hideMark/>
          </w:tcPr>
          <w:p w:rsidR="005729F5" w:rsidRPr="00FF4565" w:rsidRDefault="005729F5" w:rsidP="006D0874">
            <w:pPr>
              <w:spacing w:before="0" w:after="0"/>
              <w:jc w:val="right"/>
              <w:rPr>
                <w:rFonts w:cs="Arial"/>
                <w:color w:val="000000"/>
                <w:sz w:val="18"/>
                <w:szCs w:val="18"/>
              </w:rPr>
            </w:pPr>
            <w:r w:rsidRPr="00FF4565">
              <w:rPr>
                <w:rFonts w:cs="Arial"/>
                <w:color w:val="000000"/>
                <w:sz w:val="18"/>
                <w:szCs w:val="18"/>
              </w:rPr>
              <w:t>9.926</w:t>
            </w:r>
          </w:p>
        </w:tc>
        <w:tc>
          <w:tcPr>
            <w:tcW w:w="1360" w:type="dxa"/>
            <w:tcBorders>
              <w:top w:val="nil"/>
              <w:left w:val="nil"/>
              <w:bottom w:val="single" w:sz="4" w:space="0" w:color="auto"/>
              <w:right w:val="single" w:sz="4" w:space="0" w:color="auto"/>
            </w:tcBorders>
            <w:shd w:val="clear" w:color="auto" w:fill="auto"/>
            <w:vAlign w:val="bottom"/>
            <w:hideMark/>
          </w:tcPr>
          <w:p w:rsidR="005729F5" w:rsidRPr="00FF4565" w:rsidRDefault="005729F5" w:rsidP="006D0874">
            <w:pPr>
              <w:spacing w:before="0" w:after="0"/>
              <w:jc w:val="right"/>
              <w:rPr>
                <w:rFonts w:cs="Arial"/>
                <w:color w:val="000000"/>
                <w:sz w:val="18"/>
                <w:szCs w:val="18"/>
              </w:rPr>
            </w:pPr>
            <w:r w:rsidRPr="00FF4565">
              <w:rPr>
                <w:rFonts w:cs="Arial"/>
                <w:color w:val="000000"/>
                <w:sz w:val="18"/>
                <w:szCs w:val="18"/>
              </w:rPr>
              <w:t>633,6</w:t>
            </w:r>
          </w:p>
        </w:tc>
        <w:tc>
          <w:tcPr>
            <w:tcW w:w="1559" w:type="dxa"/>
            <w:tcBorders>
              <w:top w:val="nil"/>
              <w:left w:val="nil"/>
              <w:bottom w:val="single" w:sz="4" w:space="0" w:color="auto"/>
              <w:right w:val="single" w:sz="4" w:space="0" w:color="auto"/>
            </w:tcBorders>
            <w:shd w:val="clear" w:color="auto" w:fill="auto"/>
            <w:vAlign w:val="bottom"/>
            <w:hideMark/>
          </w:tcPr>
          <w:p w:rsidR="005729F5" w:rsidRPr="00FF4565" w:rsidRDefault="005729F5" w:rsidP="006D0874">
            <w:pPr>
              <w:spacing w:before="0" w:after="0"/>
              <w:jc w:val="right"/>
              <w:rPr>
                <w:rFonts w:cs="Arial"/>
                <w:color w:val="000000"/>
                <w:sz w:val="18"/>
                <w:szCs w:val="18"/>
              </w:rPr>
            </w:pPr>
            <w:r w:rsidRPr="00FF4565">
              <w:rPr>
                <w:rFonts w:cs="Arial"/>
                <w:color w:val="000000"/>
                <w:sz w:val="18"/>
                <w:szCs w:val="18"/>
              </w:rPr>
              <w:t>15,7</w:t>
            </w:r>
          </w:p>
        </w:tc>
        <w:tc>
          <w:tcPr>
            <w:tcW w:w="3402" w:type="dxa"/>
            <w:tcBorders>
              <w:top w:val="nil"/>
              <w:left w:val="nil"/>
              <w:bottom w:val="single" w:sz="4" w:space="0" w:color="auto"/>
              <w:right w:val="single" w:sz="4" w:space="0" w:color="auto"/>
            </w:tcBorders>
          </w:tcPr>
          <w:p w:rsidR="005729F5" w:rsidRPr="00FF4565" w:rsidRDefault="005729F5" w:rsidP="006D0874">
            <w:pPr>
              <w:spacing w:before="0" w:after="0"/>
              <w:jc w:val="right"/>
              <w:rPr>
                <w:rFonts w:cs="Arial"/>
                <w:color w:val="000000"/>
                <w:sz w:val="16"/>
                <w:szCs w:val="18"/>
              </w:rPr>
            </w:pPr>
          </w:p>
        </w:tc>
      </w:tr>
      <w:tr w:rsidR="005729F5" w:rsidRPr="00FF4565" w:rsidTr="006D0874">
        <w:trPr>
          <w:trHeight w:val="255"/>
        </w:trPr>
        <w:tc>
          <w:tcPr>
            <w:tcW w:w="2020" w:type="dxa"/>
            <w:tcBorders>
              <w:top w:val="nil"/>
              <w:left w:val="single" w:sz="4" w:space="0" w:color="auto"/>
              <w:bottom w:val="single" w:sz="4" w:space="0" w:color="auto"/>
              <w:right w:val="single" w:sz="4" w:space="0" w:color="auto"/>
            </w:tcBorders>
            <w:shd w:val="clear" w:color="auto" w:fill="auto"/>
            <w:vAlign w:val="center"/>
            <w:hideMark/>
          </w:tcPr>
          <w:p w:rsidR="005729F5" w:rsidRPr="00FF4565" w:rsidRDefault="005729F5" w:rsidP="006D0874">
            <w:pPr>
              <w:spacing w:before="0" w:after="0"/>
              <w:rPr>
                <w:rFonts w:cs="Arial"/>
                <w:color w:val="000000"/>
                <w:sz w:val="18"/>
                <w:szCs w:val="18"/>
              </w:rPr>
            </w:pPr>
            <w:r w:rsidRPr="00FF4565">
              <w:rPr>
                <w:rFonts w:cs="Arial"/>
                <w:color w:val="000000"/>
                <w:sz w:val="18"/>
                <w:szCs w:val="18"/>
              </w:rPr>
              <w:t>Vallès Occidental</w:t>
            </w:r>
          </w:p>
        </w:tc>
        <w:tc>
          <w:tcPr>
            <w:tcW w:w="1030" w:type="dxa"/>
            <w:tcBorders>
              <w:top w:val="nil"/>
              <w:left w:val="nil"/>
              <w:bottom w:val="single" w:sz="4" w:space="0" w:color="auto"/>
              <w:right w:val="single" w:sz="4" w:space="0" w:color="auto"/>
            </w:tcBorders>
            <w:shd w:val="clear" w:color="auto" w:fill="auto"/>
            <w:vAlign w:val="bottom"/>
            <w:hideMark/>
          </w:tcPr>
          <w:p w:rsidR="005729F5" w:rsidRPr="00FF4565" w:rsidRDefault="005729F5" w:rsidP="006D0874">
            <w:pPr>
              <w:spacing w:before="0" w:after="0"/>
              <w:jc w:val="right"/>
              <w:rPr>
                <w:rFonts w:cs="Arial"/>
                <w:color w:val="000000"/>
                <w:sz w:val="18"/>
                <w:szCs w:val="18"/>
              </w:rPr>
            </w:pPr>
            <w:r w:rsidRPr="00FF4565">
              <w:rPr>
                <w:rFonts w:cs="Arial"/>
                <w:color w:val="000000"/>
                <w:sz w:val="18"/>
                <w:szCs w:val="18"/>
              </w:rPr>
              <w:t>900.661</w:t>
            </w:r>
          </w:p>
        </w:tc>
        <w:tc>
          <w:tcPr>
            <w:tcW w:w="1360" w:type="dxa"/>
            <w:tcBorders>
              <w:top w:val="nil"/>
              <w:left w:val="nil"/>
              <w:bottom w:val="single" w:sz="4" w:space="0" w:color="auto"/>
              <w:right w:val="single" w:sz="4" w:space="0" w:color="auto"/>
            </w:tcBorders>
            <w:shd w:val="clear" w:color="auto" w:fill="auto"/>
            <w:vAlign w:val="bottom"/>
            <w:hideMark/>
          </w:tcPr>
          <w:p w:rsidR="005729F5" w:rsidRPr="00FF4565" w:rsidRDefault="005729F5" w:rsidP="006D0874">
            <w:pPr>
              <w:spacing w:before="0" w:after="0"/>
              <w:jc w:val="right"/>
              <w:rPr>
                <w:rFonts w:cs="Arial"/>
                <w:color w:val="000000"/>
                <w:sz w:val="18"/>
                <w:szCs w:val="18"/>
              </w:rPr>
            </w:pPr>
            <w:r w:rsidRPr="00FF4565">
              <w:rPr>
                <w:rFonts w:cs="Arial"/>
                <w:color w:val="000000"/>
                <w:sz w:val="18"/>
                <w:szCs w:val="18"/>
              </w:rPr>
              <w:t>583,1</w:t>
            </w:r>
          </w:p>
        </w:tc>
        <w:tc>
          <w:tcPr>
            <w:tcW w:w="1559" w:type="dxa"/>
            <w:tcBorders>
              <w:top w:val="nil"/>
              <w:left w:val="nil"/>
              <w:bottom w:val="single" w:sz="4" w:space="0" w:color="auto"/>
              <w:right w:val="single" w:sz="4" w:space="0" w:color="auto"/>
            </w:tcBorders>
            <w:shd w:val="clear" w:color="auto" w:fill="auto"/>
            <w:vAlign w:val="bottom"/>
            <w:hideMark/>
          </w:tcPr>
          <w:p w:rsidR="005729F5" w:rsidRPr="00FF4565" w:rsidRDefault="005729F5" w:rsidP="006D0874">
            <w:pPr>
              <w:spacing w:before="0" w:after="0"/>
              <w:jc w:val="right"/>
              <w:rPr>
                <w:rFonts w:cs="Arial"/>
                <w:color w:val="000000"/>
                <w:sz w:val="18"/>
                <w:szCs w:val="18"/>
              </w:rPr>
            </w:pPr>
            <w:r w:rsidRPr="00FF4565">
              <w:rPr>
                <w:rFonts w:cs="Arial"/>
                <w:color w:val="000000"/>
                <w:sz w:val="18"/>
                <w:szCs w:val="18"/>
              </w:rPr>
              <w:t>1.544,50</w:t>
            </w:r>
          </w:p>
        </w:tc>
        <w:tc>
          <w:tcPr>
            <w:tcW w:w="3402" w:type="dxa"/>
            <w:tcBorders>
              <w:top w:val="nil"/>
              <w:left w:val="nil"/>
              <w:bottom w:val="single" w:sz="4" w:space="0" w:color="auto"/>
              <w:right w:val="single" w:sz="4" w:space="0" w:color="auto"/>
            </w:tcBorders>
          </w:tcPr>
          <w:p w:rsidR="005729F5" w:rsidRPr="00FF4565" w:rsidRDefault="005729F5" w:rsidP="006D0874">
            <w:pPr>
              <w:spacing w:before="0" w:after="0"/>
              <w:jc w:val="right"/>
              <w:rPr>
                <w:rFonts w:cs="Arial"/>
                <w:color w:val="000000"/>
                <w:sz w:val="16"/>
                <w:szCs w:val="18"/>
              </w:rPr>
            </w:pPr>
          </w:p>
        </w:tc>
      </w:tr>
      <w:tr w:rsidR="005729F5" w:rsidRPr="00FF4565" w:rsidTr="006D0874">
        <w:trPr>
          <w:trHeight w:val="255"/>
        </w:trPr>
        <w:tc>
          <w:tcPr>
            <w:tcW w:w="202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5729F5" w:rsidRPr="00FF4565" w:rsidRDefault="005729F5" w:rsidP="006D0874">
            <w:pPr>
              <w:spacing w:before="0" w:after="0"/>
              <w:rPr>
                <w:rFonts w:cs="Arial"/>
                <w:color w:val="000000"/>
                <w:sz w:val="18"/>
                <w:szCs w:val="18"/>
              </w:rPr>
            </w:pPr>
            <w:r w:rsidRPr="00FF4565">
              <w:rPr>
                <w:rFonts w:cs="Arial"/>
                <w:color w:val="000000"/>
                <w:sz w:val="18"/>
                <w:szCs w:val="18"/>
              </w:rPr>
              <w:t>Vallès Oriental</w:t>
            </w:r>
          </w:p>
        </w:tc>
        <w:tc>
          <w:tcPr>
            <w:tcW w:w="1030" w:type="dxa"/>
            <w:tcBorders>
              <w:top w:val="nil"/>
              <w:left w:val="nil"/>
              <w:bottom w:val="single" w:sz="4" w:space="0" w:color="auto"/>
              <w:right w:val="single" w:sz="4" w:space="0" w:color="auto"/>
            </w:tcBorders>
            <w:shd w:val="clear" w:color="auto" w:fill="D9D9D9" w:themeFill="background1" w:themeFillShade="D9"/>
            <w:vAlign w:val="bottom"/>
            <w:hideMark/>
          </w:tcPr>
          <w:p w:rsidR="005729F5" w:rsidRPr="00FF4565" w:rsidRDefault="005729F5" w:rsidP="006D0874">
            <w:pPr>
              <w:spacing w:before="0" w:after="0"/>
              <w:jc w:val="right"/>
              <w:rPr>
                <w:rFonts w:cs="Arial"/>
                <w:color w:val="000000"/>
                <w:sz w:val="18"/>
                <w:szCs w:val="18"/>
              </w:rPr>
            </w:pPr>
            <w:r w:rsidRPr="00FF4565">
              <w:rPr>
                <w:rFonts w:cs="Arial"/>
                <w:color w:val="000000"/>
                <w:sz w:val="18"/>
                <w:szCs w:val="18"/>
              </w:rPr>
              <w:t>400.375</w:t>
            </w:r>
          </w:p>
        </w:tc>
        <w:tc>
          <w:tcPr>
            <w:tcW w:w="1360" w:type="dxa"/>
            <w:tcBorders>
              <w:top w:val="nil"/>
              <w:left w:val="nil"/>
              <w:bottom w:val="single" w:sz="4" w:space="0" w:color="auto"/>
              <w:right w:val="single" w:sz="4" w:space="0" w:color="auto"/>
            </w:tcBorders>
            <w:shd w:val="clear" w:color="auto" w:fill="D9D9D9" w:themeFill="background1" w:themeFillShade="D9"/>
            <w:vAlign w:val="bottom"/>
            <w:hideMark/>
          </w:tcPr>
          <w:p w:rsidR="005729F5" w:rsidRPr="00FF4565" w:rsidRDefault="005729F5" w:rsidP="006D0874">
            <w:pPr>
              <w:spacing w:before="0" w:after="0"/>
              <w:jc w:val="right"/>
              <w:rPr>
                <w:rFonts w:cs="Arial"/>
                <w:color w:val="000000"/>
                <w:sz w:val="18"/>
                <w:szCs w:val="18"/>
              </w:rPr>
            </w:pPr>
            <w:r w:rsidRPr="00FF4565">
              <w:rPr>
                <w:rFonts w:cs="Arial"/>
                <w:color w:val="000000"/>
                <w:sz w:val="18"/>
                <w:szCs w:val="18"/>
              </w:rPr>
              <w:t>735</w:t>
            </w:r>
          </w:p>
        </w:tc>
        <w:tc>
          <w:tcPr>
            <w:tcW w:w="1559" w:type="dxa"/>
            <w:tcBorders>
              <w:top w:val="nil"/>
              <w:left w:val="nil"/>
              <w:bottom w:val="single" w:sz="4" w:space="0" w:color="auto"/>
              <w:right w:val="single" w:sz="4" w:space="0" w:color="auto"/>
            </w:tcBorders>
            <w:shd w:val="clear" w:color="auto" w:fill="D9D9D9" w:themeFill="background1" w:themeFillShade="D9"/>
            <w:vAlign w:val="bottom"/>
            <w:hideMark/>
          </w:tcPr>
          <w:p w:rsidR="005729F5" w:rsidRPr="00FF4565" w:rsidRDefault="005729F5" w:rsidP="006D0874">
            <w:pPr>
              <w:spacing w:before="0" w:after="0"/>
              <w:jc w:val="right"/>
              <w:rPr>
                <w:rFonts w:cs="Arial"/>
                <w:color w:val="000000"/>
                <w:sz w:val="18"/>
                <w:szCs w:val="18"/>
              </w:rPr>
            </w:pPr>
            <w:r w:rsidRPr="00FF4565">
              <w:rPr>
                <w:rFonts w:cs="Arial"/>
                <w:color w:val="000000"/>
                <w:sz w:val="18"/>
                <w:szCs w:val="18"/>
              </w:rPr>
              <w:t>544,7</w:t>
            </w:r>
          </w:p>
        </w:tc>
        <w:tc>
          <w:tcPr>
            <w:tcW w:w="3402" w:type="dxa"/>
            <w:tcBorders>
              <w:top w:val="nil"/>
              <w:left w:val="nil"/>
              <w:bottom w:val="single" w:sz="4" w:space="0" w:color="auto"/>
              <w:right w:val="single" w:sz="4" w:space="0" w:color="auto"/>
            </w:tcBorders>
            <w:shd w:val="clear" w:color="auto" w:fill="D9D9D9" w:themeFill="background1" w:themeFillShade="D9"/>
          </w:tcPr>
          <w:p w:rsidR="005729F5" w:rsidRPr="00FF4565" w:rsidRDefault="005729F5" w:rsidP="006D0874">
            <w:pPr>
              <w:spacing w:before="0" w:after="0"/>
              <w:jc w:val="right"/>
              <w:rPr>
                <w:rFonts w:cs="Arial"/>
                <w:color w:val="000000"/>
                <w:sz w:val="16"/>
                <w:szCs w:val="18"/>
              </w:rPr>
            </w:pPr>
            <w:r w:rsidRPr="00FF4565">
              <w:rPr>
                <w:rFonts w:cs="Arial"/>
                <w:color w:val="000000"/>
                <w:sz w:val="16"/>
                <w:szCs w:val="18"/>
              </w:rPr>
              <w:t>CP Quatre Camins i Joves Quatre Camins</w:t>
            </w:r>
          </w:p>
        </w:tc>
      </w:tr>
    </w:tbl>
    <w:p w:rsidR="005729F5" w:rsidRPr="00FF4565" w:rsidRDefault="005729F5" w:rsidP="006D0874">
      <w:r w:rsidRPr="00FF4565">
        <w:rPr>
          <w:rFonts w:cs="Arial"/>
          <w:color w:val="000000"/>
        </w:rPr>
        <w:t xml:space="preserve">Institut d'Estadística de Catalunya. </w:t>
      </w:r>
      <w:hyperlink r:id="rId75" w:history="1">
        <w:r w:rsidRPr="00FF4565">
          <w:rPr>
            <w:rFonts w:cs="Arial"/>
            <w:color w:val="0000FF"/>
            <w:u w:val="single"/>
          </w:rPr>
          <w:t>http://www.idescat.cat/pub/aec/249</w:t>
        </w:r>
      </w:hyperlink>
    </w:p>
    <w:p w:rsidR="005729F5" w:rsidRPr="00FF4565" w:rsidRDefault="005729F5" w:rsidP="0070401F">
      <w:pPr>
        <w:pStyle w:val="Ttol2"/>
      </w:pPr>
      <w:bookmarkStart w:id="522" w:name="_Toc463948204"/>
      <w:bookmarkStart w:id="523" w:name="_Toc464685719"/>
      <w:bookmarkStart w:id="524" w:name="_Toc465293457"/>
      <w:r w:rsidRPr="00FF4565">
        <w:lastRenderedPageBreak/>
        <w:t xml:space="preserve">Característiques </w:t>
      </w:r>
      <w:r w:rsidRPr="005729F5">
        <w:t>arquitectòniques</w:t>
      </w:r>
      <w:r w:rsidRPr="00FF4565">
        <w:t xml:space="preserve"> de les infraestructures</w:t>
      </w:r>
      <w:bookmarkEnd w:id="522"/>
      <w:bookmarkEnd w:id="523"/>
      <w:bookmarkEnd w:id="524"/>
    </w:p>
    <w:p w:rsidR="005729F5" w:rsidRPr="00FF4565" w:rsidRDefault="005729F5" w:rsidP="006D0874">
      <w:r w:rsidRPr="00FF4565">
        <w:t>L’organització penitenciària és un ambient on reclusos i funcionaris interactuen</w:t>
      </w:r>
      <w:r w:rsidRPr="00FF4565">
        <w:rPr>
          <w:color w:val="C00000"/>
        </w:rPr>
        <w:t xml:space="preserve"> </w:t>
      </w:r>
      <w:r w:rsidRPr="00FF4565">
        <w:t xml:space="preserve">de forma contínua. L’estructura física de </w:t>
      </w:r>
      <w:r>
        <w:t>la presó modula aquesta relació</w:t>
      </w:r>
      <w:r w:rsidRPr="00FF4565">
        <w:t xml:space="preserve"> perquè les estructures arquitectòniques poden influir i canviar els comportaments dels subjectes.</w:t>
      </w:r>
    </w:p>
    <w:p w:rsidR="005729F5" w:rsidRPr="00FF4565" w:rsidRDefault="005729F5" w:rsidP="006D0874">
      <w:r w:rsidRPr="00FF4565">
        <w:t>Actualment, la demanda en l’arquitectura penitenciària és el disseny d’estructures més normalitzades, amb espais oberts en combinació amb espais d’intimitat, que garanteixin la seguretat i l’accés als serveis comuns de la població penitenciària. Aquestes estructures tenen les característiques següents:</w:t>
      </w:r>
    </w:p>
    <w:p w:rsidR="005729F5" w:rsidRPr="00FF4565" w:rsidRDefault="005729F5" w:rsidP="00055E6C">
      <w:pPr>
        <w:pStyle w:val="Pargrafdellista"/>
        <w:numPr>
          <w:ilvl w:val="0"/>
          <w:numId w:val="31"/>
        </w:numPr>
      </w:pPr>
      <w:r w:rsidRPr="00FF4565">
        <w:t>Faciliten la proximitat dels professionals amb els interns per tal de potenciar-ne el mutu coneixement.</w:t>
      </w:r>
    </w:p>
    <w:p w:rsidR="005729F5" w:rsidRPr="00FF4565" w:rsidRDefault="005729F5" w:rsidP="00055E6C">
      <w:pPr>
        <w:pStyle w:val="Pargrafdellista"/>
        <w:numPr>
          <w:ilvl w:val="0"/>
          <w:numId w:val="31"/>
        </w:numPr>
      </w:pPr>
      <w:r w:rsidRPr="00FF4565">
        <w:t>Són permeables a l’exterior i cerquen l’apropament a la comunitat i a l’entorn.</w:t>
      </w:r>
    </w:p>
    <w:p w:rsidR="005729F5" w:rsidRPr="00FF4565" w:rsidRDefault="005729F5" w:rsidP="00055E6C">
      <w:pPr>
        <w:pStyle w:val="Pargrafdellista"/>
        <w:numPr>
          <w:ilvl w:val="0"/>
          <w:numId w:val="31"/>
        </w:numPr>
      </w:pPr>
      <w:r w:rsidRPr="00FF4565">
        <w:t>La seguretat és bàsicament activa o preventiva, encaminada a detectar possibles situacions problemàtiques abans no es produeixin.</w:t>
      </w:r>
    </w:p>
    <w:p w:rsidR="005729F5" w:rsidRPr="00FF4565" w:rsidRDefault="005729F5" w:rsidP="00055E6C">
      <w:pPr>
        <w:pStyle w:val="Pargrafdellista"/>
        <w:numPr>
          <w:ilvl w:val="0"/>
          <w:numId w:val="31"/>
        </w:numPr>
      </w:pPr>
      <w:r w:rsidRPr="00FF4565">
        <w:t>La seguretat passiva o reactiva està determinada pels elements físics i tecnològics, que disminueixen la possibilitat d’èxit de qualsevol incident individual o col·lectiu. De tot</w:t>
      </w:r>
      <w:r>
        <w:t>a</w:t>
      </w:r>
      <w:r w:rsidRPr="00FF4565">
        <w:t xml:space="preserve"> maner</w:t>
      </w:r>
      <w:r>
        <w:t>a</w:t>
      </w:r>
      <w:r w:rsidRPr="00FF4565">
        <w:t>, però, els nivells de seguretat passiva s’adapten al perfil concret de la població ingressada en un centre determinat (diferents nivells de seguretat).</w:t>
      </w:r>
    </w:p>
    <w:p w:rsidR="005729F5" w:rsidRPr="00FF4565" w:rsidRDefault="005729F5" w:rsidP="00055E6C">
      <w:pPr>
        <w:pStyle w:val="Pargrafdellista"/>
        <w:numPr>
          <w:ilvl w:val="0"/>
          <w:numId w:val="31"/>
        </w:numPr>
      </w:pPr>
      <w:r w:rsidRPr="00FF4565">
        <w:t>Les noves tecnologies estan presents per facilitar la seguretat, el control, el rigor documental i la gestió administrativa i la comunicació de la informació.</w:t>
      </w:r>
    </w:p>
    <w:p w:rsidR="005729F5" w:rsidRPr="00FF4565" w:rsidRDefault="005729F5" w:rsidP="00055E6C">
      <w:pPr>
        <w:pStyle w:val="Pargrafdellista"/>
        <w:numPr>
          <w:ilvl w:val="0"/>
          <w:numId w:val="31"/>
        </w:numPr>
      </w:pPr>
      <w:r w:rsidRPr="00FF4565">
        <w:t>Les noves tecnologies estan també presents com a eina d’intervenció educativa amb els interns.</w:t>
      </w:r>
    </w:p>
    <w:p w:rsidR="005729F5" w:rsidRPr="00FF4565" w:rsidRDefault="005729F5" w:rsidP="00055E6C">
      <w:pPr>
        <w:pStyle w:val="Pargrafdellista"/>
        <w:numPr>
          <w:ilvl w:val="0"/>
          <w:numId w:val="31"/>
        </w:numPr>
      </w:pPr>
      <w:r w:rsidRPr="00FF4565">
        <w:t>Tenen un disseny dels espais que permet ajudar a prevenir l’impacte institucional negatiu sobre les persones.</w:t>
      </w:r>
    </w:p>
    <w:p w:rsidR="005729F5" w:rsidRPr="00FF4565" w:rsidRDefault="005729F5" w:rsidP="00055E6C">
      <w:pPr>
        <w:pStyle w:val="Pargrafdellista"/>
        <w:numPr>
          <w:ilvl w:val="0"/>
          <w:numId w:val="31"/>
        </w:numPr>
      </w:pPr>
      <w:r w:rsidRPr="00FF4565">
        <w:t>L’arquitectura es basa en conceptes de funcionalitat que doten els centres d’espais adequats per a la posada en acció dels diferents processos de rehabilitació: comunicació i informació a la població interna, atenció individualitzada, intervenció grupal, etc.</w:t>
      </w:r>
    </w:p>
    <w:p w:rsidR="005729F5" w:rsidRPr="00FF4565" w:rsidRDefault="005729F5" w:rsidP="00055E6C">
      <w:pPr>
        <w:pStyle w:val="Pargrafdellista"/>
        <w:numPr>
          <w:ilvl w:val="0"/>
          <w:numId w:val="31"/>
        </w:numPr>
      </w:pPr>
      <w:r w:rsidRPr="00FF4565">
        <w:t>La planificació dels espais té en compte els usos especialitzats que s’hi desenvoluparan amb les diverses accions de rehabilitació: educatives, formatives, laborals, terapèutiques, culturals o d’oci.</w:t>
      </w:r>
    </w:p>
    <w:p w:rsidR="005729F5" w:rsidRPr="00FF4565" w:rsidRDefault="005729F5" w:rsidP="00055E6C">
      <w:pPr>
        <w:pStyle w:val="Pargrafdellista"/>
        <w:numPr>
          <w:ilvl w:val="0"/>
          <w:numId w:val="31"/>
        </w:numPr>
      </w:pPr>
      <w:r w:rsidRPr="00FF4565">
        <w:t>Tenen com a finalitat la normalització i per això fan un tractament diferenciat dels espais: de convivència, residencials, destinats al treball o a l’estudi, destinats a activitats lúdiques o de lleure, etc.</w:t>
      </w:r>
    </w:p>
    <w:p w:rsidR="005729F5" w:rsidRPr="00FF4565" w:rsidRDefault="005729F5" w:rsidP="00055E6C">
      <w:pPr>
        <w:pStyle w:val="Pargrafdellista"/>
        <w:numPr>
          <w:ilvl w:val="0"/>
          <w:numId w:val="31"/>
        </w:numPr>
      </w:pPr>
      <w:r w:rsidRPr="00FF4565">
        <w:t>El disseny dels espais destinats a la comunicació amb la família i a l’atenció als fills dels interns té un tractament sensible.</w:t>
      </w:r>
    </w:p>
    <w:p w:rsidR="005729F5" w:rsidRPr="00FF4565" w:rsidRDefault="005729F5" w:rsidP="00055E6C">
      <w:pPr>
        <w:pStyle w:val="Pargrafdellista"/>
        <w:numPr>
          <w:ilvl w:val="0"/>
          <w:numId w:val="31"/>
        </w:numPr>
      </w:pPr>
      <w:r w:rsidRPr="00FF4565">
        <w:t>L’arquitectura considera la promoció de la salut i l’autocura com un punt clau.</w:t>
      </w:r>
    </w:p>
    <w:p w:rsidR="005729F5" w:rsidRPr="00FF4565" w:rsidRDefault="005729F5" w:rsidP="006D0874"/>
    <w:p w:rsidR="005729F5" w:rsidRPr="00FF4565" w:rsidRDefault="005729F5" w:rsidP="006D0874">
      <w:r w:rsidRPr="00FF4565">
        <w:t>No obstant això, fins a arribar als equipaments més moderns i de construcció recent, que tenen com a paradigma de disseny totes les variables esmentades, l’arquitectura penitenciària ha fet un recorregut i un desenvolupament lligat als diferents moments històrics i als diferents principis i models d’intervenció penitenciària. Tot seguit, exposarem breument la trajectòria del disseny i la construcció, així com la filosofia subjacent, de les diferents presons catalanes.</w:t>
      </w:r>
    </w:p>
    <w:p w:rsidR="005729F5" w:rsidRPr="00FF4565" w:rsidRDefault="005729F5" w:rsidP="006D0874"/>
    <w:p w:rsidR="005729F5" w:rsidRPr="00FF4565" w:rsidRDefault="005729F5" w:rsidP="0070401F">
      <w:pPr>
        <w:pStyle w:val="Ttol3"/>
      </w:pPr>
      <w:bookmarkStart w:id="525" w:name="_Toc463948205"/>
      <w:bookmarkStart w:id="526" w:name="_Toc464685720"/>
      <w:bookmarkStart w:id="527" w:name="_Toc465293458"/>
      <w:r w:rsidRPr="00FF4565">
        <w:lastRenderedPageBreak/>
        <w:t xml:space="preserve">Les </w:t>
      </w:r>
      <w:r w:rsidRPr="005729F5">
        <w:t>presons</w:t>
      </w:r>
      <w:r w:rsidRPr="00FF4565">
        <w:t xml:space="preserve"> model</w:t>
      </w:r>
      <w:bookmarkEnd w:id="525"/>
      <w:bookmarkEnd w:id="526"/>
      <w:bookmarkEnd w:id="527"/>
    </w:p>
    <w:p w:rsidR="005729F5" w:rsidRPr="00FF4565" w:rsidRDefault="005729F5" w:rsidP="006D0874">
      <w:r w:rsidRPr="00FF4565">
        <w:t xml:space="preserve">El 1787 el jurista i </w:t>
      </w:r>
      <w:r w:rsidRPr="00E27290">
        <w:t xml:space="preserve">filòsof </w:t>
      </w:r>
      <w:r w:rsidRPr="00FF4565">
        <w:t xml:space="preserve">utilitarista anglès Jeremy Bentham va publicar </w:t>
      </w:r>
      <w:r w:rsidRPr="00FF4565">
        <w:rPr>
          <w:i/>
          <w:iCs/>
        </w:rPr>
        <w:t>El panòptic</w:t>
      </w:r>
      <w:r w:rsidRPr="00FF4565">
        <w:t>, en què introduïa el terme i la proposta d’un especial disseny arquitectònic de les presons. La idea era la d’una presó circular, on en cada nivell del perímetre perifèric hi ha les cel·les individuals, totalment aïllades, en les quals cap pres pot sentir-ne ni veure’n cap altre. Totes les cel·les i espais són, però, visibles per al vigilant, que es troba situat en un espai central des d’on pot observar tots els interns, d’un cop d’ull, sense ser vist ell</w:t>
      </w:r>
      <w:r>
        <w:t xml:space="preserve">. Introdueix el concepte de la </w:t>
      </w:r>
      <w:r w:rsidRPr="00E27290">
        <w:rPr>
          <w:i/>
        </w:rPr>
        <w:t>dictadura de la mirada</w:t>
      </w:r>
      <w:r w:rsidRPr="00FF4565">
        <w:t xml:space="preserve">, que controla tot espai públic i privat. Es persegueix que els interns se sentin permanentment sota vigilància, encara que realment no ho estiguin, per fomentar el control i la disciplina. El panòptic ideava la </w:t>
      </w:r>
      <w:r w:rsidRPr="00FF4565">
        <w:rPr>
          <w:i/>
          <w:iCs/>
        </w:rPr>
        <w:t xml:space="preserve">presó model </w:t>
      </w:r>
      <w:r w:rsidRPr="00FF4565">
        <w:t>com un instrument de control social basat en la vigilància i, sobretot</w:t>
      </w:r>
      <w:r>
        <w:t>,</w:t>
      </w:r>
      <w:r w:rsidRPr="00FF4565">
        <w:t xml:space="preserve"> en la incertesa d’aquesta vigilància, per la seva capacitat de subordinació.</w:t>
      </w:r>
    </w:p>
    <w:p w:rsidR="005729F5" w:rsidRPr="00FF4565" w:rsidRDefault="005729F5" w:rsidP="006D0874">
      <w:r w:rsidRPr="00FF4565">
        <w:t>La construcció de presons seguint aquest model no va prosperar, llavors, ni a França, ni a Anglaterra, que són els indrets on Bentham les promulgava i proposava. Cap a 1970 Michel Foucault va reprendre el concepte d’una manera més moderada, reformulant la hipòtesi de Bentham: si s’indueix el subjecte a tenir consciència de visibilitat permanent, s’assegura el funcionament automàtic del poder (no en cal l’exercici real), que guanya en eficàcia i en capacitat de control en el comportament dels homes.</w:t>
      </w:r>
    </w:p>
    <w:p w:rsidR="005729F5" w:rsidRPr="00FF4565" w:rsidRDefault="005729F5" w:rsidP="006D0874">
      <w:r w:rsidRPr="00FF4565">
        <w:t>Així, Foucault propugna que “l’aparell arquitectònic sigui una màquina per crear i mantenir una relació de poder independent de la persona que l’exerceix, [...] que els presos quedin atrapats en una situació de poder de la qual ells mateixos en siguin portadors.” L’avantatge essencial d’aquest model és que permetia reduir el nombre dels que exerceixen el poder i multiplicar el nombre d’aquells sobre els quals s’exerceix, i també es creia que l’estat psicològic que genera en els interns actua com un factor preventiu dels conflictes.</w:t>
      </w:r>
    </w:p>
    <w:p w:rsidR="005729F5" w:rsidRPr="00E27290" w:rsidRDefault="005729F5" w:rsidP="006D0874">
      <w:pPr>
        <w:rPr>
          <w:spacing w:val="2"/>
        </w:rPr>
      </w:pPr>
      <w:r w:rsidRPr="00E27290">
        <w:rPr>
          <w:spacing w:val="2"/>
        </w:rPr>
        <w:t xml:space="preserve">A Espanya, però, el model de Bentham va instaurar-se entre finals de segle XIX i principis del segle XX, sota el terme </w:t>
      </w:r>
      <w:r w:rsidRPr="00E27290">
        <w:rPr>
          <w:i/>
          <w:iCs/>
          <w:spacing w:val="2"/>
        </w:rPr>
        <w:t>presons model</w:t>
      </w:r>
      <w:r w:rsidRPr="00E27290">
        <w:rPr>
          <w:spacing w:val="2"/>
        </w:rPr>
        <w:t xml:space="preserve">. </w:t>
      </w:r>
      <w:r w:rsidRPr="00E27290">
        <w:rPr>
          <w:b/>
          <w:spacing w:val="2"/>
        </w:rPr>
        <w:t>La</w:t>
      </w:r>
      <w:r w:rsidRPr="00E27290">
        <w:rPr>
          <w:spacing w:val="2"/>
        </w:rPr>
        <w:t xml:space="preserve"> </w:t>
      </w:r>
      <w:r w:rsidRPr="00E27290">
        <w:rPr>
          <w:b/>
          <w:spacing w:val="2"/>
        </w:rPr>
        <w:t>Model</w:t>
      </w:r>
      <w:r w:rsidRPr="00E27290">
        <w:rPr>
          <w:spacing w:val="2"/>
        </w:rPr>
        <w:t>, degana de les presons catalanes des que es va inaugurar el 1904 (actualment Centre Penitenciari d’Homes de Barcelona), s’ha convertit en símbol i testimoni de la història del país. El lema de la seva Junta Constructora –</w:t>
      </w:r>
      <w:r w:rsidRPr="00E27290">
        <w:rPr>
          <w:i/>
          <w:iCs/>
          <w:spacing w:val="2"/>
        </w:rPr>
        <w:t>In severitas humanitas</w:t>
      </w:r>
      <w:r w:rsidRPr="00E27290">
        <w:rPr>
          <w:spacing w:val="2"/>
        </w:rPr>
        <w:t>– posava de manifest una nova concepció penitenciària que s’anà consolidant entre la societat burgesa de l’època. D’acord amb aquesta concepció, el càstig deixava de concebre’s com a venjança o intimidació i passava a ser, cada vegada més, un mecanisme de reinserció social.</w:t>
      </w:r>
    </w:p>
    <w:p w:rsidR="005729F5" w:rsidRPr="00FF4565" w:rsidRDefault="00DB496B" w:rsidP="006D0874">
      <w:pPr>
        <w:jc w:val="center"/>
        <w:rPr>
          <w:i/>
          <w:color w:val="C00000"/>
          <w:u w:val="single"/>
        </w:rPr>
      </w:pPr>
      <w:r>
        <w:rPr>
          <w:color w:val="C00000"/>
        </w:rPr>
        <w:pict>
          <v:shape id="_x0000_i1026" type="#_x0000_t75" style="width:278.9pt;height:185pt">
            <v:imagedata r:id="rId76" o:title="Sin título-2"/>
          </v:shape>
        </w:pict>
      </w:r>
    </w:p>
    <w:p w:rsidR="005729F5" w:rsidRPr="00FF4565" w:rsidRDefault="005729F5" w:rsidP="006D0874">
      <w:r w:rsidRPr="00FF4565">
        <w:t>Contemporanis de la Model</w:t>
      </w:r>
      <w:r>
        <w:t>,</w:t>
      </w:r>
      <w:r w:rsidRPr="00FF4565">
        <w:t xml:space="preserve"> trobem altres centres del territori que en la seva construcció no van seguir el model panòptic ni altres qüestions relatives a la rehabilitació dels interns, més </w:t>
      </w:r>
      <w:r w:rsidRPr="00FF4565">
        <w:lastRenderedPageBreak/>
        <w:t>enllà de factors funcionals i de contenció. L’any 1911 es va inaugurar el CP de Figueres (tanca</w:t>
      </w:r>
      <w:r>
        <w:t xml:space="preserve">t </w:t>
      </w:r>
      <w:r w:rsidRPr="00FF4565">
        <w:t>l’any 2014)</w:t>
      </w:r>
      <w:r>
        <w:t>;</w:t>
      </w:r>
      <w:r w:rsidRPr="00FF4565">
        <w:t xml:space="preserve"> l’any 1953</w:t>
      </w:r>
      <w:r>
        <w:t>,</w:t>
      </w:r>
      <w:r w:rsidRPr="00FF4565">
        <w:t xml:space="preserve"> el CP de Tarragona (transforma</w:t>
      </w:r>
      <w:r>
        <w:t>t en centre de rè</w:t>
      </w:r>
      <w:r w:rsidRPr="00FF4565">
        <w:t>gim obert e</w:t>
      </w:r>
      <w:r>
        <w:t>l</w:t>
      </w:r>
      <w:r w:rsidRPr="00FF4565">
        <w:t xml:space="preserve"> 2015)</w:t>
      </w:r>
      <w:r>
        <w:t>,</w:t>
      </w:r>
      <w:r w:rsidRPr="00FF4565">
        <w:t xml:space="preserve"> i l’any 1967</w:t>
      </w:r>
      <w:r>
        <w:t>,</w:t>
      </w:r>
      <w:r w:rsidRPr="00FF4565">
        <w:t xml:space="preserve"> el CP </w:t>
      </w:r>
      <w:r>
        <w:t xml:space="preserve">de </w:t>
      </w:r>
      <w:r w:rsidRPr="00FF4565">
        <w:t>Girona (transforma</w:t>
      </w:r>
      <w:r>
        <w:t>t</w:t>
      </w:r>
      <w:r w:rsidRPr="00FF4565">
        <w:t xml:space="preserve"> en centre de r</w:t>
      </w:r>
      <w:r>
        <w:t>è</w:t>
      </w:r>
      <w:r w:rsidRPr="00FF4565">
        <w:t xml:space="preserve">gim obert </w:t>
      </w:r>
      <w:r>
        <w:t>e</w:t>
      </w:r>
      <w:r w:rsidRPr="00FF4565">
        <w:t xml:space="preserve">l 2014). La majoria d’aquests centres van complir funcions de presó provincial durant la dictadura franquista, i s’hi donava una gran diversitat de situacions penitenciàries, segons les necessitats de la població i segons el moment històric de referència, però tenien en comú la seva definició com </w:t>
      </w:r>
      <w:r>
        <w:t xml:space="preserve">a </w:t>
      </w:r>
      <w:r w:rsidRPr="00FF4565">
        <w:t>espais exclusivament de reclusió.</w:t>
      </w:r>
    </w:p>
    <w:p w:rsidR="005729F5" w:rsidRPr="00FF4565" w:rsidRDefault="005729F5" w:rsidP="0070401F">
      <w:pPr>
        <w:pStyle w:val="Ttol3"/>
      </w:pPr>
      <w:bookmarkStart w:id="528" w:name="_Toc463948206"/>
      <w:bookmarkStart w:id="529" w:name="_Toc464685721"/>
      <w:bookmarkStart w:id="530" w:name="_Toc465293459"/>
      <w:r w:rsidRPr="00FF4565">
        <w:t xml:space="preserve">Primer canvi en la </w:t>
      </w:r>
      <w:r w:rsidRPr="005729F5">
        <w:t>concepció</w:t>
      </w:r>
      <w:r w:rsidRPr="00FF4565">
        <w:t xml:space="preserve"> de l’ús dels espais</w:t>
      </w:r>
      <w:bookmarkEnd w:id="528"/>
      <w:bookmarkEnd w:id="529"/>
      <w:bookmarkEnd w:id="530"/>
    </w:p>
    <w:p w:rsidR="005729F5" w:rsidRPr="00FF4565" w:rsidRDefault="005729F5" w:rsidP="006D0874">
      <w:r w:rsidRPr="00FF4565">
        <w:t xml:space="preserve">El Centre Penitenciari Ponent, ubicat a Lleida, es va inaugurar també </w:t>
      </w:r>
      <w:r>
        <w:t>a</w:t>
      </w:r>
      <w:r w:rsidRPr="00FF4565">
        <w:t xml:space="preserve">ls anys 40 com a presó provincial del període franquista. A causa de l’augment de la població, més que no pas de qüestions </w:t>
      </w:r>
      <w:r>
        <w:t>relacionades</w:t>
      </w:r>
      <w:r w:rsidRPr="00FF4565">
        <w:t xml:space="preserve"> amb la rehabilitació dels interns, va haver-se d’ampliar, primer l’any 1964 i després l’any 1984, amb noves instal·lacions que van rebre el</w:t>
      </w:r>
      <w:r>
        <w:t>s</w:t>
      </w:r>
      <w:r w:rsidRPr="00FF4565">
        <w:t xml:space="preserve"> noms de Lleida 1 i 2. La seva situació és òptima: ben comunicat, però no en ple </w:t>
      </w:r>
      <w:r>
        <w:t>nucli</w:t>
      </w:r>
      <w:r w:rsidRPr="00FF4565">
        <w:t xml:space="preserve"> urbà, tot i que l’extensió de les zones residencials ha acabat arribant al mateix centre penitenciari.</w:t>
      </w:r>
    </w:p>
    <w:p w:rsidR="005729F5" w:rsidRPr="00FF4565" w:rsidRDefault="005729F5" w:rsidP="006D0874">
      <w:r w:rsidRPr="00FF4565">
        <w:t>Malgrat ser un centre amb recorregut històric, té una innovadora estructura descentralitzada, que trencava amb el model radial emprat fins llavors. A més, va suposar en aquell moment un gran avenç en matèria de v</w:t>
      </w:r>
      <w:r>
        <w:t>igilància, amb càmeres de circui</w:t>
      </w:r>
      <w:r w:rsidRPr="00FF4565">
        <w:t xml:space="preserve">t tancat i altres sistemes de control. Amb el nom actual de </w:t>
      </w:r>
      <w:r w:rsidRPr="005D1652">
        <w:rPr>
          <w:i/>
        </w:rPr>
        <w:t>Ponent</w:t>
      </w:r>
      <w:r>
        <w:t xml:space="preserve"> </w:t>
      </w:r>
      <w:r w:rsidRPr="00FF4565">
        <w:t>(l’antiga presó provincial es manté com a Centre Obert Lleida)</w:t>
      </w:r>
      <w:r>
        <w:t>,</w:t>
      </w:r>
      <w:r w:rsidRPr="00FF4565">
        <w:t xml:space="preserve"> ha pogut adaptar les seves dependències a les necessitats emergents de la població interna i ha organitzat l’espai en àrees especialitzades d’intervenció, de manera que disposa, per exemple, d’un </w:t>
      </w:r>
      <w:r>
        <w:t>d</w:t>
      </w:r>
      <w:r w:rsidRPr="00FF4565">
        <w:t>epartament d’</w:t>
      </w:r>
      <w:r>
        <w:t>a</w:t>
      </w:r>
      <w:r w:rsidRPr="00FF4565">
        <w:t xml:space="preserve">tenció </w:t>
      </w:r>
      <w:r>
        <w:t>e</w:t>
      </w:r>
      <w:r w:rsidRPr="00FF4565">
        <w:t xml:space="preserve">specialitzada en </w:t>
      </w:r>
      <w:r>
        <w:t>d</w:t>
      </w:r>
      <w:r w:rsidRPr="00FF4565">
        <w:t xml:space="preserve">rogodependències i un </w:t>
      </w:r>
      <w:r>
        <w:t>d</w:t>
      </w:r>
      <w:r w:rsidRPr="00FF4565">
        <w:t xml:space="preserve">epartament </w:t>
      </w:r>
      <w:r>
        <w:t>especial de règim t</w:t>
      </w:r>
      <w:r w:rsidRPr="00FF4565">
        <w:t>ancat (DERT).</w:t>
      </w:r>
    </w:p>
    <w:p w:rsidR="005729F5" w:rsidRPr="00FF4565" w:rsidRDefault="005729F5" w:rsidP="006D0874">
      <w:r w:rsidRPr="00FF4565">
        <w:t>Menció especial requereix el DERT de Ponent, ja que</w:t>
      </w:r>
      <w:r>
        <w:t>,</w:t>
      </w:r>
      <w:r w:rsidRPr="00FF4565">
        <w:t xml:space="preserve"> quan es va inaugurar</w:t>
      </w:r>
      <w:r>
        <w:t>,</w:t>
      </w:r>
      <w:r w:rsidRPr="00FF4565">
        <w:t xml:space="preserve"> </w:t>
      </w:r>
      <w:r>
        <w:t>era</w:t>
      </w:r>
      <w:r w:rsidRPr="00FF4565">
        <w:t xml:space="preserve"> el departament per a interns classificats</w:t>
      </w:r>
      <w:r>
        <w:t xml:space="preserve"> en primer grau de tractament mé</w:t>
      </w:r>
      <w:r w:rsidRPr="00FF4565">
        <w:t>s ben dotat de Catalunya. Els DERT dels centres, fins llavors, estaven concebuts com a unitats d’alta seguretat de l’interior del centre, destinades a la ubicació d’interns en compliment de sanció d’aïllament o per a primers graus de manera provisional. Així, eren unitats d’escassa capacitat de places i de fàcil trasllat d’interns entre la resta de mòduls o unitats residencials, en moments en què es requerissin mesures de contenció. El de Ponent va ser el primer departament d’aquestes característiques que es va concebre com una unitat residencial independent i diferenciada de la resta del centre, amb tot l’equipament i dotació de personal necessaris per fer possible una organització i un funcionament com a unitat de vida autònoma i amb espais de vida en comú, gimnàs, tallers productius, menjador comú, dependències per a la intervenció, etc.</w:t>
      </w:r>
    </w:p>
    <w:p w:rsidR="005729F5" w:rsidRPr="00FF4565" w:rsidRDefault="005729F5" w:rsidP="006D0874"/>
    <w:p w:rsidR="005729F5" w:rsidRPr="00FF4565" w:rsidRDefault="005729F5" w:rsidP="0070401F">
      <w:pPr>
        <w:pStyle w:val="Ttol3"/>
      </w:pPr>
      <w:bookmarkStart w:id="531" w:name="_Toc463948207"/>
      <w:bookmarkStart w:id="532" w:name="_Toc464685722"/>
      <w:bookmarkStart w:id="533" w:name="_Toc465293460"/>
      <w:r w:rsidRPr="00FF4565">
        <w:t xml:space="preserve">Adaptacions als centres </w:t>
      </w:r>
      <w:r w:rsidRPr="005729F5">
        <w:t>destinats</w:t>
      </w:r>
      <w:r w:rsidRPr="00FF4565">
        <w:t xml:space="preserve"> a dones i joves</w:t>
      </w:r>
      <w:bookmarkEnd w:id="531"/>
      <w:bookmarkEnd w:id="532"/>
      <w:bookmarkEnd w:id="533"/>
    </w:p>
    <w:p w:rsidR="005729F5" w:rsidRPr="00FF4565" w:rsidRDefault="005729F5" w:rsidP="006D0874">
      <w:r w:rsidRPr="003342A1">
        <w:rPr>
          <w:spacing w:val="-2"/>
        </w:rPr>
        <w:t>Contemporani de la Model, existeix l’edifici del carrer Doctor Trueta (abans Wad-Ras), amb diferents usos al llarg de la història, ja que l’Ajuntament de Barcelona va cedir el solar l’any 1912 per construir-hi una escola reformatori. L’obra, projectada per l’arquitecte Enric Sagnier, fou construïda l’any 1915 i guardonada amb el premi anual al millor edifici urbà que atorgava el mateix Ajuntament de Barcelona. Quan a la dècada dels setanta es desocupà –s’havia construït un nou reformatori fora de la ciutat–, part de l’edifici s’enderrocà per</w:t>
      </w:r>
      <w:r w:rsidRPr="00FF4565">
        <w:t xml:space="preserve"> aixecar-hi un institut. La resta va ser transformada en un centre de menors fins a l’any 1983, i en un centre penitenciari per </w:t>
      </w:r>
      <w:r>
        <w:t xml:space="preserve">a </w:t>
      </w:r>
      <w:r w:rsidRPr="00FF4565">
        <w:t>dones d’aleshores ençà.</w:t>
      </w:r>
    </w:p>
    <w:p w:rsidR="005729F5" w:rsidRPr="00FF4565" w:rsidRDefault="005729F5" w:rsidP="006D0874">
      <w:r w:rsidRPr="00FF4565">
        <w:t xml:space="preserve">L’estructura arquitectònica de l’actual Centre Penitenciari de </w:t>
      </w:r>
      <w:r w:rsidRPr="00FF4565">
        <w:rPr>
          <w:b/>
        </w:rPr>
        <w:t>Dones</w:t>
      </w:r>
      <w:r w:rsidRPr="00FF4565">
        <w:rPr>
          <w:color w:val="2046A6"/>
        </w:rPr>
        <w:t xml:space="preserve"> </w:t>
      </w:r>
      <w:r w:rsidRPr="00FF4565">
        <w:t xml:space="preserve">inicialment no era l’adequada per al compliment de presó, ja que l’edifici estava concebut per a altres finalitats que les </w:t>
      </w:r>
      <w:r>
        <w:t>penitenciàries. Així doncs, el C</w:t>
      </w:r>
      <w:r w:rsidRPr="00FF4565">
        <w:t xml:space="preserve">entre ha hagut d’anar adaptant al llarg dels anys les </w:t>
      </w:r>
      <w:r w:rsidRPr="00FF4565">
        <w:lastRenderedPageBreak/>
        <w:t xml:space="preserve">seves dependències a les necessitats de la població interna femenina i s’ha dotat d’un departament de mares i d’una guarderia per als fills menors de </w:t>
      </w:r>
      <w:r>
        <w:t xml:space="preserve">3 anys de les internes, entre </w:t>
      </w:r>
      <w:r w:rsidRPr="00FF4565">
        <w:t>altres equipaments.</w:t>
      </w:r>
    </w:p>
    <w:p w:rsidR="005729F5" w:rsidRPr="00FF4565" w:rsidRDefault="005729F5" w:rsidP="006D0874">
      <w:r w:rsidRPr="00FF4565">
        <w:t>Pel que fa a la població interna jove, la creació d’un centre penitenciari dedicat exclusivament al tractament penal dels joves no era només una reivindicació històrica del món penitenciari català, sinó que, a més, s’havia de dur a terme per mandat de la Llei orgànica general penitenciària (article 9.2), aprovada l’any 1979.</w:t>
      </w:r>
    </w:p>
    <w:p w:rsidR="005729F5" w:rsidRPr="00FF4565" w:rsidRDefault="005729F5" w:rsidP="006D0874">
      <w:r w:rsidRPr="00FF4565">
        <w:t xml:space="preserve">Davant el tancament per als joves del centre situat a </w:t>
      </w:r>
      <w:r>
        <w:t xml:space="preserve">l’aleshores anomenat </w:t>
      </w:r>
      <w:r w:rsidRPr="00407FB5">
        <w:rPr>
          <w:i/>
        </w:rPr>
        <w:t>carrer Wad-Ras</w:t>
      </w:r>
      <w:r w:rsidRPr="00FF4565">
        <w:t xml:space="preserve">, i on s’havia ubicat el Centre Penitenciari de Dones de Barcelona, l’Administració de l’Estat va assumir la reforma de l’anterior centre penitenciari de dones ubicat al barri de la Trinitat per transformar-lo en el Centre Penitenciari de Joves de Barcelona. La inauguració de la reforma a l’any 1983 va permetre </w:t>
      </w:r>
      <w:r>
        <w:t>traslladar e</w:t>
      </w:r>
      <w:r w:rsidRPr="00FF4565">
        <w:t>ls interns joves (18 a 21 anys) des de la 1</w:t>
      </w:r>
      <w:r>
        <w:t xml:space="preserve">a </w:t>
      </w:r>
      <w:r w:rsidRPr="00FF4565">
        <w:t xml:space="preserve">galeria de La Model, on vivien en unes condicions poc adequades, a un centre pensat per abordar un tractament penitenciari més adient a l’esperit de la Llei </w:t>
      </w:r>
      <w:r>
        <w:t>o</w:t>
      </w:r>
      <w:r w:rsidRPr="00FF4565">
        <w:t xml:space="preserve">rgànica </w:t>
      </w:r>
      <w:r>
        <w:t>g</w:t>
      </w:r>
      <w:r w:rsidRPr="00FF4565">
        <w:t xml:space="preserve">eneral </w:t>
      </w:r>
      <w:r>
        <w:t>p</w:t>
      </w:r>
      <w:r w:rsidRPr="00FF4565">
        <w:t>enitenciària. El nou centre possibilitava diferents unitats de vida, estava dotat de sales d’activitats, un gimnàs,  sala d’actes.</w:t>
      </w:r>
    </w:p>
    <w:p w:rsidR="005729F5" w:rsidRPr="00FF4565" w:rsidRDefault="005729F5" w:rsidP="006D0874">
      <w:pPr>
        <w:rPr>
          <w:i/>
        </w:rPr>
      </w:pPr>
      <w:r w:rsidRPr="00FF4565">
        <w:t>És en aquest centre on comencen, l’any 1984</w:t>
      </w:r>
      <w:r>
        <w:t>,</w:t>
      </w:r>
      <w:r w:rsidRPr="00FF4565">
        <w:t xml:space="preserve"> a partir de l’assumpció per part de la Generalitat de les competències de gestió penitenciària, a desenvolupar-se els primers programes d’intervenció penitenciària amb la incorporació de personal de rehabilitació propi de la Generalitat, i amb el primer programa de classificació interior basat en l’anàlisi de l’evolució de la conducta de l’intern: </w:t>
      </w:r>
      <w:r>
        <w:rPr>
          <w:i/>
        </w:rPr>
        <w:t>e</w:t>
      </w:r>
      <w:r w:rsidRPr="00FF4565">
        <w:rPr>
          <w:i/>
        </w:rPr>
        <w:t xml:space="preserve">l </w:t>
      </w:r>
      <w:r>
        <w:rPr>
          <w:i/>
        </w:rPr>
        <w:t>Sistema de fases p</w:t>
      </w:r>
      <w:r w:rsidRPr="00FF4565">
        <w:rPr>
          <w:i/>
        </w:rPr>
        <w:t>rogressives.</w:t>
      </w:r>
    </w:p>
    <w:p w:rsidR="005729F5" w:rsidRPr="00FF4565" w:rsidRDefault="005729F5" w:rsidP="006D0874">
      <w:r w:rsidRPr="00FF4565">
        <w:t>Arquitectònicament</w:t>
      </w:r>
      <w:r>
        <w:t>,</w:t>
      </w:r>
      <w:r w:rsidRPr="00FF4565">
        <w:t xml:space="preserve"> ben aviat</w:t>
      </w:r>
      <w:r>
        <w:t xml:space="preserve"> va resultar un edifici obsolet</w:t>
      </w:r>
      <w:r w:rsidRPr="00FF4565">
        <w:t xml:space="preserve"> i les aspiracions inicials no van quedar plenament satisfetes. A l’any de la seva inauguració</w:t>
      </w:r>
      <w:r>
        <w:t>,</w:t>
      </w:r>
      <w:r w:rsidRPr="00FF4565">
        <w:t xml:space="preserve"> va superar l’ocupació òptim</w:t>
      </w:r>
      <w:r>
        <w:t>a i es va produir la saturació del Centre. A</w:t>
      </w:r>
      <w:r w:rsidRPr="00FF4565">
        <w:t>mb una població interna molt canviant</w:t>
      </w:r>
      <w:r>
        <w:t>, el C</w:t>
      </w:r>
      <w:r w:rsidRPr="00FF4565">
        <w:t xml:space="preserve">entre va patir un desgast molt gran i els espais d’intervenció no donaven l’abast per poder intervenir amb condicions de qualitat. Al </w:t>
      </w:r>
      <w:r>
        <w:t>P</w:t>
      </w:r>
      <w:r w:rsidRPr="00FF4565">
        <w:t xml:space="preserve">la director 1997-2001 ja es </w:t>
      </w:r>
      <w:r>
        <w:t xml:space="preserve">va </w:t>
      </w:r>
      <w:r w:rsidRPr="00FF4565">
        <w:t>planteja</w:t>
      </w:r>
      <w:r>
        <w:t>r</w:t>
      </w:r>
      <w:r w:rsidRPr="00FF4565">
        <w:t xml:space="preserve"> la necessitat de construir un centre nou per a joves, però no va ser fins </w:t>
      </w:r>
      <w:r>
        <w:t xml:space="preserve">a </w:t>
      </w:r>
      <w:r w:rsidRPr="00FF4565">
        <w:t xml:space="preserve">l’any 2008 </w:t>
      </w:r>
      <w:r>
        <w:t>que</w:t>
      </w:r>
      <w:r w:rsidRPr="00FF4565">
        <w:t xml:space="preserve"> es va concretar el trasllat dels interns  al nou Centre Penitenciari de Joves, a la Roca del Vallès. </w:t>
      </w:r>
    </w:p>
    <w:p w:rsidR="005729F5" w:rsidRPr="00FF4565" w:rsidRDefault="005729F5" w:rsidP="006D0874">
      <w:r w:rsidRPr="00FF4565">
        <w:t>En una part de les seves instal·lacions, ara reformades, s’hi ha ubicat el Centre Obert 2 de Barcelona.</w:t>
      </w:r>
    </w:p>
    <w:p w:rsidR="005729F5" w:rsidRPr="00FF4565" w:rsidRDefault="005729F5" w:rsidP="006D0874"/>
    <w:p w:rsidR="005729F5" w:rsidRPr="00FF4565" w:rsidRDefault="005729F5" w:rsidP="0070401F">
      <w:pPr>
        <w:pStyle w:val="Ttol3"/>
      </w:pPr>
      <w:bookmarkStart w:id="534" w:name="_Toc463948208"/>
      <w:bookmarkStart w:id="535" w:name="_Toc464685723"/>
      <w:bookmarkStart w:id="536" w:name="_Toc465293461"/>
      <w:r w:rsidRPr="00FF4565">
        <w:t xml:space="preserve">El </w:t>
      </w:r>
      <w:r w:rsidRPr="005729F5">
        <w:t>disseny</w:t>
      </w:r>
      <w:r w:rsidRPr="00FF4565">
        <w:t xml:space="preserve"> adaptat a les necessitats de la rehabilitació</w:t>
      </w:r>
      <w:bookmarkEnd w:id="534"/>
      <w:bookmarkEnd w:id="535"/>
      <w:bookmarkEnd w:id="536"/>
    </w:p>
    <w:p w:rsidR="005729F5" w:rsidRPr="00FF4565" w:rsidRDefault="005729F5" w:rsidP="006D0874">
      <w:r w:rsidRPr="00FF4565">
        <w:t xml:space="preserve">L’any 1989 </w:t>
      </w:r>
      <w:r>
        <w:t>es va inaugurar</w:t>
      </w:r>
      <w:r w:rsidRPr="00FF4565">
        <w:t xml:space="preserve"> el primer centre penitenciari construït des del traspàs de competències en matèria d’execució penal a la Generalitat (cinc anys abans), el Centre Penitenciari </w:t>
      </w:r>
      <w:r w:rsidRPr="00FF4565">
        <w:rPr>
          <w:b/>
        </w:rPr>
        <w:t>Quatre Camins</w:t>
      </w:r>
      <w:r w:rsidRPr="00FF4565">
        <w:t>. Situat al terme municipal de la Roca del Vallès, fou l’últim que l’Estat construí i finançà a Catalunya.</w:t>
      </w:r>
    </w:p>
    <w:p w:rsidR="005729F5" w:rsidRPr="00FF4565" w:rsidRDefault="005729F5" w:rsidP="006D0874">
      <w:r w:rsidRPr="00FF4565">
        <w:t>Amb aquest centre, l’Administració central pretenia saldar el dèficit històric en matèria d’establiments penitenciaris que patia la comunitat autònoma. A partir d’aleshores, la creació de nous centres quedaria totalment en mans del Govern de la Generalitat.</w:t>
      </w:r>
    </w:p>
    <w:p w:rsidR="005729F5" w:rsidRPr="00343B76" w:rsidRDefault="005729F5" w:rsidP="006D0874">
      <w:r w:rsidRPr="00343B76">
        <w:t>El CP Quatre Camins, ja es va construir amb una filosofia diferent, un complex de 1.300 places, amb organització modular, i on les necessitats de rehabilitació motiven que per primera vegada es dissenyin unitats especialitzades de tractament en àrees arquitectòniques diferenciades.</w:t>
      </w:r>
    </w:p>
    <w:p w:rsidR="005729F5" w:rsidRPr="00FF4565" w:rsidRDefault="005729F5" w:rsidP="006D0874">
      <w:r w:rsidRPr="00FF4565">
        <w:t xml:space="preserve">D’aquesta manera, es construeix un </w:t>
      </w:r>
      <w:r>
        <w:t>d</w:t>
      </w:r>
      <w:r w:rsidRPr="00FF4565">
        <w:t>epartament d’</w:t>
      </w:r>
      <w:r>
        <w:t>a</w:t>
      </w:r>
      <w:r w:rsidRPr="00FF4565">
        <w:t xml:space="preserve">tenció </w:t>
      </w:r>
      <w:r>
        <w:t>e</w:t>
      </w:r>
      <w:r w:rsidRPr="00FF4565">
        <w:t xml:space="preserve">specialitzada (DAE) per a les drogodependències capaç de funcionar com un departament autònom del centre, tot i que hi està inserit (els interns no feien, ni fan, cap activitat al centre ordinari). El DAE té un disseny </w:t>
      </w:r>
      <w:r w:rsidRPr="00FF4565">
        <w:lastRenderedPageBreak/>
        <w:t xml:space="preserve">que vol acostar la convivència dels interns a la que hi ha en una comunitat terapèutica no penitenciària (les cel·les tenen major capacitat, amb possibilitat d’ubicar-hi fins a </w:t>
      </w:r>
      <w:r>
        <w:t>tres</w:t>
      </w:r>
      <w:r w:rsidRPr="00FF4565">
        <w:t xml:space="preserve"> interns si les necessitats del seu tractament ho requereixen), fomenta els espais comuns, l’atenuació de les mesures de seguretat interna (no es tanquen amb clau, durant el dia, els diferents espais) i l’ús d’espais per a finalitats de rehabilitació en el sentit ampli (espais d’intervenció grupal, jardí i hort autogestionats pels interns, etc.).</w:t>
      </w:r>
    </w:p>
    <w:p w:rsidR="005729F5" w:rsidRPr="00FF4565" w:rsidRDefault="005729F5" w:rsidP="006D0874">
      <w:r w:rsidRPr="00FF4565">
        <w:t xml:space="preserve">A Quatre Camins també es construeix la zona d’activitats d’intervenció grupal i la zona on s’ubica l’escola d’adults; la </w:t>
      </w:r>
      <w:r>
        <w:t>u</w:t>
      </w:r>
      <w:r w:rsidRPr="00FF4565">
        <w:t xml:space="preserve">nitat d’Infermeria, amb una concepció per primera vegada residencial i amb capacitat de gestió i organització diferenciades; la zona destinada als </w:t>
      </w:r>
      <w:r>
        <w:t>t</w:t>
      </w:r>
      <w:r w:rsidRPr="00FF4565">
        <w:t xml:space="preserve">allers </w:t>
      </w:r>
      <w:r>
        <w:t>p</w:t>
      </w:r>
      <w:r w:rsidRPr="00FF4565">
        <w:t xml:space="preserve">roductius i </w:t>
      </w:r>
      <w:r>
        <w:t>a</w:t>
      </w:r>
      <w:r w:rsidRPr="00FF4565">
        <w:t xml:space="preserve">rtístics, amb gran capacitat de producció; la zona del teatre i espais per a l’expressió artística escènica (música, teatre i dansa); l’àrea esportiva equipada </w:t>
      </w:r>
      <w:r>
        <w:t>de</w:t>
      </w:r>
      <w:r w:rsidRPr="00FF4565">
        <w:t xml:space="preserve"> poliesportiu, pistes esportives i camp de futbol, de manera que la pràctica esportiva prenia un paper prioritari en el concepte de la rehabilitació basada en un estil de vida saludable; i la zona de comunicacions, especialment dotada per afavorir el manteniment dels vincles familiars dels interns: a les habitacions de vis-a-vis i els locutoris de comunicació a través de vidres de seguretat, s’hi afegeixen les àmplies sales de visita familiar en grup.</w:t>
      </w:r>
    </w:p>
    <w:p w:rsidR="005729F5" w:rsidRPr="00EB00D9" w:rsidRDefault="005729F5" w:rsidP="006D0874">
      <w:r w:rsidRPr="00EB00D9">
        <w:t>Amb motiu de la celebració dels Jocs Olímpics l’any 1992, hi havia la previsió d’un gran increment en les detencions policials, instrucció de judicis i consegüents penes. Les necessitats del moment van accelerar la construcció d’uns mòduls prefabricats, amb condicionants en qüestions relatives a seguretat que van ocasionar que es destinessin a interns en règim obert. En finalitzar la seva vida útil, es van tancar l’any 2001, i el nou Mòdul Semiobert, construït l’any 2003, va suplir aquesta funció.</w:t>
      </w:r>
    </w:p>
    <w:p w:rsidR="005729F5" w:rsidRPr="00FF4565" w:rsidRDefault="005729F5" w:rsidP="006D0874">
      <w:r w:rsidRPr="00FF4565">
        <w:t>El Mòdul Semiobert s’ubica fora del perímetre de seguretat del centre ordinari. Com que està destinat a interns classificats en tercer grau de tractament penitenciari o que</w:t>
      </w:r>
      <w:r>
        <w:t>,</w:t>
      </w:r>
      <w:r w:rsidRPr="00FF4565">
        <w:t xml:space="preserve"> sent interns en segon grau</w:t>
      </w:r>
      <w:r>
        <w:t>,</w:t>
      </w:r>
      <w:r w:rsidRPr="00FF4565">
        <w:t xml:space="preserve"> gaudeixen de permisos de sortida, es tracta d’una unitat amb menys necessitats de seguretat i contenció</w:t>
      </w:r>
      <w:r>
        <w:t>,</w:t>
      </w:r>
      <w:r w:rsidRPr="00FF4565">
        <w:t xml:space="preserve"> que facilita tots els aspectes de sortida i reingrés al centre, ja que els interns que hi viuen surten a treballar a l’exterior diàriament. Per aquest mateix motiu, hi ha pocs espais de vida en comú i d’activitats grupals.</w:t>
      </w:r>
    </w:p>
    <w:p w:rsidR="005729F5" w:rsidRPr="00FF4565" w:rsidRDefault="005729F5" w:rsidP="006D0874">
      <w:r w:rsidRPr="00FF4565">
        <w:t xml:space="preserve">Més tard, l’any 2006, el persistent augment de la població interna va motivar l’obertura a Quatre Camins de </w:t>
      </w:r>
      <w:r>
        <w:t>tres</w:t>
      </w:r>
      <w:r w:rsidRPr="00FF4565">
        <w:t xml:space="preserve"> nous mòduls, allà on inicialment hi havia espai de pistes esportives i camp de futbol, destinats a l’atenció especialitzada (delictes violents, delictes sexuals, delictes de violència domèstica i intervenció en drogodependències).</w:t>
      </w:r>
    </w:p>
    <w:p w:rsidR="005729F5" w:rsidRPr="00FF4565" w:rsidRDefault="005729F5" w:rsidP="006D0874">
      <w:r w:rsidRPr="00FF4565">
        <w:t xml:space="preserve">Seguint la referència del DERT de Ponent, en aquest període l’únic equipament construït a Quatre Camins amb previsió de perdurar i de donar compliment adequat a les necessitats de rehabilitació d’una part de la població interna és el </w:t>
      </w:r>
      <w:r>
        <w:t>d</w:t>
      </w:r>
      <w:r w:rsidRPr="00FF4565">
        <w:t xml:space="preserve">epartament </w:t>
      </w:r>
      <w:r>
        <w:t>e</w:t>
      </w:r>
      <w:r w:rsidRPr="00FF4565">
        <w:t xml:space="preserve">special de </w:t>
      </w:r>
      <w:r>
        <w:t>r</w:t>
      </w:r>
      <w:r w:rsidRPr="00FF4565">
        <w:t xml:space="preserve">ègim </w:t>
      </w:r>
      <w:r>
        <w:t>t</w:t>
      </w:r>
      <w:r w:rsidRPr="00FF4565">
        <w:t>ancat, inaugurat l’any 2004, amb una estructura arquitectònica dotada d’especials condicions d’alta seguretat, per al compliment de les penes en aplicació del règim tancat. Disposa d’un equip multidisciplinari especialitzat que ofereix atenció individual, intervenció grupal i formació escolar en sales dotades adequadament.</w:t>
      </w:r>
    </w:p>
    <w:p w:rsidR="005729F5" w:rsidRPr="00EB00D9" w:rsidRDefault="005729F5" w:rsidP="006D0874">
      <w:r w:rsidRPr="00EB00D9">
        <w:t xml:space="preserve">L’any 1991 es va inaugurar </w:t>
      </w:r>
      <w:r w:rsidRPr="00EB00D9">
        <w:rPr>
          <w:b/>
        </w:rPr>
        <w:t>Brians 1</w:t>
      </w:r>
      <w:r w:rsidRPr="00EB00D9">
        <w:t>, el primer centre de grans dimensions construït per la Generalitat. Emplaçat a Sant Esteve Sesrovires, prop de Martorell, i a uns 20 quilòmetres de Barcelona, conjuga aspectes d’observació permanent amb un disseny arquitectònic modern i altament estètic, que va ser el projecte arquitectònic finalista als premis FAD l’any 91 i finalista al premi Mies Van der Rohe l’any 92. A partir d’aquest moment, sense renunciar als aspectes estètics i funcionals, es va començar a imposar la concepció d’un model arquitectònic on prevalien qüestions de caire rehabilitador.</w:t>
      </w:r>
    </w:p>
    <w:p w:rsidR="005729F5" w:rsidRPr="00486EFB" w:rsidRDefault="005729F5" w:rsidP="006D0874">
      <w:r w:rsidRPr="00486EFB">
        <w:t xml:space="preserve">De la mateixa manera que el CP Quatre Camins, el CP Brians 1 es creà sortejant la disposició legal sobre la capacitat màxima dels recintes penitenciaris, o bé la va evitar, mitjançant l’aplicació del criteri modular. </w:t>
      </w:r>
    </w:p>
    <w:p w:rsidR="005729F5" w:rsidRPr="00EB00D9" w:rsidRDefault="005729F5" w:rsidP="006D0874">
      <w:r w:rsidRPr="00EB00D9">
        <w:lastRenderedPageBreak/>
        <w:t xml:space="preserve">Brians 1 suposa un canvi en la concepció arquitectònica dels centres penitenciaris a Catalunya. Es dissenya intentant concretar operativament el model de rehabilitació; la presó com una comunitat urbana, on es diferencien els espais de residència dels espais laborals, d’activitat i d’oci, espais que ja existien als altres centres, però que a Brians 1 es troben alineats al llarg d’un anomenat </w:t>
      </w:r>
      <w:r w:rsidRPr="00EB00D9">
        <w:rPr>
          <w:i/>
        </w:rPr>
        <w:t>carrer major</w:t>
      </w:r>
      <w:r w:rsidRPr="00EB00D9">
        <w:t xml:space="preserve">,  cosa que fa que els interns surtin dels mòduls a un espai obert per desplaçar-se a les activitats, com qualsevol ciutadà fa a la seva vida quotidiana. </w:t>
      </w:r>
    </w:p>
    <w:p w:rsidR="005729F5" w:rsidRPr="00FF4565" w:rsidRDefault="005729F5" w:rsidP="006D0874"/>
    <w:p w:rsidR="005729F5" w:rsidRPr="00FF4565" w:rsidRDefault="00DB496B" w:rsidP="006D0874">
      <w:r>
        <w:pict>
          <v:shape id="_x0000_i1027" type="#_x0000_t75" style="width:452.65pt;height:257.7pt">
            <v:imagedata r:id="rId77" o:title="CP BR1_rambla"/>
          </v:shape>
        </w:pict>
      </w:r>
    </w:p>
    <w:p w:rsidR="005729F5" w:rsidRPr="00EB00D9" w:rsidRDefault="005729F5" w:rsidP="006D0874"/>
    <w:p w:rsidR="005729F5" w:rsidRPr="00EB00D9" w:rsidRDefault="005729F5" w:rsidP="006D0874">
      <w:r w:rsidRPr="00EB00D9">
        <w:t>Brians 1 té una estructura modular com Quatre Camins, però canvia l’estructura radial per la lineal. En atenció a les innovacions en mesures de seguretat, es dissenya  un circuit exclusiu per al personal de vigilància, dotat de visió cap a les cel·les amb un màxim angle, alhora que des d’aquestes resulta imperceptible l’acte d’observació. Aquest canvi en l’estructura lineal fa possible que totes les cel·les de cada mòdul s’orientin cap al seu propi pati i es generi una unitat de vida separada de la resta d’unitats; d’aquesta manera, s’incrementa la seguretat del Centre ja que, en cas de conflicte, s’encomanarà més difícilment a la resta d’unitats de vida.</w:t>
      </w:r>
    </w:p>
    <w:p w:rsidR="005729F5" w:rsidRDefault="005729F5" w:rsidP="006D0874">
      <w:r w:rsidRPr="00EB00D9">
        <w:t xml:space="preserve">Brians 1 també suposa un canvi en l’aplicació dels avenços tecnològics en matèria de seguretat, com és, entre d’altres, l’automatització dels sistema d’obertura de les cel·les. Aquest sistema, a més de facilitar la tasca del personal, incrementa la seguretat del sistema, </w:t>
      </w:r>
      <w:r w:rsidRPr="00FF4565">
        <w:t>ja que el</w:t>
      </w:r>
      <w:r>
        <w:t>s</w:t>
      </w:r>
      <w:r w:rsidRPr="00FF4565">
        <w:t xml:space="preserve"> nous panys estan dotats de sensors que informen de possibles obertures no permeses de les cel·les</w:t>
      </w:r>
      <w:r>
        <w:t>, i té</w:t>
      </w:r>
      <w:r w:rsidRPr="00FF4565">
        <w:t xml:space="preserve"> un altre efecte perceptiu en la vida dels interns </w:t>
      </w:r>
      <w:r>
        <w:t>en</w:t>
      </w:r>
      <w:r w:rsidRPr="00FF4565">
        <w:t xml:space="preserve"> eliminar el clàssic,  i molest soroll, que fan els antics panys de clau i forrellat.</w:t>
      </w:r>
    </w:p>
    <w:p w:rsidR="005729F5" w:rsidRPr="00FF4565" w:rsidRDefault="005729F5" w:rsidP="006D0874">
      <w:r>
        <w:t>El C</w:t>
      </w:r>
      <w:r w:rsidRPr="00FF4565">
        <w:t>entre estava dotat d’amplis espais que possibilitaven minvar la percepció de tancament,</w:t>
      </w:r>
      <w:r>
        <w:t xml:space="preserve"> però </w:t>
      </w:r>
      <w:r w:rsidRPr="00FF4565">
        <w:t xml:space="preserve">l’augment de la població del sistema penitenciari dels anys 90 va fer necessari anar ocupant aquests espais amb noves construccions per incrementar les places, amb la corresponent pèrdua de qualitat de vida del centre. Així, </w:t>
      </w:r>
      <w:r>
        <w:t>fins i tot abans de la inauguració del C</w:t>
      </w:r>
      <w:r w:rsidRPr="00FF4565">
        <w:t>entre</w:t>
      </w:r>
      <w:r>
        <w:t>, ja e</w:t>
      </w:r>
      <w:r w:rsidRPr="00FF4565">
        <w:t>s va ampliar la capacitat d’un mòdul construint un</w:t>
      </w:r>
      <w:r>
        <w:t>a</w:t>
      </w:r>
      <w:r w:rsidRPr="00FF4565">
        <w:t xml:space="preserve"> altr</w:t>
      </w:r>
      <w:r>
        <w:t>a</w:t>
      </w:r>
      <w:r w:rsidRPr="00FF4565">
        <w:t xml:space="preserve"> ala, i</w:t>
      </w:r>
      <w:r>
        <w:t>,</w:t>
      </w:r>
      <w:r w:rsidRPr="00FF4565">
        <w:t xml:space="preserve"> en l’espai destinat </w:t>
      </w:r>
      <w:r w:rsidRPr="00FF4565">
        <w:lastRenderedPageBreak/>
        <w:t>a camp de futbol</w:t>
      </w:r>
      <w:r>
        <w:t>,</w:t>
      </w:r>
      <w:r w:rsidRPr="00FF4565">
        <w:t xml:space="preserve"> es va aixecar un mòdul prefabricat per</w:t>
      </w:r>
      <w:r>
        <w:t xml:space="preserve"> a</w:t>
      </w:r>
      <w:r w:rsidRPr="00FF4565">
        <w:t xml:space="preserve"> homes (actualment destinat a dones).</w:t>
      </w:r>
    </w:p>
    <w:p w:rsidR="005729F5" w:rsidRPr="00EB00D9" w:rsidRDefault="005729F5" w:rsidP="006D0874">
      <w:r w:rsidRPr="00EB00D9">
        <w:t>Al Pla de creació i substitució d’establiments penitenciaris d’abril de 1996 es preveia la construcció d’una unitat psiquiàtrica penitenciària (UHPP) en el període 1997-2001. Als centres penitenciaris Quatre Camins, Brians, Homes Barcelona i Ponent ja funcionaven unitats psiquiàtriques, que no van ser capaces d’absorbir l’increment del nombre d’interns afectats de patologies mentals. Aquesta unitat havia de tenir entre 80 o 100 places i una superfície aproximada de 1.740 m</w:t>
      </w:r>
      <w:r w:rsidRPr="00EB00D9">
        <w:rPr>
          <w:vertAlign w:val="superscript"/>
        </w:rPr>
        <w:t>2</w:t>
      </w:r>
      <w:r w:rsidRPr="00EB00D9">
        <w:t>. Finalment, es va inaugurar el 2003 amb una capacitat de 60 places.</w:t>
      </w:r>
    </w:p>
    <w:p w:rsidR="005729F5" w:rsidRPr="00FF4565" w:rsidRDefault="005729F5" w:rsidP="006D0874">
      <w:r w:rsidRPr="00FF4565">
        <w:t>En altres espais es van construir Brians-Dones, la Unitat d’Hospitalització Psiquiàtrica Penitenciària i la Unitat de Medi Semiobert, amb condicions i ubicació molt similars al Mòdul Semiobert de Quatre Camins.</w:t>
      </w:r>
    </w:p>
    <w:p w:rsidR="005729F5" w:rsidRPr="00FF4565" w:rsidRDefault="005729F5" w:rsidP="006D0874">
      <w:r w:rsidRPr="00EB00D9">
        <w:t xml:space="preserve">La construcció de Brians-Dones (es va inaugurar el 15/05/1993) va ser un intent de dotar el sistema penitenciari català d’un equipament especialitzat en dones, destinat a internes penades. El Centre es construeix en uns espais disponibles dintre del Centre Penitenciari Brians 1 i es dissenya com un centre annex amb possibilitats de ser gestionat de forma independent del centre existent per a homes, però </w:t>
      </w:r>
      <w:r w:rsidRPr="00FF4565">
        <w:t>no aporta la  p</w:t>
      </w:r>
      <w:r>
        <w:t>erspectiva de gènere necessària</w:t>
      </w:r>
      <w:r w:rsidRPr="00FF4565">
        <w:t xml:space="preserve">. Aquesta gestió separada mai </w:t>
      </w:r>
      <w:r>
        <w:t xml:space="preserve">no </w:t>
      </w:r>
      <w:r w:rsidRPr="00FF4565">
        <w:t xml:space="preserve">es va produir, i això més el continuat increment constant d’internes va impossibilitar executar un veritable projecte propi per </w:t>
      </w:r>
      <w:r>
        <w:t xml:space="preserve">a </w:t>
      </w:r>
      <w:r w:rsidRPr="00FF4565">
        <w:t>dones penades. A data d’avui es continua pendent d’un equipament pensat i dissenyat amb perspectiva de gènere que abordi les característiques pròpies de les dones delinqüents.</w:t>
      </w:r>
    </w:p>
    <w:p w:rsidR="005729F5" w:rsidRPr="00FF4565" w:rsidRDefault="005729F5">
      <w:pPr>
        <w:spacing w:before="0"/>
        <w:jc w:val="left"/>
        <w:rPr>
          <w:rFonts w:eastAsiaTheme="majorEastAsia" w:cstheme="majorBidi"/>
          <w:b/>
          <w:color w:val="1F497D" w:themeColor="text2"/>
          <w:sz w:val="24"/>
          <w:szCs w:val="26"/>
        </w:rPr>
      </w:pPr>
    </w:p>
    <w:p w:rsidR="005729F5" w:rsidRPr="00FF4565" w:rsidRDefault="005729F5" w:rsidP="0070401F">
      <w:pPr>
        <w:pStyle w:val="Ttol2"/>
      </w:pPr>
      <w:r w:rsidRPr="00FF4565">
        <w:t xml:space="preserve"> </w:t>
      </w:r>
      <w:bookmarkStart w:id="537" w:name="_Toc463948209"/>
      <w:bookmarkStart w:id="538" w:name="_Toc464685724"/>
      <w:bookmarkStart w:id="539" w:name="_Toc465293462"/>
      <w:r w:rsidRPr="00FF4565">
        <w:t xml:space="preserve">CP 500: Els </w:t>
      </w:r>
      <w:r w:rsidRPr="005729F5">
        <w:t>centres</w:t>
      </w:r>
      <w:r w:rsidRPr="00FF4565">
        <w:t xml:space="preserve"> com a mitj</w:t>
      </w:r>
      <w:r>
        <w:t>à</w:t>
      </w:r>
      <w:r w:rsidRPr="00FF4565">
        <w:t xml:space="preserve"> de socialització i l’escala humana</w:t>
      </w:r>
      <w:bookmarkEnd w:id="537"/>
      <w:bookmarkEnd w:id="538"/>
      <w:bookmarkEnd w:id="539"/>
    </w:p>
    <w:p w:rsidR="005729F5" w:rsidRPr="00FF4565" w:rsidRDefault="005729F5" w:rsidP="006D0874">
      <w:r w:rsidRPr="00FF4565">
        <w:t>En la previsió de la construcció de nous centres penitenciaris comença a imposar-se la necessitat de dissenyar arquitectònicament les presons sota un model diferent i la necessitat d’utilitzar les innovacions de les tecnologies de la informació per mecanitzar i estandarditzar bona part de les tasques de vigilància i</w:t>
      </w:r>
      <w:r>
        <w:t>,</w:t>
      </w:r>
      <w:r w:rsidRPr="00FF4565">
        <w:t xml:space="preserve"> així</w:t>
      </w:r>
      <w:r>
        <w:t>,</w:t>
      </w:r>
      <w:r w:rsidRPr="00FF4565">
        <w:t xml:space="preserve"> afavorir que el personal de vigilància es pugui ocupar de funcions amb un valor afegit.</w:t>
      </w:r>
    </w:p>
    <w:p w:rsidR="005729F5" w:rsidRPr="00EB00D9" w:rsidRDefault="005729F5" w:rsidP="006D0874">
      <w:r w:rsidRPr="00EB00D9">
        <w:t>Entre l’any 1984 i 2004, el nombre d’interns es va incrementar en 6.000, mentre que el nombre de places nomes va augmentar en 2.900. Per altra part, les condicions de personal i recursos materials feien cada cop més difícil l’exercici de la funció de  reinserció i reeducació previstes en la Constitució.</w:t>
      </w:r>
    </w:p>
    <w:p w:rsidR="005729F5" w:rsidRPr="00EB00D9" w:rsidRDefault="005729F5" w:rsidP="006D0874">
      <w:r w:rsidRPr="00EB00D9">
        <w:t>És per aquest motiu que, el febrer de 2004, el conseller de Justícia comparegué al Parlament i exposà les línies mestres d’actuació en l’àmbit penitenciari.</w:t>
      </w:r>
    </w:p>
    <w:p w:rsidR="005729F5" w:rsidRPr="00FF4565" w:rsidRDefault="005729F5" w:rsidP="006D0874">
      <w:r w:rsidRPr="00FF4565">
        <w:t>Entre els objectius declarats, consta la revisió del Pla d’</w:t>
      </w:r>
      <w:r>
        <w:t>equipaments de l’anterior G</w:t>
      </w:r>
      <w:r w:rsidRPr="00FF4565">
        <w:t xml:space="preserve">overn per tal de fer front a les actuals </w:t>
      </w:r>
      <w:r>
        <w:t>necessitats de places penitencià</w:t>
      </w:r>
      <w:r w:rsidRPr="00FF4565">
        <w:t>ries.</w:t>
      </w:r>
    </w:p>
    <w:p w:rsidR="005729F5" w:rsidRPr="00FF4565" w:rsidRDefault="005729F5" w:rsidP="006D0874">
      <w:r w:rsidRPr="00EB00D9">
        <w:t xml:space="preserve">Atès que la població penitenciària continuava creixent, es va acordar un  nou pla d’equipaments per al període 2004-2010, que permetés el tancament de centres obsolets i </w:t>
      </w:r>
      <w:r w:rsidRPr="00FF4565">
        <w:t>l’ampliació de places,  que comportava la construcció de:</w:t>
      </w:r>
    </w:p>
    <w:p w:rsidR="005729F5" w:rsidRPr="00FF4565" w:rsidRDefault="005729F5" w:rsidP="00055E6C">
      <w:pPr>
        <w:pStyle w:val="Pargrafdellista"/>
        <w:numPr>
          <w:ilvl w:val="0"/>
          <w:numId w:val="34"/>
        </w:numPr>
      </w:pPr>
      <w:r w:rsidRPr="00FF4565">
        <w:t>CP Brians 2</w:t>
      </w:r>
    </w:p>
    <w:p w:rsidR="005729F5" w:rsidRPr="00FF4565" w:rsidRDefault="005729F5" w:rsidP="00055E6C">
      <w:pPr>
        <w:pStyle w:val="Pargrafdellista"/>
        <w:numPr>
          <w:ilvl w:val="0"/>
          <w:numId w:val="32"/>
        </w:numPr>
      </w:pPr>
      <w:r w:rsidRPr="00FF4565">
        <w:t>CP Joves</w:t>
      </w:r>
      <w:r>
        <w:t xml:space="preserve"> Quatre Camins, per substituir e</w:t>
      </w:r>
      <w:r w:rsidRPr="00FF4565">
        <w:t>l CP Joves de la Trinitat</w:t>
      </w:r>
    </w:p>
    <w:p w:rsidR="005729F5" w:rsidRPr="00FF4565" w:rsidRDefault="005729F5" w:rsidP="00055E6C">
      <w:pPr>
        <w:pStyle w:val="Pargrafdellista"/>
        <w:numPr>
          <w:ilvl w:val="0"/>
          <w:numId w:val="32"/>
        </w:numPr>
      </w:pPr>
      <w:r w:rsidRPr="00FF4565">
        <w:t>CP Lledoners</w:t>
      </w:r>
    </w:p>
    <w:p w:rsidR="005729F5" w:rsidRPr="00FF4565" w:rsidRDefault="005729F5" w:rsidP="00055E6C">
      <w:pPr>
        <w:pStyle w:val="Pargrafdellista"/>
        <w:numPr>
          <w:ilvl w:val="0"/>
          <w:numId w:val="32"/>
        </w:numPr>
      </w:pPr>
      <w:r w:rsidRPr="00FF4565">
        <w:t>CP Puig de les Basses</w:t>
      </w:r>
      <w:r>
        <w:t>,</w:t>
      </w:r>
      <w:r w:rsidRPr="00FF4565">
        <w:t xml:space="preserve"> per substit</w:t>
      </w:r>
      <w:r>
        <w:t>uir els CP de Girona i Figueres</w:t>
      </w:r>
    </w:p>
    <w:p w:rsidR="005729F5" w:rsidRPr="00FF4565" w:rsidRDefault="005729F5" w:rsidP="00055E6C">
      <w:pPr>
        <w:pStyle w:val="Pargrafdellista"/>
        <w:numPr>
          <w:ilvl w:val="0"/>
          <w:numId w:val="32"/>
        </w:numPr>
      </w:pPr>
      <w:r w:rsidRPr="00FF4565">
        <w:t xml:space="preserve">CP Mas </w:t>
      </w:r>
      <w:r>
        <w:t>d’</w:t>
      </w:r>
      <w:r w:rsidRPr="00FF4565">
        <w:t>Enric</w:t>
      </w:r>
      <w:r>
        <w:t>, per substituir e</w:t>
      </w:r>
      <w:r w:rsidRPr="00FF4565">
        <w:t xml:space="preserve">l CP </w:t>
      </w:r>
      <w:r>
        <w:t xml:space="preserve">de </w:t>
      </w:r>
      <w:r w:rsidRPr="00FF4565">
        <w:t>Tarragona</w:t>
      </w:r>
    </w:p>
    <w:p w:rsidR="005729F5" w:rsidRPr="00FF4565" w:rsidRDefault="005729F5" w:rsidP="00055E6C">
      <w:pPr>
        <w:pStyle w:val="Pargrafdellista"/>
        <w:numPr>
          <w:ilvl w:val="0"/>
          <w:numId w:val="32"/>
        </w:numPr>
      </w:pPr>
      <w:r w:rsidRPr="00FF4565">
        <w:t>CP Els Plans *</w:t>
      </w:r>
    </w:p>
    <w:p w:rsidR="005729F5" w:rsidRPr="00FF4565" w:rsidRDefault="005729F5" w:rsidP="00055E6C">
      <w:pPr>
        <w:pStyle w:val="Pargrafdellista"/>
        <w:numPr>
          <w:ilvl w:val="0"/>
          <w:numId w:val="32"/>
        </w:numPr>
      </w:pPr>
      <w:r w:rsidRPr="00FF4565">
        <w:lastRenderedPageBreak/>
        <w:t xml:space="preserve">CP </w:t>
      </w:r>
      <w:r>
        <w:t xml:space="preserve">de </w:t>
      </w:r>
      <w:r w:rsidRPr="00FF4565">
        <w:t>Dones Catalunya *</w:t>
      </w:r>
    </w:p>
    <w:p w:rsidR="005729F5" w:rsidRPr="00FF4565" w:rsidRDefault="005729F5" w:rsidP="00055E6C">
      <w:pPr>
        <w:pStyle w:val="Pargrafdellista"/>
        <w:numPr>
          <w:ilvl w:val="0"/>
          <w:numId w:val="32"/>
        </w:numPr>
      </w:pPr>
      <w:r w:rsidRPr="00FF4565">
        <w:t>CP Preventius Barcelona *</w:t>
      </w:r>
    </w:p>
    <w:p w:rsidR="005729F5" w:rsidRPr="00FF4565" w:rsidRDefault="005729F5" w:rsidP="00055E6C">
      <w:pPr>
        <w:pStyle w:val="Pargrafdellista"/>
        <w:numPr>
          <w:ilvl w:val="0"/>
          <w:numId w:val="32"/>
        </w:numPr>
      </w:pPr>
      <w:r w:rsidRPr="00FF4565">
        <w:t>CO Girona *</w:t>
      </w:r>
    </w:p>
    <w:p w:rsidR="005729F5" w:rsidRPr="00FF4565" w:rsidRDefault="005729F5" w:rsidP="00055E6C">
      <w:pPr>
        <w:pStyle w:val="Pargrafdellista"/>
        <w:numPr>
          <w:ilvl w:val="0"/>
          <w:numId w:val="32"/>
        </w:numPr>
      </w:pPr>
      <w:r w:rsidRPr="00FF4565">
        <w:t>CO Tarragona *</w:t>
      </w:r>
    </w:p>
    <w:p w:rsidR="005729F5" w:rsidRPr="00FF4565" w:rsidRDefault="005729F5" w:rsidP="00055E6C">
      <w:pPr>
        <w:pStyle w:val="Pargrafdellista"/>
        <w:numPr>
          <w:ilvl w:val="0"/>
          <w:numId w:val="32"/>
        </w:numPr>
      </w:pPr>
      <w:r w:rsidRPr="00FF4565">
        <w:t>CO Barcelona 1 *</w:t>
      </w:r>
    </w:p>
    <w:p w:rsidR="005729F5" w:rsidRPr="00FF4565" w:rsidRDefault="005729F5" w:rsidP="00055E6C">
      <w:pPr>
        <w:pStyle w:val="Pargrafdellista"/>
        <w:numPr>
          <w:ilvl w:val="0"/>
          <w:numId w:val="32"/>
        </w:numPr>
      </w:pPr>
      <w:r w:rsidRPr="00FF4565">
        <w:t>CO Barcelona 2 *</w:t>
      </w:r>
    </w:p>
    <w:p w:rsidR="005729F5" w:rsidRPr="00FF4565" w:rsidRDefault="005729F5" w:rsidP="006D0874">
      <w:pPr>
        <w:ind w:left="708"/>
      </w:pPr>
      <w:r w:rsidRPr="00FF4565">
        <w:t>(* Equipaments no construïts)</w:t>
      </w:r>
    </w:p>
    <w:p w:rsidR="005729F5" w:rsidRPr="00EB00D9" w:rsidRDefault="005729F5" w:rsidP="006D0874"/>
    <w:p w:rsidR="005729F5" w:rsidRPr="00EB00D9" w:rsidRDefault="005729F5" w:rsidP="006D0874">
      <w:r w:rsidRPr="00EB00D9">
        <w:t>L’estancament del creixement d’interns que es produeix a partir de 2010, i la crisi econòmica, han fet que el pla no s’hagi executat en la seva totalitat.</w:t>
      </w:r>
    </w:p>
    <w:p w:rsidR="005729F5" w:rsidRPr="00FF4565" w:rsidRDefault="005729F5" w:rsidP="006D0874">
      <w:r w:rsidRPr="00EB00D9">
        <w:t xml:space="preserve">Aquest Pla dóna l’oportunitat de plantejar centres penitenciaris de dimensions raonables (500 cel·les de règim ordinari distribuïdes en vuit mòduls) i abandonar  la idea de macrocentres, que facilitin una escala “humana” en l’articulació d’una nova cultura i un nou clima organitzatiu. </w:t>
      </w:r>
      <w:r w:rsidRPr="00FF4565">
        <w:t>Així mateix</w:t>
      </w:r>
      <w:r>
        <w:t>, el P</w:t>
      </w:r>
      <w:r w:rsidRPr="00FF4565">
        <w:t>la permet desenvolupar projectes que, aprofitant el més destacat de Brian</w:t>
      </w:r>
      <w:r>
        <w:t>s</w:t>
      </w:r>
      <w:r w:rsidRPr="00FF4565">
        <w:t xml:space="preserve"> 1 i Brians 2,  es pensen i es dissenyen per donar compliment a la missió del sistema penitenciari de Catalunya.</w:t>
      </w:r>
    </w:p>
    <w:p w:rsidR="005729F5" w:rsidRPr="00FF4565" w:rsidRDefault="005729F5" w:rsidP="006D0874">
      <w:r>
        <w:t>L</w:t>
      </w:r>
      <w:r w:rsidRPr="00FF4565">
        <w:t xml:space="preserve">’any 2007 </w:t>
      </w:r>
      <w:r>
        <w:t>es va inaugurar</w:t>
      </w:r>
      <w:r w:rsidRPr="00FF4565">
        <w:t xml:space="preserve"> el CP Brians 2, per mitigar la situació de massificació que en aquells anys patien els centres penitencia</w:t>
      </w:r>
      <w:r>
        <w:t>ris de Catalunya. La necessitat</w:t>
      </w:r>
      <w:r w:rsidRPr="00FF4565">
        <w:t xml:space="preserve"> de places en aquell </w:t>
      </w:r>
      <w:r>
        <w:t>moment fa necessà</w:t>
      </w:r>
      <w:r w:rsidRPr="00FF4565">
        <w:t>ri</w:t>
      </w:r>
      <w:r>
        <w:t>a</w:t>
      </w:r>
      <w:r w:rsidRPr="00FF4565">
        <w:t xml:space="preserve"> la construcció d’un macrocentre que disposés d’un alt nombre de places.</w:t>
      </w:r>
    </w:p>
    <w:p w:rsidR="005729F5" w:rsidRPr="00FF4565" w:rsidRDefault="005729F5" w:rsidP="006D0874">
      <w:r w:rsidRPr="00FF4565">
        <w:t xml:space="preserve">Malgrat la </w:t>
      </w:r>
      <w:r>
        <w:t xml:space="preserve">seva </w:t>
      </w:r>
      <w:r w:rsidRPr="00FF4565">
        <w:t>grandària, Brians 2</w:t>
      </w:r>
      <w:r>
        <w:t xml:space="preserve"> é</w:t>
      </w:r>
      <w:r w:rsidRPr="00FF4565">
        <w:t>s un centre on es pretén assegurar als interns un espai propi i personal, preservar un mínim d’intimitat i disposar de dependències i mitjans suficients per complir els fins de l’execució de la pena privativa de llibertat.</w:t>
      </w:r>
    </w:p>
    <w:p w:rsidR="005729F5" w:rsidRPr="00FF4565" w:rsidRDefault="005729F5" w:rsidP="006D0874">
      <w:r w:rsidRPr="00FF4565">
        <w:t xml:space="preserve">Aquesta concepció passa per un disseny arquitectònic de nombroses unitats residencials (en són 14, més un </w:t>
      </w:r>
      <w:r>
        <w:t>d</w:t>
      </w:r>
      <w:r w:rsidRPr="00FF4565">
        <w:t>epartament d’</w:t>
      </w:r>
      <w:r>
        <w:t>a</w:t>
      </w:r>
      <w:r w:rsidRPr="00FF4565">
        <w:t xml:space="preserve">tenció </w:t>
      </w:r>
      <w:r>
        <w:t>e</w:t>
      </w:r>
      <w:r w:rsidRPr="00FF4565">
        <w:t xml:space="preserve">specialitzada en drogodependències, un </w:t>
      </w:r>
      <w:r>
        <w:t>d</w:t>
      </w:r>
      <w:r w:rsidRPr="00FF4565">
        <w:t xml:space="preserve">epartament </w:t>
      </w:r>
      <w:r>
        <w:t>e</w:t>
      </w:r>
      <w:r w:rsidRPr="00FF4565">
        <w:t xml:space="preserve">special de </w:t>
      </w:r>
      <w:r>
        <w:t>r</w:t>
      </w:r>
      <w:r w:rsidRPr="00FF4565">
        <w:t xml:space="preserve">ègim </w:t>
      </w:r>
      <w:r>
        <w:t>t</w:t>
      </w:r>
      <w:r w:rsidRPr="00FF4565">
        <w:t xml:space="preserve">ancat i una </w:t>
      </w:r>
      <w:r>
        <w:t>i</w:t>
      </w:r>
      <w:r w:rsidRPr="00FF4565">
        <w:t>nfermeria), però de dimensions relativament reduïdes que afavoreix</w:t>
      </w:r>
      <w:r>
        <w:t>e</w:t>
      </w:r>
      <w:r w:rsidRPr="00FF4565">
        <w:t>n una convivència pròxima i normalitzada.</w:t>
      </w:r>
    </w:p>
    <w:p w:rsidR="005729F5" w:rsidRPr="00FF4565" w:rsidRDefault="005729F5" w:rsidP="006D0874">
      <w:r w:rsidRPr="00FF4565">
        <w:t>Des del punt de vista de la rehabilitació</w:t>
      </w:r>
      <w:r>
        <w:t>,</w:t>
      </w:r>
      <w:r w:rsidRPr="00FF4565">
        <w:t xml:space="preserve"> es planteja que els nous centres han de disposar d’espais d’activitats adequats per al 100</w:t>
      </w:r>
      <w:r>
        <w:t xml:space="preserve"> % dels interns. A</w:t>
      </w:r>
      <w:r w:rsidRPr="00FF4565">
        <w:t>ixí</w:t>
      </w:r>
      <w:r>
        <w:t>, els centres disposen de:</w:t>
      </w:r>
    </w:p>
    <w:p w:rsidR="005729F5" w:rsidRPr="00FF4565" w:rsidRDefault="005729F5" w:rsidP="00055E6C">
      <w:pPr>
        <w:pStyle w:val="Pargrafdellista"/>
        <w:numPr>
          <w:ilvl w:val="0"/>
          <w:numId w:val="33"/>
        </w:numPr>
      </w:pPr>
      <w:r w:rsidRPr="00FF4565">
        <w:t>Àrea d’activitats en cada unitat de vida</w:t>
      </w:r>
    </w:p>
    <w:p w:rsidR="005729F5" w:rsidRPr="00FF4565" w:rsidRDefault="005729F5" w:rsidP="00055E6C">
      <w:pPr>
        <w:pStyle w:val="Pargrafdellista"/>
        <w:numPr>
          <w:ilvl w:val="0"/>
          <w:numId w:val="33"/>
        </w:numPr>
      </w:pPr>
      <w:r>
        <w:t>Àrea esportiva, cultural</w:t>
      </w:r>
      <w:r w:rsidRPr="00FF4565">
        <w:t xml:space="preserve"> i educativa centralitzada</w:t>
      </w:r>
    </w:p>
    <w:p w:rsidR="005729F5" w:rsidRPr="00FF4565" w:rsidRDefault="005729F5" w:rsidP="00055E6C">
      <w:pPr>
        <w:pStyle w:val="Pargrafdellista"/>
        <w:numPr>
          <w:ilvl w:val="0"/>
          <w:numId w:val="33"/>
        </w:numPr>
      </w:pPr>
      <w:r w:rsidRPr="00FF4565">
        <w:t xml:space="preserve">Àrea de tallers amb capacitat </w:t>
      </w:r>
      <w:r>
        <w:t xml:space="preserve">per </w:t>
      </w:r>
      <w:r w:rsidRPr="00FF4565">
        <w:t xml:space="preserve">ocupar </w:t>
      </w:r>
      <w:r>
        <w:t>e</w:t>
      </w:r>
      <w:r w:rsidRPr="00FF4565">
        <w:t>l 70% dels interns</w:t>
      </w:r>
    </w:p>
    <w:p w:rsidR="005729F5" w:rsidRPr="00FF4565" w:rsidRDefault="005729F5" w:rsidP="00055E6C">
      <w:pPr>
        <w:pStyle w:val="Pargrafdellista"/>
        <w:numPr>
          <w:ilvl w:val="0"/>
          <w:numId w:val="33"/>
        </w:numPr>
      </w:pPr>
      <w:r w:rsidRPr="00FF4565">
        <w:t>Aules de formació ocupacional</w:t>
      </w:r>
    </w:p>
    <w:p w:rsidR="005729F5" w:rsidRPr="00FF4565" w:rsidRDefault="005729F5">
      <w:pPr>
        <w:spacing w:before="0"/>
        <w:jc w:val="left"/>
      </w:pPr>
    </w:p>
    <w:p w:rsidR="005729F5" w:rsidRPr="00FF4565" w:rsidRDefault="005729F5" w:rsidP="006D0874">
      <w:r w:rsidRPr="00FF4565">
        <w:t>Així mateix</w:t>
      </w:r>
      <w:r>
        <w:t>,</w:t>
      </w:r>
      <w:r w:rsidRPr="00FF4565">
        <w:t xml:space="preserve"> els centres es dissenyen amb unitats </w:t>
      </w:r>
      <w:r>
        <w:t>que tenen</w:t>
      </w:r>
      <w:r w:rsidRPr="00FF4565">
        <w:t xml:space="preserve"> </w:t>
      </w:r>
      <w:r>
        <w:t xml:space="preserve">un </w:t>
      </w:r>
      <w:r w:rsidRPr="00FF4565">
        <w:t>nombre de places operatiu per mill</w:t>
      </w:r>
      <w:r>
        <w:t>orar l’atenció individualitzada</w:t>
      </w:r>
      <w:r w:rsidRPr="00FF4565">
        <w:t xml:space="preserve"> i possibilitar els programes d’intervenció.</w:t>
      </w:r>
    </w:p>
    <w:tbl>
      <w:tblPr>
        <w:tblStyle w:val="Taulaambquadrcula"/>
        <w:tblW w:w="0" w:type="auto"/>
        <w:jc w:val="center"/>
        <w:tblLook w:val="04A0" w:firstRow="1" w:lastRow="0" w:firstColumn="1" w:lastColumn="0" w:noHBand="0" w:noVBand="1"/>
      </w:tblPr>
      <w:tblGrid>
        <w:gridCol w:w="4536"/>
        <w:gridCol w:w="4751"/>
      </w:tblGrid>
      <w:tr w:rsidR="005729F5" w:rsidRPr="00FF4565" w:rsidTr="006D0874">
        <w:trPr>
          <w:jc w:val="center"/>
        </w:trPr>
        <w:tc>
          <w:tcPr>
            <w:tcW w:w="4536" w:type="dxa"/>
            <w:tcBorders>
              <w:top w:val="nil"/>
              <w:left w:val="nil"/>
              <w:bottom w:val="nil"/>
              <w:right w:val="nil"/>
            </w:tcBorders>
            <w:vAlign w:val="center"/>
          </w:tcPr>
          <w:p w:rsidR="005729F5" w:rsidRPr="00FF4565" w:rsidRDefault="00DB496B" w:rsidP="006D0874">
            <w:pPr>
              <w:jc w:val="center"/>
            </w:pPr>
            <w:r>
              <w:lastRenderedPageBreak/>
              <w:pict>
                <v:shape id="_x0000_i1028" type="#_x0000_t75" style="width:171.55pt;height:126.45pt">
                  <v:imagedata r:id="rId78" o:title="DSC02684"/>
                </v:shape>
              </w:pict>
            </w:r>
          </w:p>
        </w:tc>
        <w:tc>
          <w:tcPr>
            <w:tcW w:w="4751" w:type="dxa"/>
            <w:tcBorders>
              <w:top w:val="nil"/>
              <w:left w:val="nil"/>
              <w:bottom w:val="nil"/>
              <w:right w:val="nil"/>
            </w:tcBorders>
            <w:vAlign w:val="center"/>
          </w:tcPr>
          <w:p w:rsidR="005729F5" w:rsidRPr="00FF4565" w:rsidRDefault="00DB496B" w:rsidP="006D0874">
            <w:pPr>
              <w:jc w:val="center"/>
            </w:pPr>
            <w:r>
              <w:pict>
                <v:shape id="_x0000_i1029" type="#_x0000_t75" style="width:171.55pt;height:130.65pt">
                  <v:imagedata r:id="rId79" o:title="PDB 173"/>
                </v:shape>
              </w:pict>
            </w:r>
          </w:p>
        </w:tc>
      </w:tr>
      <w:tr w:rsidR="005729F5" w:rsidRPr="00FF4565" w:rsidTr="006D0874">
        <w:trPr>
          <w:jc w:val="center"/>
        </w:trPr>
        <w:tc>
          <w:tcPr>
            <w:tcW w:w="9287" w:type="dxa"/>
            <w:gridSpan w:val="2"/>
            <w:tcBorders>
              <w:top w:val="nil"/>
              <w:left w:val="nil"/>
              <w:bottom w:val="nil"/>
              <w:right w:val="nil"/>
            </w:tcBorders>
            <w:vAlign w:val="center"/>
          </w:tcPr>
          <w:p w:rsidR="005729F5" w:rsidRPr="00FF4565" w:rsidRDefault="005729F5" w:rsidP="006D0874">
            <w:pPr>
              <w:jc w:val="center"/>
              <w:rPr>
                <w:lang w:eastAsia="ca-ES"/>
              </w:rPr>
            </w:pPr>
            <w:r w:rsidRPr="00FF4565">
              <w:rPr>
                <w:noProof/>
                <w:lang w:eastAsia="ca-ES"/>
              </w:rPr>
              <w:drawing>
                <wp:inline distT="0" distB="0" distL="0" distR="0" wp14:anchorId="7883DED5" wp14:editId="7608860A">
                  <wp:extent cx="2126615" cy="1424940"/>
                  <wp:effectExtent l="0" t="0" r="6985" b="3810"/>
                  <wp:docPr id="23" name="Imat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126615" cy="1424940"/>
                          </a:xfrm>
                          <a:prstGeom prst="rect">
                            <a:avLst/>
                          </a:prstGeom>
                          <a:noFill/>
                          <a:ln>
                            <a:noFill/>
                          </a:ln>
                        </pic:spPr>
                      </pic:pic>
                    </a:graphicData>
                  </a:graphic>
                </wp:inline>
              </w:drawing>
            </w:r>
          </w:p>
        </w:tc>
      </w:tr>
      <w:tr w:rsidR="005729F5" w:rsidRPr="00FF4565" w:rsidTr="006D0874">
        <w:trPr>
          <w:jc w:val="center"/>
        </w:trPr>
        <w:tc>
          <w:tcPr>
            <w:tcW w:w="9287" w:type="dxa"/>
            <w:gridSpan w:val="2"/>
            <w:tcBorders>
              <w:top w:val="nil"/>
              <w:left w:val="nil"/>
              <w:bottom w:val="nil"/>
              <w:right w:val="nil"/>
            </w:tcBorders>
            <w:vAlign w:val="center"/>
          </w:tcPr>
          <w:p w:rsidR="005729F5" w:rsidRPr="00FF4565" w:rsidRDefault="005729F5" w:rsidP="006D0874">
            <w:pPr>
              <w:jc w:val="center"/>
              <w:rPr>
                <w:lang w:eastAsia="ca-ES"/>
              </w:rPr>
            </w:pPr>
            <w:r>
              <w:rPr>
                <w:lang w:eastAsia="ca-ES"/>
              </w:rPr>
              <w:t>Àrea</w:t>
            </w:r>
            <w:r w:rsidRPr="00FF4565">
              <w:rPr>
                <w:lang w:eastAsia="ca-ES"/>
              </w:rPr>
              <w:t xml:space="preserve"> esportiva i cultural centralitzada</w:t>
            </w:r>
          </w:p>
        </w:tc>
      </w:tr>
      <w:tr w:rsidR="005729F5" w:rsidRPr="00FF4565" w:rsidTr="006D0874">
        <w:trPr>
          <w:jc w:val="center"/>
        </w:trPr>
        <w:tc>
          <w:tcPr>
            <w:tcW w:w="4536" w:type="dxa"/>
            <w:tcBorders>
              <w:top w:val="nil"/>
              <w:left w:val="nil"/>
              <w:bottom w:val="nil"/>
              <w:right w:val="nil"/>
            </w:tcBorders>
            <w:vAlign w:val="center"/>
          </w:tcPr>
          <w:p w:rsidR="005729F5" w:rsidRPr="00FF4565" w:rsidRDefault="005729F5" w:rsidP="006D0874">
            <w:pPr>
              <w:jc w:val="center"/>
            </w:pPr>
            <w:r w:rsidRPr="00FF4565">
              <w:rPr>
                <w:noProof/>
                <w:lang w:eastAsia="ca-ES"/>
              </w:rPr>
              <w:drawing>
                <wp:inline distT="0" distB="0" distL="0" distR="0" wp14:anchorId="400B26CB" wp14:editId="06DC08A6">
                  <wp:extent cx="2160000" cy="1447927"/>
                  <wp:effectExtent l="0" t="0" r="0" b="0"/>
                  <wp:docPr id="32" name="Imatge 32" descr="http://www.gencat.cat/big/img/115/BIG_1150325611082713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encat.cat/big/img/115/BIG_1150325611082713_01.jpg"/>
                          <pic:cNvPicPr>
                            <a:picLocks noChangeAspect="1" noChangeArrowheads="1"/>
                          </pic:cNvPicPr>
                        </pic:nvPicPr>
                        <pic:blipFill>
                          <a:blip r:embed="rId81">
                            <a:extLst>
                              <a:ext uri="{28A0092B-C50C-407E-A947-70E740481C1C}">
                                <a14:useLocalDpi xmlns:a14="http://schemas.microsoft.com/office/drawing/2010/main"/>
                              </a:ext>
                            </a:extLst>
                          </a:blip>
                          <a:srcRect/>
                          <a:stretch>
                            <a:fillRect/>
                          </a:stretch>
                        </pic:blipFill>
                        <pic:spPr bwMode="auto">
                          <a:xfrm>
                            <a:off x="0" y="0"/>
                            <a:ext cx="2160000" cy="1447927"/>
                          </a:xfrm>
                          <a:prstGeom prst="rect">
                            <a:avLst/>
                          </a:prstGeom>
                          <a:noFill/>
                          <a:ln>
                            <a:noFill/>
                          </a:ln>
                        </pic:spPr>
                      </pic:pic>
                    </a:graphicData>
                  </a:graphic>
                </wp:inline>
              </w:drawing>
            </w:r>
          </w:p>
        </w:tc>
        <w:tc>
          <w:tcPr>
            <w:tcW w:w="4751" w:type="dxa"/>
            <w:tcBorders>
              <w:top w:val="nil"/>
              <w:left w:val="nil"/>
              <w:bottom w:val="nil"/>
              <w:right w:val="nil"/>
            </w:tcBorders>
            <w:vAlign w:val="center"/>
          </w:tcPr>
          <w:p w:rsidR="005729F5" w:rsidRPr="00FF4565" w:rsidRDefault="005729F5" w:rsidP="006D0874">
            <w:pPr>
              <w:jc w:val="center"/>
            </w:pPr>
            <w:r w:rsidRPr="00FF4565">
              <w:rPr>
                <w:noProof/>
                <w:lang w:eastAsia="ca-ES"/>
              </w:rPr>
              <w:drawing>
                <wp:inline distT="0" distB="0" distL="0" distR="0" wp14:anchorId="4244860C" wp14:editId="59D7479C">
                  <wp:extent cx="2160000" cy="1245585"/>
                  <wp:effectExtent l="0" t="0" r="0" b="0"/>
                  <wp:docPr id="33" name="Imat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160000" cy="1245585"/>
                          </a:xfrm>
                          <a:prstGeom prst="rect">
                            <a:avLst/>
                          </a:prstGeom>
                          <a:noFill/>
                          <a:ln>
                            <a:noFill/>
                          </a:ln>
                        </pic:spPr>
                      </pic:pic>
                    </a:graphicData>
                  </a:graphic>
                </wp:inline>
              </w:drawing>
            </w:r>
          </w:p>
        </w:tc>
      </w:tr>
      <w:tr w:rsidR="005729F5" w:rsidRPr="00FF4565" w:rsidTr="006D0874">
        <w:trPr>
          <w:jc w:val="center"/>
        </w:trPr>
        <w:tc>
          <w:tcPr>
            <w:tcW w:w="9287" w:type="dxa"/>
            <w:gridSpan w:val="2"/>
            <w:tcBorders>
              <w:top w:val="nil"/>
              <w:left w:val="nil"/>
              <w:bottom w:val="nil"/>
              <w:right w:val="nil"/>
            </w:tcBorders>
            <w:vAlign w:val="center"/>
          </w:tcPr>
          <w:p w:rsidR="005729F5" w:rsidRPr="00FF4565" w:rsidRDefault="005729F5" w:rsidP="006D0874">
            <w:pPr>
              <w:jc w:val="center"/>
              <w:rPr>
                <w:lang w:eastAsia="ca-ES"/>
              </w:rPr>
            </w:pPr>
            <w:r w:rsidRPr="00FF4565">
              <w:rPr>
                <w:lang w:eastAsia="ca-ES"/>
              </w:rPr>
              <w:t xml:space="preserve">Activitats </w:t>
            </w:r>
            <w:r>
              <w:rPr>
                <w:lang w:eastAsia="ca-ES"/>
              </w:rPr>
              <w:t xml:space="preserve">a les </w:t>
            </w:r>
            <w:r w:rsidRPr="00FF4565">
              <w:rPr>
                <w:lang w:eastAsia="ca-ES"/>
              </w:rPr>
              <w:t>unitats de vida</w:t>
            </w:r>
          </w:p>
        </w:tc>
      </w:tr>
      <w:tr w:rsidR="005729F5" w:rsidRPr="00FF4565" w:rsidTr="006D0874">
        <w:trPr>
          <w:jc w:val="center"/>
        </w:trPr>
        <w:tc>
          <w:tcPr>
            <w:tcW w:w="4536" w:type="dxa"/>
            <w:tcBorders>
              <w:top w:val="nil"/>
              <w:left w:val="nil"/>
              <w:bottom w:val="nil"/>
              <w:right w:val="nil"/>
            </w:tcBorders>
            <w:vAlign w:val="center"/>
          </w:tcPr>
          <w:p w:rsidR="005729F5" w:rsidRPr="00FF4565" w:rsidRDefault="005729F5" w:rsidP="006D0874">
            <w:pPr>
              <w:jc w:val="center"/>
            </w:pPr>
            <w:r w:rsidRPr="00FF4565">
              <w:rPr>
                <w:noProof/>
                <w:lang w:eastAsia="ca-ES"/>
              </w:rPr>
              <w:drawing>
                <wp:inline distT="0" distB="0" distL="0" distR="0" wp14:anchorId="32E30FED" wp14:editId="4BE6D249">
                  <wp:extent cx="2160000" cy="1574372"/>
                  <wp:effectExtent l="0" t="0" r="0" b="6985"/>
                  <wp:docPr id="34" name="Imat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3" cstate="email">
                            <a:extLst>
                              <a:ext uri="{28A0092B-C50C-407E-A947-70E740481C1C}">
                                <a14:useLocalDpi xmlns:a14="http://schemas.microsoft.com/office/drawing/2010/main"/>
                              </a:ext>
                            </a:extLst>
                          </a:blip>
                          <a:srcRect/>
                          <a:stretch>
                            <a:fillRect/>
                          </a:stretch>
                        </pic:blipFill>
                        <pic:spPr bwMode="auto">
                          <a:xfrm>
                            <a:off x="0" y="0"/>
                            <a:ext cx="2160000" cy="1574372"/>
                          </a:xfrm>
                          <a:prstGeom prst="rect">
                            <a:avLst/>
                          </a:prstGeom>
                          <a:noFill/>
                        </pic:spPr>
                      </pic:pic>
                    </a:graphicData>
                  </a:graphic>
                </wp:inline>
              </w:drawing>
            </w:r>
          </w:p>
        </w:tc>
        <w:tc>
          <w:tcPr>
            <w:tcW w:w="4751" w:type="dxa"/>
            <w:tcBorders>
              <w:top w:val="nil"/>
              <w:left w:val="nil"/>
              <w:bottom w:val="nil"/>
              <w:right w:val="nil"/>
            </w:tcBorders>
            <w:vAlign w:val="center"/>
          </w:tcPr>
          <w:p w:rsidR="005729F5" w:rsidRPr="00FF4565" w:rsidRDefault="005729F5" w:rsidP="006D0874">
            <w:pPr>
              <w:jc w:val="center"/>
            </w:pPr>
            <w:r w:rsidRPr="00FF4565">
              <w:rPr>
                <w:noProof/>
                <w:lang w:eastAsia="ca-ES"/>
              </w:rPr>
              <w:drawing>
                <wp:inline distT="0" distB="0" distL="0" distR="0" wp14:anchorId="711E1687" wp14:editId="2A533B58">
                  <wp:extent cx="2160000" cy="1351668"/>
                  <wp:effectExtent l="0" t="0" r="0" b="1270"/>
                  <wp:docPr id="35" name="Imatge 35" descr="C:\Users\36974237N\AppData\Local\Microsoft\Windows\INetCache\Content.Word\tall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36974237N\AppData\Local\Microsoft\Windows\INetCache\Content.Word\tallers.jp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160000" cy="1351668"/>
                          </a:xfrm>
                          <a:prstGeom prst="rect">
                            <a:avLst/>
                          </a:prstGeom>
                          <a:noFill/>
                          <a:ln>
                            <a:noFill/>
                          </a:ln>
                        </pic:spPr>
                      </pic:pic>
                    </a:graphicData>
                  </a:graphic>
                </wp:inline>
              </w:drawing>
            </w:r>
          </w:p>
        </w:tc>
      </w:tr>
      <w:tr w:rsidR="005729F5" w:rsidRPr="00FF4565" w:rsidTr="006D0874">
        <w:trPr>
          <w:jc w:val="center"/>
        </w:trPr>
        <w:tc>
          <w:tcPr>
            <w:tcW w:w="9287" w:type="dxa"/>
            <w:gridSpan w:val="2"/>
            <w:tcBorders>
              <w:top w:val="nil"/>
              <w:left w:val="nil"/>
              <w:bottom w:val="nil"/>
              <w:right w:val="nil"/>
            </w:tcBorders>
          </w:tcPr>
          <w:p w:rsidR="005729F5" w:rsidRPr="00FF4565" w:rsidRDefault="005729F5" w:rsidP="006D0874">
            <w:pPr>
              <w:jc w:val="center"/>
              <w:rPr>
                <w:lang w:eastAsia="ca-ES"/>
              </w:rPr>
            </w:pPr>
            <w:r w:rsidRPr="00FF4565">
              <w:rPr>
                <w:lang w:eastAsia="ca-ES"/>
              </w:rPr>
              <w:t>Tallers i aules de formació</w:t>
            </w:r>
          </w:p>
        </w:tc>
      </w:tr>
    </w:tbl>
    <w:p w:rsidR="005729F5" w:rsidRPr="00FF4565" w:rsidRDefault="005729F5" w:rsidP="006D0874"/>
    <w:p w:rsidR="005729F5" w:rsidRPr="00FF4565" w:rsidRDefault="005729F5" w:rsidP="006D0874">
      <w:r w:rsidRPr="00FF4565">
        <w:t xml:space="preserve">Des del punt de vista de </w:t>
      </w:r>
      <w:r>
        <w:t xml:space="preserve">la </w:t>
      </w:r>
      <w:r w:rsidRPr="00FF4565">
        <w:t>seguretat</w:t>
      </w:r>
      <w:r>
        <w:t>,</w:t>
      </w:r>
      <w:r w:rsidRPr="00FF4565">
        <w:t xml:space="preserve"> es dot</w:t>
      </w:r>
      <w:r>
        <w:t>a</w:t>
      </w:r>
      <w:r w:rsidRPr="00FF4565">
        <w:t xml:space="preserve"> els centres </w:t>
      </w:r>
      <w:r>
        <w:t>de</w:t>
      </w:r>
      <w:r w:rsidRPr="00FF4565">
        <w:t xml:space="preserve"> sistemes d’alta tecnologia, que faciliten el control de la vida dels interns, i un perímetre de seguretat amb dues barreres físiques i tres sistemes de detecció.</w:t>
      </w:r>
    </w:p>
    <w:tbl>
      <w:tblPr>
        <w:tblStyle w:val="Taulaambq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5"/>
        <w:gridCol w:w="4606"/>
      </w:tblGrid>
      <w:tr w:rsidR="005729F5" w:rsidRPr="00FF4565" w:rsidTr="006D0874">
        <w:tc>
          <w:tcPr>
            <w:tcW w:w="4605" w:type="dxa"/>
          </w:tcPr>
          <w:p w:rsidR="005729F5" w:rsidRPr="00FF4565" w:rsidRDefault="005729F5" w:rsidP="006D0874">
            <w:r w:rsidRPr="00FF4565">
              <w:rPr>
                <w:noProof/>
                <w:lang w:eastAsia="ca-ES"/>
              </w:rPr>
              <w:lastRenderedPageBreak/>
              <w:drawing>
                <wp:inline distT="0" distB="0" distL="0" distR="0" wp14:anchorId="56187403" wp14:editId="03277727">
                  <wp:extent cx="2592000" cy="1944990"/>
                  <wp:effectExtent l="0" t="0" r="0" b="0"/>
                  <wp:docPr id="36" name="Imat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5" cstate="email">
                            <a:extLst>
                              <a:ext uri="{28A0092B-C50C-407E-A947-70E740481C1C}">
                                <a14:useLocalDpi xmlns:a14="http://schemas.microsoft.com/office/drawing/2010/main"/>
                              </a:ext>
                            </a:extLst>
                          </a:blip>
                          <a:srcRect/>
                          <a:stretch>
                            <a:fillRect/>
                          </a:stretch>
                        </pic:blipFill>
                        <pic:spPr bwMode="auto">
                          <a:xfrm>
                            <a:off x="0" y="0"/>
                            <a:ext cx="2592000" cy="1944990"/>
                          </a:xfrm>
                          <a:prstGeom prst="rect">
                            <a:avLst/>
                          </a:prstGeom>
                          <a:noFill/>
                        </pic:spPr>
                      </pic:pic>
                    </a:graphicData>
                  </a:graphic>
                </wp:inline>
              </w:drawing>
            </w:r>
          </w:p>
        </w:tc>
        <w:tc>
          <w:tcPr>
            <w:tcW w:w="4606" w:type="dxa"/>
          </w:tcPr>
          <w:p w:rsidR="005729F5" w:rsidRPr="00FF4565" w:rsidRDefault="005729F5" w:rsidP="006D0874">
            <w:r w:rsidRPr="00FF4565">
              <w:rPr>
                <w:noProof/>
                <w:lang w:eastAsia="ca-ES"/>
              </w:rPr>
              <w:drawing>
                <wp:inline distT="0" distB="0" distL="0" distR="0" wp14:anchorId="1C12C167" wp14:editId="169242AC">
                  <wp:extent cx="2628000" cy="1972004"/>
                  <wp:effectExtent l="0" t="0" r="1270" b="9525"/>
                  <wp:docPr id="37" name="Imat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6" cstate="email">
                            <a:extLst>
                              <a:ext uri="{28A0092B-C50C-407E-A947-70E740481C1C}">
                                <a14:useLocalDpi xmlns:a14="http://schemas.microsoft.com/office/drawing/2010/main"/>
                              </a:ext>
                            </a:extLst>
                          </a:blip>
                          <a:srcRect/>
                          <a:stretch>
                            <a:fillRect/>
                          </a:stretch>
                        </pic:blipFill>
                        <pic:spPr bwMode="auto">
                          <a:xfrm>
                            <a:off x="0" y="0"/>
                            <a:ext cx="2628000" cy="1972004"/>
                          </a:xfrm>
                          <a:prstGeom prst="rect">
                            <a:avLst/>
                          </a:prstGeom>
                          <a:noFill/>
                        </pic:spPr>
                      </pic:pic>
                    </a:graphicData>
                  </a:graphic>
                </wp:inline>
              </w:drawing>
            </w:r>
          </w:p>
        </w:tc>
      </w:tr>
    </w:tbl>
    <w:p w:rsidR="005729F5" w:rsidRPr="00FF4565" w:rsidRDefault="005729F5" w:rsidP="006D0874"/>
    <w:p w:rsidR="005729F5" w:rsidRPr="00FF4565" w:rsidRDefault="005729F5" w:rsidP="006D0874">
      <w:r w:rsidRPr="00FF4565">
        <w:t>Aquest disseny d’unitats més reduïdes suposa una millora en l</w:t>
      </w:r>
      <w:r>
        <w:t>a qualitat de vida dels interns;</w:t>
      </w:r>
      <w:r w:rsidRPr="00FF4565">
        <w:t xml:space="preserve"> es dissenyen amb un pati ampli i amb estructures que minv</w:t>
      </w:r>
      <w:r>
        <w:t>e</w:t>
      </w:r>
      <w:r w:rsidRPr="00FF4565">
        <w:t>n la percepció de tancament. A més</w:t>
      </w:r>
      <w:r>
        <w:t>,</w:t>
      </w:r>
      <w:r w:rsidRPr="00FF4565">
        <w:t xml:space="preserve"> les cel·les es doten de dutxa</w:t>
      </w:r>
      <w:r>
        <w:t>, que</w:t>
      </w:r>
      <w:r w:rsidRPr="00FF4565">
        <w:t xml:space="preserve"> suposa un</w:t>
      </w:r>
      <w:r>
        <w:t>a</w:t>
      </w:r>
      <w:r w:rsidRPr="00FF4565">
        <w:t xml:space="preserve"> gran millora </w:t>
      </w:r>
      <w:r>
        <w:t>pel que fa</w:t>
      </w:r>
      <w:r w:rsidRPr="00FF4565">
        <w:t xml:space="preserve"> a la intimitat.</w:t>
      </w:r>
    </w:p>
    <w:p w:rsidR="005729F5" w:rsidRPr="00FF4565" w:rsidRDefault="005729F5" w:rsidP="006D0874">
      <w:r w:rsidRPr="00FF4565">
        <w:rPr>
          <w:noProof/>
          <w:lang w:eastAsia="ca-ES"/>
        </w:rPr>
        <w:drawing>
          <wp:inline distT="0" distB="0" distL="0" distR="0" wp14:anchorId="04147816" wp14:editId="204F8EEE">
            <wp:extent cx="2063328" cy="1544029"/>
            <wp:effectExtent l="0" t="6985" r="6350" b="6350"/>
            <wp:docPr id="38" name="Imat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7" cstate="email">
                      <a:extLst>
                        <a:ext uri="{28A0092B-C50C-407E-A947-70E740481C1C}">
                          <a14:useLocalDpi xmlns:a14="http://schemas.microsoft.com/office/drawing/2010/main"/>
                        </a:ext>
                      </a:extLst>
                    </a:blip>
                    <a:srcRect/>
                    <a:stretch>
                      <a:fillRect/>
                    </a:stretch>
                  </pic:blipFill>
                  <pic:spPr bwMode="auto">
                    <a:xfrm rot="5400000">
                      <a:off x="0" y="0"/>
                      <a:ext cx="2070060" cy="1549067"/>
                    </a:xfrm>
                    <a:prstGeom prst="rect">
                      <a:avLst/>
                    </a:prstGeom>
                    <a:noFill/>
                  </pic:spPr>
                </pic:pic>
              </a:graphicData>
            </a:graphic>
          </wp:inline>
        </w:drawing>
      </w:r>
    </w:p>
    <w:p w:rsidR="005729F5" w:rsidRPr="00FF4565" w:rsidRDefault="005729F5" w:rsidP="006D0874">
      <w:r w:rsidRPr="00FF4565">
        <w:t>El Centre Penitenciari Lledoners, destinat al compliment de condemnes per a 1</w:t>
      </w:r>
      <w:r>
        <w:t>.</w:t>
      </w:r>
      <w:r w:rsidRPr="00FF4565">
        <w:t>025 interns en règim ordinari, i el nou Centre Penitenciari de Joves, amb 388 places de règim ordinari, tots dos inaugurats l’any 2008, són els primers d’una nova generació d’equipaments penitenciaris caracteritzats per ser de dimensions més reduïdes i per facilitar un millor govern de la instal·lació i un millor exercici de les funcions de rehabilitació i inserció de les persones condemnades.</w:t>
      </w:r>
    </w:p>
    <w:p w:rsidR="005729F5" w:rsidRPr="00FF4565" w:rsidRDefault="005729F5" w:rsidP="006D0874">
      <w:r w:rsidRPr="00FF4565">
        <w:t xml:space="preserve">Amb l’estructura </w:t>
      </w:r>
      <w:r w:rsidRPr="000A53FD">
        <w:t xml:space="preserve">arquitectònica </w:t>
      </w:r>
      <w:r w:rsidRPr="00FF4565">
        <w:t>d’aquests nous centres penitenciaris catalans</w:t>
      </w:r>
      <w:r>
        <w:t>,</w:t>
      </w:r>
      <w:r w:rsidRPr="00FF4565">
        <w:t xml:space="preserve"> es persegueix minimitzar-ne l’impacte visual i mediambiental, integrar-los al territori d’acollida i aprofitar les infraestructures de comunicacions i de serveis ja existents al territori.</w:t>
      </w:r>
    </w:p>
    <w:p w:rsidR="005729F5" w:rsidRDefault="005729F5" w:rsidP="006D0874">
      <w:pPr>
        <w:autoSpaceDE w:val="0"/>
        <w:autoSpaceDN w:val="0"/>
        <w:adjustRightInd w:val="0"/>
        <w:spacing w:before="0" w:after="0"/>
        <w:rPr>
          <w:rFonts w:cs="Arial"/>
          <w:color w:val="000000"/>
        </w:rPr>
      </w:pPr>
      <w:r w:rsidRPr="00FF4565">
        <w:rPr>
          <w:rFonts w:cs="Arial"/>
          <w:color w:val="000000"/>
        </w:rPr>
        <w:t>Les línies arquitectòniques busquen espais més amplis i lluminosos, estructurats per acollir grups d’interns molt més reduïts, a fi que tant ells com els diversos professionals puguin conviure sense tanta pressió ambiental i física, alhora que els edificis es diferencien per les activitats que conformen la vida al centre.</w:t>
      </w:r>
    </w:p>
    <w:p w:rsidR="005729F5" w:rsidRPr="00FF4565" w:rsidRDefault="005729F5" w:rsidP="006D0874">
      <w:pPr>
        <w:autoSpaceDE w:val="0"/>
        <w:autoSpaceDN w:val="0"/>
        <w:adjustRightInd w:val="0"/>
        <w:spacing w:before="0" w:after="0"/>
        <w:rPr>
          <w:rFonts w:cs="Arial"/>
          <w:color w:val="000000"/>
        </w:rPr>
      </w:pPr>
    </w:p>
    <w:p w:rsidR="005729F5" w:rsidRPr="00FF4565" w:rsidRDefault="005729F5" w:rsidP="006D0874">
      <w:pPr>
        <w:autoSpaceDE w:val="0"/>
        <w:autoSpaceDN w:val="0"/>
        <w:adjustRightInd w:val="0"/>
        <w:spacing w:before="0" w:after="0"/>
        <w:rPr>
          <w:rFonts w:cs="Arial"/>
          <w:color w:val="000000"/>
        </w:rPr>
      </w:pPr>
      <w:r w:rsidRPr="00FF4565">
        <w:rPr>
          <w:rFonts w:cs="Arial"/>
          <w:color w:val="000000"/>
        </w:rPr>
        <w:t>Es conceben com una petita ciutat, amb carrers, passeigs i una plaça</w:t>
      </w:r>
      <w:r>
        <w:rPr>
          <w:rFonts w:cs="Arial"/>
          <w:color w:val="000000"/>
        </w:rPr>
        <w:t>,</w:t>
      </w:r>
      <w:r w:rsidRPr="00FF4565">
        <w:rPr>
          <w:rFonts w:cs="Arial"/>
          <w:color w:val="000000"/>
        </w:rPr>
        <w:t xml:space="preserve"> que permeten als interns fer vida a l’aire lliure i afavoreixen les relacions socials. La situació dels edificis al solar </w:t>
      </w:r>
      <w:r>
        <w:rPr>
          <w:rFonts w:cs="Arial"/>
          <w:color w:val="000000"/>
        </w:rPr>
        <w:t>està relacionada amb</w:t>
      </w:r>
      <w:r w:rsidRPr="00FF4565">
        <w:rPr>
          <w:rFonts w:cs="Arial"/>
          <w:color w:val="000000"/>
        </w:rPr>
        <w:t xml:space="preserve"> la seva funció i la coherència dels recorreguts més habituals.</w:t>
      </w:r>
    </w:p>
    <w:p w:rsidR="005729F5" w:rsidRPr="00FF4565" w:rsidRDefault="005729F5" w:rsidP="006D0874">
      <w:pPr>
        <w:autoSpaceDE w:val="0"/>
        <w:autoSpaceDN w:val="0"/>
        <w:adjustRightInd w:val="0"/>
        <w:spacing w:before="0" w:after="0"/>
        <w:rPr>
          <w:rFonts w:cs="Arial"/>
          <w:color w:val="000000"/>
        </w:rPr>
      </w:pPr>
    </w:p>
    <w:p w:rsidR="005729F5" w:rsidRPr="00FF4565" w:rsidRDefault="005729F5" w:rsidP="006D0874">
      <w:pPr>
        <w:autoSpaceDE w:val="0"/>
        <w:autoSpaceDN w:val="0"/>
        <w:adjustRightInd w:val="0"/>
        <w:spacing w:before="0" w:after="0"/>
        <w:jc w:val="center"/>
        <w:rPr>
          <w:rFonts w:cs="Arial"/>
          <w:color w:val="000000"/>
        </w:rPr>
      </w:pPr>
      <w:r w:rsidRPr="00FF4565">
        <w:rPr>
          <w:rFonts w:cs="Arial"/>
          <w:noProof/>
          <w:color w:val="000000"/>
          <w:lang w:eastAsia="ca-ES"/>
        </w:rPr>
        <w:lastRenderedPageBreak/>
        <w:drawing>
          <wp:inline distT="0" distB="0" distL="0" distR="0" wp14:anchorId="272AF703" wp14:editId="3652EA8F">
            <wp:extent cx="4242638" cy="2566306"/>
            <wp:effectExtent l="0" t="0" r="5715" b="5715"/>
            <wp:docPr id="39" name="Imat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8" cstate="email">
                      <a:extLst>
                        <a:ext uri="{28A0092B-C50C-407E-A947-70E740481C1C}">
                          <a14:useLocalDpi xmlns:a14="http://schemas.microsoft.com/office/drawing/2010/main"/>
                        </a:ext>
                      </a:extLst>
                    </a:blip>
                    <a:srcRect/>
                    <a:stretch>
                      <a:fillRect/>
                    </a:stretch>
                  </pic:blipFill>
                  <pic:spPr bwMode="auto">
                    <a:xfrm>
                      <a:off x="0" y="0"/>
                      <a:ext cx="4243828" cy="2567026"/>
                    </a:xfrm>
                    <a:prstGeom prst="rect">
                      <a:avLst/>
                    </a:prstGeom>
                    <a:noFill/>
                  </pic:spPr>
                </pic:pic>
              </a:graphicData>
            </a:graphic>
          </wp:inline>
        </w:drawing>
      </w:r>
    </w:p>
    <w:p w:rsidR="005729F5" w:rsidRPr="00FF4565" w:rsidRDefault="005729F5" w:rsidP="006D0874">
      <w:pPr>
        <w:autoSpaceDE w:val="0"/>
        <w:autoSpaceDN w:val="0"/>
        <w:adjustRightInd w:val="0"/>
        <w:spacing w:before="0" w:after="0"/>
        <w:rPr>
          <w:rFonts w:cs="Arial"/>
          <w:color w:val="000000"/>
        </w:rPr>
      </w:pPr>
    </w:p>
    <w:p w:rsidR="005729F5" w:rsidRPr="00FF4565" w:rsidRDefault="005729F5" w:rsidP="006D0874">
      <w:r w:rsidRPr="00FF4565">
        <w:t>En les àrees d’habitatge, on tenen lloc les activitats bàsiques dels interns, els mòduls de vida ordinària contenen un pati d’ús exclusiu. Alhora</w:t>
      </w:r>
      <w:r>
        <w:t>,</w:t>
      </w:r>
      <w:r w:rsidRPr="00FF4565">
        <w:t xml:space="preserve"> tenen a l’abast els serveis bàsics (aules de formació, biblioteca, economat, perruqueria, tallers, menjadors, sales d’estar, gimnàs, locutoris...), de manera que cadascun pot funcionar amb total independència dels altres.</w:t>
      </w:r>
    </w:p>
    <w:p w:rsidR="005729F5" w:rsidRPr="00FF4565" w:rsidRDefault="005729F5" w:rsidP="006D0874">
      <w:r w:rsidRPr="00FF4565">
        <w:t xml:space="preserve">L’article 174 del Reglament penitenciari estableix que “les condicions arquitectòniques i ambientals, el sistema de convivència i l’organització de la vida en els centres destinats a joves” s’estructuraran de manera que garanteixin el desenvolupament dels cinc tipus de programes que es determinen com a fonamentals. Així doncs, la regulació de les dependències destinades al compliment de penes en la població jove recull la necessitat d’una atenció especial a totes les variables implicades en el seu tractament, </w:t>
      </w:r>
      <w:r>
        <w:t>incloent-hi</w:t>
      </w:r>
      <w:r w:rsidRPr="00FF4565">
        <w:t xml:space="preserve"> les arquitectòniques.</w:t>
      </w:r>
    </w:p>
    <w:p w:rsidR="005729F5" w:rsidRPr="00FF4565" w:rsidRDefault="005729F5" w:rsidP="006D0874">
      <w:r w:rsidRPr="00FF4565">
        <w:t xml:space="preserve">Així, al CP de Joves la </w:t>
      </w:r>
      <w:r w:rsidRPr="00C75EA9">
        <w:t xml:space="preserve">distribució </w:t>
      </w:r>
      <w:r w:rsidRPr="00FF4565">
        <w:t xml:space="preserve">dels edificis, tot i que respon als mateixos principis ja explicats, és una mica diferent: en general, la </w:t>
      </w:r>
      <w:r>
        <w:t>concepció del C</w:t>
      </w:r>
      <w:r w:rsidRPr="00FF4565">
        <w:t>entre ofereix una arquitectura més funcional, menys rígida, integrada a l’entorn i pensada per potenciar la formació social, educativa, cultural, esportiva i mediambiental d’aquest segment de la població. L’edifici educatiu es constitueix en el centre de l’espai circulatori.</w:t>
      </w:r>
    </w:p>
    <w:p w:rsidR="005729F5" w:rsidRPr="0067437D" w:rsidRDefault="005729F5" w:rsidP="006D0874">
      <w:pPr>
        <w:rPr>
          <w:spacing w:val="-4"/>
        </w:rPr>
      </w:pPr>
      <w:r w:rsidRPr="0067437D">
        <w:rPr>
          <w:spacing w:val="-4"/>
        </w:rPr>
        <w:t>Al CP Puig de les Basses s’ha treballat a partir de la idea d’organitzar les activitats dins del Centre a partir d’un eix o carrer central que travessa el terreny longitudinalment. Aquest eix –ric en vegetació</w:t>
      </w:r>
      <w:r>
        <w:rPr>
          <w:spacing w:val="-4"/>
        </w:rPr>
        <w:t xml:space="preserve"> i</w:t>
      </w:r>
      <w:r w:rsidRPr="0067437D">
        <w:rPr>
          <w:spacing w:val="-4"/>
        </w:rPr>
        <w:t xml:space="preserve"> generós en amplada</w:t>
      </w:r>
      <w:r>
        <w:rPr>
          <w:spacing w:val="-4"/>
        </w:rPr>
        <w:t>–</w:t>
      </w:r>
      <w:r w:rsidRPr="0067437D">
        <w:rPr>
          <w:spacing w:val="-4"/>
        </w:rPr>
        <w:t xml:space="preserve"> </w:t>
      </w:r>
      <w:r>
        <w:rPr>
          <w:spacing w:val="-4"/>
        </w:rPr>
        <w:t>fa</w:t>
      </w:r>
      <w:r w:rsidRPr="0067437D">
        <w:rPr>
          <w:spacing w:val="-4"/>
        </w:rPr>
        <w:t xml:space="preserve"> les funcions de gran distribuïdor, d’espai de relació i ordenació dels volums edificats. A un costat, </w:t>
      </w:r>
      <w:r>
        <w:rPr>
          <w:spacing w:val="-4"/>
        </w:rPr>
        <w:t>a</w:t>
      </w:r>
      <w:r w:rsidRPr="0067437D">
        <w:rPr>
          <w:spacing w:val="-4"/>
        </w:rPr>
        <w:t xml:space="preserve"> la banda </w:t>
      </w:r>
      <w:r>
        <w:rPr>
          <w:spacing w:val="-4"/>
        </w:rPr>
        <w:t>o</w:t>
      </w:r>
      <w:r w:rsidRPr="0067437D">
        <w:rPr>
          <w:spacing w:val="-4"/>
        </w:rPr>
        <w:t xml:space="preserve">est, </w:t>
      </w:r>
      <w:r>
        <w:rPr>
          <w:spacing w:val="-4"/>
        </w:rPr>
        <w:t>se</w:t>
      </w:r>
      <w:r w:rsidRPr="0067437D">
        <w:rPr>
          <w:spacing w:val="-4"/>
        </w:rPr>
        <w:t xml:space="preserve"> situa l’àrea residencial, on tenen lloc les activitats bàsiques dels interns</w:t>
      </w:r>
      <w:r>
        <w:rPr>
          <w:spacing w:val="-4"/>
        </w:rPr>
        <w:t xml:space="preserve"> (</w:t>
      </w:r>
      <w:r w:rsidRPr="0067437D">
        <w:rPr>
          <w:spacing w:val="-4"/>
        </w:rPr>
        <w:t>dormir, estar, menjar</w:t>
      </w:r>
      <w:r>
        <w:rPr>
          <w:spacing w:val="-4"/>
        </w:rPr>
        <w:t>, etc.).</w:t>
      </w:r>
      <w:r w:rsidRPr="0067437D">
        <w:rPr>
          <w:spacing w:val="-4"/>
        </w:rPr>
        <w:t xml:space="preserve"> S’ha distribuït en set mòduls de 64 cel·les c</w:t>
      </w:r>
      <w:r>
        <w:rPr>
          <w:spacing w:val="-4"/>
        </w:rPr>
        <w:t xml:space="preserve">adascun, organitzats en forma d’U, que disposen, </w:t>
      </w:r>
      <w:r w:rsidRPr="0067437D">
        <w:rPr>
          <w:spacing w:val="-4"/>
        </w:rPr>
        <w:t>a l’interior</w:t>
      </w:r>
      <w:r>
        <w:rPr>
          <w:spacing w:val="-4"/>
        </w:rPr>
        <w:t xml:space="preserve"> d’aquest espai,</w:t>
      </w:r>
      <w:r w:rsidRPr="0067437D">
        <w:rPr>
          <w:spacing w:val="-4"/>
        </w:rPr>
        <w:t xml:space="preserve"> </w:t>
      </w:r>
      <w:r>
        <w:rPr>
          <w:spacing w:val="-4"/>
        </w:rPr>
        <w:t>d’</w:t>
      </w:r>
      <w:r w:rsidRPr="0067437D">
        <w:rPr>
          <w:spacing w:val="-4"/>
        </w:rPr>
        <w:t>un pati</w:t>
      </w:r>
      <w:r>
        <w:rPr>
          <w:spacing w:val="-4"/>
        </w:rPr>
        <w:t xml:space="preserve"> d’ús exclusiu per a cada mòdul, i totes les cel·les –448 en total–</w:t>
      </w:r>
      <w:r w:rsidRPr="0067437D">
        <w:rPr>
          <w:spacing w:val="-4"/>
        </w:rPr>
        <w:t xml:space="preserve"> miren </w:t>
      </w:r>
      <w:r>
        <w:rPr>
          <w:spacing w:val="-4"/>
        </w:rPr>
        <w:t>cap al pati.</w:t>
      </w:r>
      <w:r w:rsidRPr="0067437D">
        <w:rPr>
          <w:spacing w:val="-4"/>
        </w:rPr>
        <w:t xml:space="preserve"> A més, </w:t>
      </w:r>
      <w:r>
        <w:rPr>
          <w:spacing w:val="-4"/>
        </w:rPr>
        <w:t xml:space="preserve">també </w:t>
      </w:r>
      <w:r w:rsidRPr="0067437D">
        <w:rPr>
          <w:spacing w:val="-4"/>
        </w:rPr>
        <w:t>hi haurà un mòdul per a joves i un per a dones</w:t>
      </w:r>
      <w:r>
        <w:rPr>
          <w:spacing w:val="-4"/>
        </w:rPr>
        <w:t>,</w:t>
      </w:r>
      <w:r w:rsidRPr="0067437D">
        <w:rPr>
          <w:spacing w:val="-4"/>
        </w:rPr>
        <w:t xml:space="preserve"> amb 32 cel·les cadascun.</w:t>
      </w:r>
      <w:r>
        <w:rPr>
          <w:spacing w:val="-4"/>
        </w:rPr>
        <w:t xml:space="preserve"> Per tant, e</w:t>
      </w:r>
      <w:r w:rsidRPr="0067437D">
        <w:rPr>
          <w:spacing w:val="-4"/>
        </w:rPr>
        <w:t>l total</w:t>
      </w:r>
      <w:r>
        <w:rPr>
          <w:spacing w:val="-4"/>
        </w:rPr>
        <w:t xml:space="preserve"> </w:t>
      </w:r>
      <w:r w:rsidRPr="0067437D">
        <w:rPr>
          <w:spacing w:val="-4"/>
        </w:rPr>
        <w:t>de cel·les en edificis residencials serà de 512.</w:t>
      </w:r>
    </w:p>
    <w:p w:rsidR="005729F5" w:rsidRPr="00FF4565" w:rsidRDefault="005729F5" w:rsidP="006D0874">
      <w:r w:rsidRPr="00FF4565">
        <w:t>Aquest eix aporta la idea de claredat, d’ordre</w:t>
      </w:r>
      <w:r>
        <w:t>,</w:t>
      </w:r>
      <w:r w:rsidRPr="00FF4565">
        <w:t xml:space="preserve"> i fa evident</w:t>
      </w:r>
      <w:r>
        <w:t>,</w:t>
      </w:r>
      <w:r w:rsidRPr="00FF4565">
        <w:t xml:space="preserve"> a la vegada</w:t>
      </w:r>
      <w:r>
        <w:t>,</w:t>
      </w:r>
      <w:r w:rsidRPr="00FF4565">
        <w:t xml:space="preserve"> la distinció de les diferents activitats que conformen la vida al Centre: les pròpies</w:t>
      </w:r>
      <w:r>
        <w:t>,</w:t>
      </w:r>
      <w:r w:rsidRPr="00FF4565">
        <w:t xml:space="preserve"> que es </w:t>
      </w:r>
      <w:r>
        <w:t>desenvolupen</w:t>
      </w:r>
      <w:r w:rsidRPr="00FF4565">
        <w:t xml:space="preserve"> dins del mòdul, i les que es fan fora. </w:t>
      </w:r>
      <w:r>
        <w:t>D’alguna</w:t>
      </w:r>
      <w:r w:rsidRPr="00FF4565">
        <w:t xml:space="preserve"> manera</w:t>
      </w:r>
      <w:r>
        <w:t>,</w:t>
      </w:r>
      <w:r w:rsidRPr="00FF4565">
        <w:t xml:space="preserve"> podria suggerir-se un cert paral·lelisme amb </w:t>
      </w:r>
      <w:r>
        <w:t>la vida quotidiana</w:t>
      </w:r>
      <w:r w:rsidRPr="00FF4565">
        <w:t xml:space="preserve"> en una ciutat, </w:t>
      </w:r>
      <w:r>
        <w:t xml:space="preserve">on els ciutadans lliures </w:t>
      </w:r>
      <w:r w:rsidRPr="00FF4565">
        <w:t>dispos</w:t>
      </w:r>
      <w:r>
        <w:t>en</w:t>
      </w:r>
      <w:r w:rsidRPr="00FF4565">
        <w:t xml:space="preserve"> d’un habitatge </w:t>
      </w:r>
      <w:r>
        <w:t>–</w:t>
      </w:r>
      <w:r w:rsidRPr="00FF4565">
        <w:t>on dorm</w:t>
      </w:r>
      <w:r>
        <w:t>en</w:t>
      </w:r>
      <w:r w:rsidRPr="00FF4565">
        <w:t>, men</w:t>
      </w:r>
      <w:r>
        <w:t>gen</w:t>
      </w:r>
      <w:r w:rsidRPr="00FF4565">
        <w:t xml:space="preserve">, </w:t>
      </w:r>
      <w:r>
        <w:t>s’hi estan, etc.–</w:t>
      </w:r>
      <w:r w:rsidRPr="00FF4565">
        <w:t xml:space="preserve"> i </w:t>
      </w:r>
      <w:r>
        <w:t>d’</w:t>
      </w:r>
      <w:r w:rsidRPr="00FF4565">
        <w:t>un espai de trànsit –el carrer</w:t>
      </w:r>
      <w:r>
        <w:t>– per on es dirigeixen</w:t>
      </w:r>
      <w:r w:rsidRPr="00FF4565">
        <w:t xml:space="preserve"> cap a les activitats </w:t>
      </w:r>
      <w:r>
        <w:t>habituals</w:t>
      </w:r>
      <w:r w:rsidRPr="00FF4565">
        <w:t xml:space="preserve"> de </w:t>
      </w:r>
      <w:r>
        <w:t>feina</w:t>
      </w:r>
      <w:r w:rsidRPr="00FF4565">
        <w:t>, relació, formació o lleure.</w:t>
      </w:r>
    </w:p>
    <w:p w:rsidR="005729F5" w:rsidRPr="00FF4565" w:rsidRDefault="005729F5" w:rsidP="006D0874">
      <w:r>
        <w:lastRenderedPageBreak/>
        <w:t>Així doncs, a</w:t>
      </w:r>
      <w:r w:rsidRPr="00FF4565">
        <w:t xml:space="preserve"> l’altre costat d’aquest carrer central es dipositen els “c</w:t>
      </w:r>
      <w:r>
        <w:t xml:space="preserve">ontenidors” d’aquestes funcions: </w:t>
      </w:r>
      <w:r w:rsidRPr="00FF4565">
        <w:t xml:space="preserve">tallers, </w:t>
      </w:r>
      <w:r>
        <w:t xml:space="preserve">activitats </w:t>
      </w:r>
      <w:r w:rsidRPr="00FF4565">
        <w:t>esporti</w:t>
      </w:r>
      <w:r>
        <w:t>ves</w:t>
      </w:r>
      <w:r w:rsidRPr="00FF4565">
        <w:t>, formació</w:t>
      </w:r>
      <w:r>
        <w:t>, etc.</w:t>
      </w:r>
      <w:r w:rsidRPr="00FF4565">
        <w:t xml:space="preserve"> Els carrers que desemboquen </w:t>
      </w:r>
      <w:r>
        <w:t>en</w:t>
      </w:r>
      <w:r w:rsidRPr="00FF4565">
        <w:t xml:space="preserve"> </w:t>
      </w:r>
      <w:r>
        <w:t>l’espai central</w:t>
      </w:r>
      <w:r w:rsidRPr="00FF4565">
        <w:t xml:space="preserve"> i que do</w:t>
      </w:r>
      <w:r>
        <w:t>nen servei i accés als edificis</w:t>
      </w:r>
      <w:r w:rsidRPr="00FF4565">
        <w:t xml:space="preserve"> són interessants </w:t>
      </w:r>
      <w:r>
        <w:t>perquè</w:t>
      </w:r>
      <w:r w:rsidRPr="00FF4565">
        <w:t xml:space="preserve"> aporten </w:t>
      </w:r>
      <w:r>
        <w:t>transparència i qualitat visual i afavoreixen</w:t>
      </w:r>
      <w:r w:rsidRPr="00FF4565">
        <w:t xml:space="preserve"> la percepció de la diversitat de volums i caràcter </w:t>
      </w:r>
      <w:r>
        <w:t>de les construccions</w:t>
      </w:r>
      <w:r w:rsidRPr="00FF4565">
        <w:t>.</w:t>
      </w:r>
    </w:p>
    <w:p w:rsidR="005729F5" w:rsidRPr="00FF4565" w:rsidRDefault="005729F5" w:rsidP="006D0874">
      <w:r>
        <w:t>Hi ha</w:t>
      </w:r>
      <w:r w:rsidRPr="00FF4565">
        <w:t xml:space="preserve"> mòduls específics per </w:t>
      </w:r>
      <w:r>
        <w:t>a dones i joves, i</w:t>
      </w:r>
      <w:r w:rsidRPr="00FF4565">
        <w:t xml:space="preserve"> </w:t>
      </w:r>
      <w:r>
        <w:t>tots</w:t>
      </w:r>
      <w:r w:rsidRPr="00FF4565">
        <w:t xml:space="preserve"> dos tindran 32 cel·les cadascun i </w:t>
      </w:r>
      <w:r>
        <w:t xml:space="preserve">idèntiques </w:t>
      </w:r>
      <w:r w:rsidRPr="00FF4565">
        <w:t>característiques que els edificis C. El pati, en aquest cas</w:t>
      </w:r>
      <w:r>
        <w:t>,</w:t>
      </w:r>
      <w:r w:rsidRPr="00FF4565">
        <w:t xml:space="preserve"> presenta un desnivell que es guanya amb unes grades.</w:t>
      </w:r>
    </w:p>
    <w:p w:rsidR="005729F5" w:rsidRPr="0098483F" w:rsidRDefault="005729F5" w:rsidP="006D0874">
      <w:pPr>
        <w:rPr>
          <w:spacing w:val="-4"/>
        </w:rPr>
      </w:pPr>
      <w:r w:rsidRPr="0098483F">
        <w:rPr>
          <w:spacing w:val="-4"/>
        </w:rPr>
        <w:t xml:space="preserve">Al CP Mas d’Enric, la concepció original de la majoria d'edificis del Programa, que impedeixen vistes obertes a les àrees comunes i miren cap al seu interior, permet col·locar-los </w:t>
      </w:r>
      <w:r>
        <w:rPr>
          <w:spacing w:val="-4"/>
        </w:rPr>
        <w:t>de forma contigua</w:t>
      </w:r>
      <w:r w:rsidRPr="0098483F">
        <w:rPr>
          <w:spacing w:val="-4"/>
        </w:rPr>
        <w:t xml:space="preserve">, cosa que evita </w:t>
      </w:r>
      <w:r>
        <w:rPr>
          <w:spacing w:val="-4"/>
        </w:rPr>
        <w:t>que hi hagi</w:t>
      </w:r>
      <w:r w:rsidRPr="0098483F">
        <w:rPr>
          <w:spacing w:val="-4"/>
        </w:rPr>
        <w:t xml:space="preserve"> carrers secundaris i espais lliures residuals, </w:t>
      </w:r>
      <w:r>
        <w:rPr>
          <w:spacing w:val="-4"/>
        </w:rPr>
        <w:t xml:space="preserve">i </w:t>
      </w:r>
      <w:r w:rsidRPr="0098483F">
        <w:rPr>
          <w:spacing w:val="-4"/>
        </w:rPr>
        <w:t xml:space="preserve">tot l'espai exterior comú </w:t>
      </w:r>
      <w:r>
        <w:rPr>
          <w:spacing w:val="-4"/>
        </w:rPr>
        <w:t>s’agrupa</w:t>
      </w:r>
      <w:r w:rsidRPr="0098483F">
        <w:rPr>
          <w:spacing w:val="-4"/>
        </w:rPr>
        <w:t xml:space="preserve"> en un únic conjunt de major entitat i qualitat</w:t>
      </w:r>
      <w:r>
        <w:rPr>
          <w:spacing w:val="-4"/>
        </w:rPr>
        <w:t>.</w:t>
      </w:r>
    </w:p>
    <w:p w:rsidR="005729F5" w:rsidRPr="00FF4565" w:rsidRDefault="005729F5" w:rsidP="006D0874">
      <w:r w:rsidRPr="00FF4565">
        <w:t xml:space="preserve">La proposta recull el programa funcional de cada edifici, </w:t>
      </w:r>
      <w:r>
        <w:t>i</w:t>
      </w:r>
      <w:r w:rsidRPr="00FF4565">
        <w:t xml:space="preserve"> la su</w:t>
      </w:r>
      <w:r>
        <w:t>perfície construïda del conjunt s’ajusta</w:t>
      </w:r>
      <w:r w:rsidRPr="00FF4565">
        <w:t xml:space="preserve"> </w:t>
      </w:r>
      <w:r>
        <w:t>als</w:t>
      </w:r>
      <w:r w:rsidRPr="00FF4565">
        <w:t xml:space="preserve"> requeriments fixats a priori i </w:t>
      </w:r>
      <w:r>
        <w:t>als</w:t>
      </w:r>
      <w:r w:rsidRPr="00FF4565">
        <w:t xml:space="preserve"> pactats posteriorment</w:t>
      </w:r>
      <w:r>
        <w:t>,</w:t>
      </w:r>
      <w:r w:rsidRPr="00FF4565">
        <w:t xml:space="preserve"> </w:t>
      </w:r>
      <w:r>
        <w:t>un</w:t>
      </w:r>
      <w:r w:rsidRPr="00FF4565">
        <w:t xml:space="preserve"> </w:t>
      </w:r>
      <w:r>
        <w:t>cop</w:t>
      </w:r>
      <w:r w:rsidRPr="00FF4565">
        <w:t xml:space="preserve"> </w:t>
      </w:r>
      <w:r>
        <w:t>estudiats</w:t>
      </w:r>
      <w:r w:rsidRPr="00FF4565">
        <w:t xml:space="preserve"> els objectius a assolir. S'han utilitzat models parcials d'altres presons, que s'han aprofundit i ajustat per tal d'optimitzar-los, considerant que la compacitat permet un millor aprofitament de la superfície del conjunt.</w:t>
      </w:r>
    </w:p>
    <w:p w:rsidR="005729F5" w:rsidRPr="00FF4565" w:rsidRDefault="005729F5" w:rsidP="006D0874">
      <w:r w:rsidRPr="00FF4565">
        <w:t>Els mòduls residencials són els elements fonamentals del centre penitenciari. Els mòduls residencials d'homes C1 a C7 es proposen de tres plantes</w:t>
      </w:r>
      <w:r>
        <w:t>;</w:t>
      </w:r>
      <w:r w:rsidRPr="00FF4565">
        <w:t xml:space="preserve"> les dues superiors</w:t>
      </w:r>
      <w:r>
        <w:t>,</w:t>
      </w:r>
      <w:r w:rsidRPr="00FF4565">
        <w:t xml:space="preserve"> amb les cel·les</w:t>
      </w:r>
      <w:r>
        <w:t>,</w:t>
      </w:r>
      <w:r w:rsidRPr="00FF4565">
        <w:t xml:space="preserve"> i la</w:t>
      </w:r>
      <w:r>
        <w:t xml:space="preserve"> planta</w:t>
      </w:r>
      <w:r w:rsidRPr="00FF4565">
        <w:t xml:space="preserve"> baixa</w:t>
      </w:r>
      <w:r>
        <w:t>,</w:t>
      </w:r>
      <w:r w:rsidRPr="00FF4565">
        <w:t xml:space="preserve"> amb tots els serveis abocats al pati, amb un pis per </w:t>
      </w:r>
      <w:r>
        <w:t xml:space="preserve">a </w:t>
      </w:r>
      <w:r w:rsidRPr="00FF4565">
        <w:t xml:space="preserve">les dependències de formació. Els mòduls residencials de joves i dones Cj i Cd es diferencien </w:t>
      </w:r>
      <w:r>
        <w:t>perquè tenen tan sols una planta pis de cel·</w:t>
      </w:r>
      <w:r w:rsidRPr="00FF4565">
        <w:t>les.</w:t>
      </w:r>
    </w:p>
    <w:p w:rsidR="005729F5" w:rsidRPr="00FF4565" w:rsidRDefault="005729F5" w:rsidP="006D0874">
      <w:r w:rsidRPr="00FF4565">
        <w:t>Amb les unitats de dones i joves en els CP Puig de les Bases i Mas Enric</w:t>
      </w:r>
      <w:r>
        <w:t>, es dota e</w:t>
      </w:r>
      <w:r w:rsidRPr="00FF4565">
        <w:t>l sistema penitenciari català d’un mapa de places complet que disposa de places per</w:t>
      </w:r>
      <w:r>
        <w:t xml:space="preserve"> a tota mena</w:t>
      </w:r>
      <w:r w:rsidRPr="00FF4565">
        <w:t xml:space="preserve"> de tipologia d’interns</w:t>
      </w:r>
      <w:r>
        <w:t>,</w:t>
      </w:r>
      <w:r w:rsidRPr="00FF4565">
        <w:t xml:space="preserve"> distribuïdes </w:t>
      </w:r>
      <w:r>
        <w:t>pel</w:t>
      </w:r>
      <w:r w:rsidRPr="00FF4565">
        <w:t xml:space="preserve"> territori</w:t>
      </w:r>
      <w:r>
        <w:t>. D</w:t>
      </w:r>
      <w:r w:rsidRPr="00FF4565">
        <w:t>’aquesta forma</w:t>
      </w:r>
      <w:r>
        <w:t>,</w:t>
      </w:r>
      <w:r w:rsidRPr="00FF4565">
        <w:t xml:space="preserve"> s’aproxima l’intern a la seva zona de residència </w:t>
      </w:r>
      <w:r>
        <w:t>i se li facilita</w:t>
      </w:r>
      <w:r w:rsidRPr="00FF4565">
        <w:t xml:space="preserve"> </w:t>
      </w:r>
      <w:r>
        <w:t>la</w:t>
      </w:r>
      <w:r w:rsidRPr="00FF4565">
        <w:t xml:space="preserve"> comunicaci</w:t>
      </w:r>
      <w:r>
        <w:t>ó</w:t>
      </w:r>
      <w:r w:rsidRPr="00FF4565">
        <w:t xml:space="preserve"> amb el seu entorn i </w:t>
      </w:r>
      <w:r>
        <w:t>es redueixen</w:t>
      </w:r>
      <w:r w:rsidRPr="00FF4565">
        <w:t xml:space="preserve"> els processos de desarrelament. </w:t>
      </w:r>
    </w:p>
    <w:p w:rsidR="005729F5" w:rsidRPr="00FF4565" w:rsidRDefault="005729F5" w:rsidP="0070401F">
      <w:pPr>
        <w:pStyle w:val="Ttol2"/>
      </w:pPr>
      <w:bookmarkStart w:id="540" w:name="_Toc463948210"/>
      <w:bookmarkStart w:id="541" w:name="_Toc464685725"/>
      <w:bookmarkStart w:id="542" w:name="_Toc465293463"/>
      <w:r w:rsidRPr="00FF4565">
        <w:t>Característiques del compliment en règim obert</w:t>
      </w:r>
      <w:bookmarkEnd w:id="540"/>
      <w:bookmarkEnd w:id="541"/>
      <w:bookmarkEnd w:id="542"/>
    </w:p>
    <w:p w:rsidR="005729F5" w:rsidRPr="00FF4565" w:rsidRDefault="005729F5" w:rsidP="006D0874">
      <w:r w:rsidRPr="00FF4565">
        <w:t xml:space="preserve">El Centre Obert acollirà interns classificats en </w:t>
      </w:r>
      <w:r>
        <w:t>tercer</w:t>
      </w:r>
      <w:r w:rsidRPr="00FF4565">
        <w:t xml:space="preserve"> grau i </w:t>
      </w:r>
      <w:r>
        <w:t>segons</w:t>
      </w:r>
      <w:r w:rsidRPr="00FF4565">
        <w:t xml:space="preserve"> graus</w:t>
      </w:r>
      <w:r>
        <w:t>,</w:t>
      </w:r>
      <w:r w:rsidRPr="00FF4565">
        <w:t xml:space="preserve"> en aplicació</w:t>
      </w:r>
      <w:r>
        <w:t>,</w:t>
      </w:r>
      <w:r w:rsidRPr="00FF4565">
        <w:t xml:space="preserve"> respectivament</w:t>
      </w:r>
      <w:r>
        <w:t>,</w:t>
      </w:r>
      <w:r w:rsidRPr="00FF4565">
        <w:t xml:space="preserve"> </w:t>
      </w:r>
      <w:r>
        <w:t>dels articles 86.4 i 100.2 del R</w:t>
      </w:r>
      <w:r w:rsidRPr="00FF4565">
        <w:t xml:space="preserve">eglament penitenciari, i facilitarà la </w:t>
      </w:r>
      <w:r>
        <w:t xml:space="preserve">seva </w:t>
      </w:r>
      <w:r w:rsidRPr="00FF4565">
        <w:t xml:space="preserve">reintegració </w:t>
      </w:r>
      <w:r>
        <w:t>social</w:t>
      </w:r>
      <w:r w:rsidRPr="00FF4565">
        <w:t>.</w:t>
      </w:r>
    </w:p>
    <w:p w:rsidR="005729F5" w:rsidRPr="00FF4565" w:rsidRDefault="005729F5" w:rsidP="006D0874">
      <w:r w:rsidRPr="00FF4565">
        <w:t>Els interns, un cop reingressats, trobaran en el Centre Obert un entorn prou acollidor</w:t>
      </w:r>
      <w:r>
        <w:t xml:space="preserve">, </w:t>
      </w:r>
      <w:r w:rsidRPr="00FF4565">
        <w:t xml:space="preserve">fugint </w:t>
      </w:r>
      <w:r>
        <w:t>de l’</w:t>
      </w:r>
      <w:r w:rsidRPr="00FF4565">
        <w:t>ambient penitenciari</w:t>
      </w:r>
      <w:r>
        <w:t>, però alhora segur.</w:t>
      </w:r>
      <w:r w:rsidRPr="00FF4565">
        <w:t xml:space="preserve"> Per </w:t>
      </w:r>
      <w:r>
        <w:t xml:space="preserve">a </w:t>
      </w:r>
      <w:r w:rsidRPr="00FF4565">
        <w:t xml:space="preserve">això, caldrà crear un </w:t>
      </w:r>
      <w:r>
        <w:t>espai</w:t>
      </w:r>
      <w:r w:rsidRPr="00FF4565">
        <w:t xml:space="preserve"> on la vida diària dels interns sigui agradable</w:t>
      </w:r>
      <w:r>
        <w:t>,</w:t>
      </w:r>
      <w:r w:rsidRPr="00FF4565">
        <w:t xml:space="preserve"> però que </w:t>
      </w:r>
      <w:r>
        <w:t>disposi</w:t>
      </w:r>
      <w:r w:rsidRPr="00FF4565">
        <w:t xml:space="preserve"> també</w:t>
      </w:r>
      <w:r>
        <w:t xml:space="preserve"> de</w:t>
      </w:r>
      <w:r w:rsidRPr="00FF4565">
        <w:t xml:space="preserve"> mesures de seguretat per tal d’evitar les evasions impulsives i/o les entrades incontrolades de persones i productes i </w:t>
      </w:r>
      <w:r>
        <w:t>garanteixi</w:t>
      </w:r>
      <w:r w:rsidRPr="00FF4565">
        <w:t xml:space="preserve"> la seguretat física dels interns i del personal.</w:t>
      </w:r>
    </w:p>
    <w:p w:rsidR="005729F5" w:rsidRPr="00FF4565" w:rsidRDefault="005729F5" w:rsidP="006D0874">
      <w:pPr>
        <w:rPr>
          <w:rFonts w:eastAsia="Times New Roman" w:cs="Times New Roman"/>
          <w:lang w:eastAsia="es-ES"/>
        </w:rPr>
      </w:pPr>
      <w:r w:rsidRPr="00FF4565">
        <w:rPr>
          <w:rFonts w:eastAsia="Times New Roman" w:cs="Times New Roman"/>
          <w:lang w:eastAsia="es-ES"/>
        </w:rPr>
        <w:t xml:space="preserve">El temps de permanència </w:t>
      </w:r>
      <w:r>
        <w:rPr>
          <w:rFonts w:eastAsia="Times New Roman" w:cs="Times New Roman"/>
          <w:lang w:eastAsia="es-ES"/>
        </w:rPr>
        <w:t>en el</w:t>
      </w:r>
      <w:r w:rsidRPr="00FF4565">
        <w:rPr>
          <w:rFonts w:eastAsia="Times New Roman" w:cs="Times New Roman"/>
          <w:lang w:eastAsia="es-ES"/>
        </w:rPr>
        <w:t xml:space="preserve"> Centre serà variable</w:t>
      </w:r>
      <w:r>
        <w:rPr>
          <w:rFonts w:eastAsia="Times New Roman" w:cs="Times New Roman"/>
          <w:lang w:eastAsia="es-ES"/>
        </w:rPr>
        <w:t>,</w:t>
      </w:r>
      <w:r w:rsidRPr="00FF4565">
        <w:rPr>
          <w:rFonts w:eastAsia="Times New Roman" w:cs="Times New Roman"/>
          <w:lang w:eastAsia="es-ES"/>
        </w:rPr>
        <w:t xml:space="preserve"> segons les característiques dels interns i</w:t>
      </w:r>
      <w:r>
        <w:rPr>
          <w:rFonts w:eastAsia="Times New Roman" w:cs="Times New Roman"/>
          <w:lang w:eastAsia="es-ES"/>
        </w:rPr>
        <w:t xml:space="preserve"> les condemnes a complir, i els p</w:t>
      </w:r>
      <w:r w:rsidRPr="00FF4565">
        <w:rPr>
          <w:rFonts w:eastAsia="Times New Roman" w:cs="Times New Roman"/>
          <w:lang w:eastAsia="es-ES"/>
        </w:rPr>
        <w:t xml:space="preserve">ermetrà </w:t>
      </w:r>
      <w:r>
        <w:rPr>
          <w:rFonts w:eastAsia="Times New Roman" w:cs="Times New Roman"/>
          <w:lang w:eastAsia="es-ES"/>
        </w:rPr>
        <w:t>fer</w:t>
      </w:r>
      <w:r w:rsidRPr="00FF4565">
        <w:rPr>
          <w:rFonts w:eastAsia="Times New Roman" w:cs="Times New Roman"/>
          <w:lang w:eastAsia="es-ES"/>
        </w:rPr>
        <w:t xml:space="preserve">, </w:t>
      </w:r>
      <w:r>
        <w:rPr>
          <w:rFonts w:eastAsia="Times New Roman" w:cs="Times New Roman"/>
          <w:lang w:eastAsia="es-ES"/>
        </w:rPr>
        <w:t>sota la</w:t>
      </w:r>
      <w:r w:rsidRPr="00FF4565">
        <w:rPr>
          <w:rFonts w:eastAsia="Times New Roman" w:cs="Times New Roman"/>
          <w:lang w:eastAsia="es-ES"/>
        </w:rPr>
        <w:t xml:space="preserve"> supervisió de l’equip tècnic, activitat</w:t>
      </w:r>
      <w:r>
        <w:rPr>
          <w:rFonts w:eastAsia="Times New Roman" w:cs="Times New Roman"/>
          <w:lang w:eastAsia="es-ES"/>
        </w:rPr>
        <w:t>s</w:t>
      </w:r>
      <w:r w:rsidRPr="00FF4565">
        <w:rPr>
          <w:rFonts w:eastAsia="Times New Roman" w:cs="Times New Roman"/>
          <w:lang w:eastAsia="es-ES"/>
        </w:rPr>
        <w:t xml:space="preserve"> (laboral</w:t>
      </w:r>
      <w:r>
        <w:rPr>
          <w:rFonts w:eastAsia="Times New Roman" w:cs="Times New Roman"/>
          <w:lang w:eastAsia="es-ES"/>
        </w:rPr>
        <w:t>s</w:t>
      </w:r>
      <w:r w:rsidRPr="00FF4565">
        <w:rPr>
          <w:rFonts w:eastAsia="Times New Roman" w:cs="Times New Roman"/>
          <w:lang w:eastAsia="es-ES"/>
        </w:rPr>
        <w:t>, formativ</w:t>
      </w:r>
      <w:r>
        <w:rPr>
          <w:rFonts w:eastAsia="Times New Roman" w:cs="Times New Roman"/>
          <w:lang w:eastAsia="es-ES"/>
        </w:rPr>
        <w:t>es</w:t>
      </w:r>
      <w:r w:rsidRPr="00FF4565">
        <w:rPr>
          <w:rFonts w:eastAsia="Times New Roman" w:cs="Times New Roman"/>
          <w:lang w:eastAsia="es-ES"/>
        </w:rPr>
        <w:t>, terapèuti</w:t>
      </w:r>
      <w:r>
        <w:rPr>
          <w:rFonts w:eastAsia="Times New Roman" w:cs="Times New Roman"/>
          <w:lang w:eastAsia="es-ES"/>
        </w:rPr>
        <w:t>ques</w:t>
      </w:r>
      <w:r w:rsidRPr="00FF4565">
        <w:rPr>
          <w:rFonts w:eastAsia="Times New Roman" w:cs="Times New Roman"/>
          <w:lang w:eastAsia="es-ES"/>
        </w:rPr>
        <w:t xml:space="preserve">, etc.) a l’exterior de l’equipament penitenciari per tal d’afavorir la seva reinserció </w:t>
      </w:r>
      <w:r>
        <w:rPr>
          <w:rFonts w:eastAsia="Times New Roman" w:cs="Times New Roman"/>
          <w:lang w:eastAsia="es-ES"/>
        </w:rPr>
        <w:t>social</w:t>
      </w:r>
      <w:r w:rsidRPr="00FF4565">
        <w:rPr>
          <w:rFonts w:eastAsia="Times New Roman" w:cs="Times New Roman"/>
          <w:lang w:eastAsia="es-ES"/>
        </w:rPr>
        <w:t xml:space="preserve">. Al final de la seva activitat, i segons l’horari mínim de presència establert, l’intern reingressarà </w:t>
      </w:r>
      <w:r>
        <w:rPr>
          <w:rFonts w:eastAsia="Times New Roman" w:cs="Times New Roman"/>
          <w:lang w:eastAsia="es-ES"/>
        </w:rPr>
        <w:t>al</w:t>
      </w:r>
      <w:r w:rsidRPr="00FF4565">
        <w:rPr>
          <w:rFonts w:eastAsia="Times New Roman" w:cs="Times New Roman"/>
          <w:lang w:eastAsia="es-ES"/>
        </w:rPr>
        <w:t xml:space="preserve"> Centre. Com a norma general, el temps mínim de permanència al Centre dels interns classificats en tercer grau serà de </w:t>
      </w:r>
      <w:r>
        <w:rPr>
          <w:rFonts w:eastAsia="Times New Roman" w:cs="Times New Roman"/>
          <w:lang w:eastAsia="es-ES"/>
        </w:rPr>
        <w:t>vuit</w:t>
      </w:r>
      <w:r w:rsidRPr="00FF4565">
        <w:rPr>
          <w:rFonts w:eastAsia="Times New Roman" w:cs="Times New Roman"/>
          <w:lang w:eastAsia="es-ES"/>
        </w:rPr>
        <w:t xml:space="preserve"> hores diàries. Els interns classificats segons l’article 86.4 RP només </w:t>
      </w:r>
      <w:r>
        <w:rPr>
          <w:rFonts w:eastAsia="Times New Roman" w:cs="Times New Roman"/>
          <w:lang w:eastAsia="es-ES"/>
        </w:rPr>
        <w:t>aniran</w:t>
      </w:r>
      <w:r w:rsidRPr="00FF4565">
        <w:rPr>
          <w:rFonts w:eastAsia="Times New Roman" w:cs="Times New Roman"/>
          <w:lang w:eastAsia="es-ES"/>
        </w:rPr>
        <w:t xml:space="preserve"> al Centre per </w:t>
      </w:r>
      <w:r>
        <w:rPr>
          <w:rFonts w:eastAsia="Times New Roman" w:cs="Times New Roman"/>
          <w:lang w:eastAsia="es-ES"/>
        </w:rPr>
        <w:t>a</w:t>
      </w:r>
      <w:r w:rsidRPr="00FF4565">
        <w:rPr>
          <w:rFonts w:eastAsia="Times New Roman" w:cs="Times New Roman"/>
          <w:lang w:eastAsia="es-ES"/>
        </w:rPr>
        <w:t xml:space="preserve"> les entrevistes de seguiment. Els interns classificats en </w:t>
      </w:r>
      <w:r>
        <w:rPr>
          <w:rFonts w:eastAsia="Times New Roman" w:cs="Times New Roman"/>
          <w:lang w:eastAsia="es-ES"/>
        </w:rPr>
        <w:t xml:space="preserve">segon </w:t>
      </w:r>
      <w:r w:rsidRPr="00FF4565">
        <w:rPr>
          <w:rFonts w:eastAsia="Times New Roman" w:cs="Times New Roman"/>
          <w:lang w:eastAsia="es-ES"/>
        </w:rPr>
        <w:t>grau</w:t>
      </w:r>
      <w:r>
        <w:rPr>
          <w:rFonts w:eastAsia="Times New Roman" w:cs="Times New Roman"/>
          <w:lang w:eastAsia="es-ES"/>
        </w:rPr>
        <w:t>,</w:t>
      </w:r>
      <w:r w:rsidRPr="00FF4565">
        <w:rPr>
          <w:rFonts w:eastAsia="Times New Roman" w:cs="Times New Roman"/>
          <w:lang w:eastAsia="es-ES"/>
        </w:rPr>
        <w:t xml:space="preserve"> segons l’article 100.2 RP</w:t>
      </w:r>
      <w:r>
        <w:rPr>
          <w:rFonts w:eastAsia="Times New Roman" w:cs="Times New Roman"/>
          <w:lang w:eastAsia="es-ES"/>
        </w:rPr>
        <w:t>,</w:t>
      </w:r>
      <w:r w:rsidRPr="00FF4565">
        <w:rPr>
          <w:rFonts w:eastAsia="Times New Roman" w:cs="Times New Roman"/>
          <w:lang w:eastAsia="es-ES"/>
        </w:rPr>
        <w:t xml:space="preserve"> </w:t>
      </w:r>
      <w:r>
        <w:rPr>
          <w:rFonts w:eastAsia="Times New Roman" w:cs="Times New Roman"/>
          <w:lang w:eastAsia="es-ES"/>
        </w:rPr>
        <w:t>faran</w:t>
      </w:r>
      <w:r w:rsidRPr="00FF4565">
        <w:rPr>
          <w:rFonts w:eastAsia="Times New Roman" w:cs="Times New Roman"/>
          <w:lang w:eastAsia="es-ES"/>
        </w:rPr>
        <w:t xml:space="preserve"> una activitat a l’exterior del Centre durant els </w:t>
      </w:r>
      <w:r>
        <w:rPr>
          <w:rFonts w:eastAsia="Times New Roman" w:cs="Times New Roman"/>
          <w:lang w:eastAsia="es-ES"/>
        </w:rPr>
        <w:t>cinc</w:t>
      </w:r>
      <w:r w:rsidRPr="00FF4565">
        <w:rPr>
          <w:rFonts w:eastAsia="Times New Roman" w:cs="Times New Roman"/>
          <w:lang w:eastAsia="es-ES"/>
        </w:rPr>
        <w:t xml:space="preserve"> dies hàbils de la setmana i romandran al Centre Obert durant els caps de setmana.</w:t>
      </w:r>
    </w:p>
    <w:p w:rsidR="005729F5" w:rsidRPr="00FF4565" w:rsidRDefault="005729F5" w:rsidP="006D0874">
      <w:pPr>
        <w:rPr>
          <w:rFonts w:eastAsia="Times New Roman" w:cs="Times New Roman"/>
          <w:lang w:eastAsia="es-ES"/>
        </w:rPr>
      </w:pPr>
      <w:r w:rsidRPr="00FF4565">
        <w:rPr>
          <w:rFonts w:eastAsia="Times New Roman" w:cs="Times New Roman"/>
          <w:lang w:eastAsia="es-ES"/>
        </w:rPr>
        <w:lastRenderedPageBreak/>
        <w:t xml:space="preserve">Per tant, la gran majoria </w:t>
      </w:r>
      <w:r>
        <w:rPr>
          <w:rFonts w:eastAsia="Times New Roman" w:cs="Times New Roman"/>
          <w:lang w:eastAsia="es-ES"/>
        </w:rPr>
        <w:t>d’</w:t>
      </w:r>
      <w:r w:rsidRPr="00FF4565">
        <w:rPr>
          <w:rFonts w:eastAsia="Times New Roman" w:cs="Times New Roman"/>
          <w:lang w:eastAsia="es-ES"/>
        </w:rPr>
        <w:t xml:space="preserve">interns </w:t>
      </w:r>
      <w:r>
        <w:rPr>
          <w:rFonts w:eastAsia="Times New Roman" w:cs="Times New Roman"/>
          <w:lang w:eastAsia="es-ES"/>
        </w:rPr>
        <w:t>anirà</w:t>
      </w:r>
      <w:r w:rsidRPr="00FF4565">
        <w:rPr>
          <w:rFonts w:eastAsia="Times New Roman" w:cs="Times New Roman"/>
          <w:lang w:eastAsia="es-ES"/>
        </w:rPr>
        <w:t xml:space="preserve"> al Centre únicament per dormir i/o passar els caps de setmana, si bé per </w:t>
      </w:r>
      <w:r>
        <w:rPr>
          <w:rFonts w:eastAsia="Times New Roman" w:cs="Times New Roman"/>
          <w:lang w:eastAsia="es-ES"/>
        </w:rPr>
        <w:t xml:space="preserve">a </w:t>
      </w:r>
      <w:r w:rsidRPr="00FF4565">
        <w:rPr>
          <w:rFonts w:eastAsia="Times New Roman" w:cs="Times New Roman"/>
          <w:lang w:eastAsia="es-ES"/>
        </w:rPr>
        <w:t>alguns (una minoria), el Centre podrà constituir la seva residència habitual. Es preveu</w:t>
      </w:r>
      <w:r>
        <w:rPr>
          <w:rFonts w:eastAsia="Times New Roman" w:cs="Times New Roman"/>
          <w:lang w:eastAsia="es-ES"/>
        </w:rPr>
        <w:t>,</w:t>
      </w:r>
      <w:r w:rsidRPr="00FF4565">
        <w:rPr>
          <w:rFonts w:eastAsia="Times New Roman" w:cs="Times New Roman"/>
          <w:lang w:eastAsia="es-ES"/>
        </w:rPr>
        <w:t xml:space="preserve"> per exemple, que menys del 25</w:t>
      </w:r>
      <w:r>
        <w:rPr>
          <w:rFonts w:eastAsia="Times New Roman" w:cs="Times New Roman"/>
          <w:lang w:eastAsia="es-ES"/>
        </w:rPr>
        <w:t xml:space="preserve"> </w:t>
      </w:r>
      <w:r w:rsidRPr="00FF4565">
        <w:rPr>
          <w:rFonts w:eastAsia="Times New Roman" w:cs="Times New Roman"/>
          <w:lang w:eastAsia="es-ES"/>
        </w:rPr>
        <w:t xml:space="preserve">% dels interns </w:t>
      </w:r>
      <w:r>
        <w:rPr>
          <w:rFonts w:eastAsia="Times New Roman" w:cs="Times New Roman"/>
          <w:lang w:eastAsia="es-ES"/>
        </w:rPr>
        <w:t>mengi</w:t>
      </w:r>
      <w:r w:rsidRPr="00FF4565">
        <w:rPr>
          <w:rFonts w:eastAsia="Times New Roman" w:cs="Times New Roman"/>
          <w:lang w:eastAsia="es-ES"/>
        </w:rPr>
        <w:t xml:space="preserve"> al Centre. D’altres</w:t>
      </w:r>
      <w:r>
        <w:rPr>
          <w:rFonts w:eastAsia="Times New Roman" w:cs="Times New Roman"/>
          <w:lang w:eastAsia="es-ES"/>
        </w:rPr>
        <w:t>,</w:t>
      </w:r>
      <w:r w:rsidRPr="00FF4565">
        <w:rPr>
          <w:rFonts w:eastAsia="Times New Roman" w:cs="Times New Roman"/>
          <w:lang w:eastAsia="es-ES"/>
        </w:rPr>
        <w:t xml:space="preserve"> en cas </w:t>
      </w:r>
      <w:r>
        <w:rPr>
          <w:rFonts w:eastAsia="Times New Roman" w:cs="Times New Roman"/>
          <w:lang w:eastAsia="es-ES"/>
        </w:rPr>
        <w:t>que treballin</w:t>
      </w:r>
      <w:r w:rsidRPr="00FF4565">
        <w:rPr>
          <w:rFonts w:eastAsia="Times New Roman" w:cs="Times New Roman"/>
          <w:lang w:eastAsia="es-ES"/>
        </w:rPr>
        <w:t xml:space="preserve"> en horaris nocturns, </w:t>
      </w:r>
      <w:r>
        <w:rPr>
          <w:rFonts w:eastAsia="Times New Roman" w:cs="Times New Roman"/>
          <w:lang w:eastAsia="es-ES"/>
        </w:rPr>
        <w:t>aniran</w:t>
      </w:r>
      <w:r w:rsidRPr="00FF4565">
        <w:rPr>
          <w:rFonts w:eastAsia="Times New Roman" w:cs="Times New Roman"/>
          <w:lang w:eastAsia="es-ES"/>
        </w:rPr>
        <w:t xml:space="preserve"> al Centre a dormir durant el dia. Els caps de setmana, la majoria </w:t>
      </w:r>
      <w:r>
        <w:rPr>
          <w:rFonts w:eastAsia="Times New Roman" w:cs="Times New Roman"/>
          <w:lang w:eastAsia="es-ES"/>
        </w:rPr>
        <w:t>d’</w:t>
      </w:r>
      <w:r w:rsidRPr="00FF4565">
        <w:rPr>
          <w:rFonts w:eastAsia="Times New Roman" w:cs="Times New Roman"/>
          <w:lang w:eastAsia="es-ES"/>
        </w:rPr>
        <w:t>interns gaudir</w:t>
      </w:r>
      <w:r>
        <w:rPr>
          <w:rFonts w:eastAsia="Times New Roman" w:cs="Times New Roman"/>
          <w:lang w:eastAsia="es-ES"/>
        </w:rPr>
        <w:t>à</w:t>
      </w:r>
      <w:r w:rsidRPr="00FF4565">
        <w:rPr>
          <w:rFonts w:eastAsia="Times New Roman" w:cs="Times New Roman"/>
          <w:lang w:eastAsia="es-ES"/>
        </w:rPr>
        <w:t xml:space="preserve"> de l’horari de sortida corresponent al seu nivell d’avaluació (normalment des del divendres fins al diumenge o el dilluns).</w:t>
      </w:r>
    </w:p>
    <w:p w:rsidR="005729F5" w:rsidRPr="00FF4565" w:rsidRDefault="005729F5" w:rsidP="006D0874">
      <w:pPr>
        <w:rPr>
          <w:color w:val="2B2E2C"/>
          <w:lang w:eastAsia="ca-ES"/>
        </w:rPr>
      </w:pPr>
      <w:r w:rsidRPr="00FF4565">
        <w:rPr>
          <w:color w:val="2B2E2C"/>
          <w:lang w:eastAsia="ca-ES"/>
        </w:rPr>
        <w:t xml:space="preserve">Segons </w:t>
      </w:r>
      <w:r w:rsidRPr="00FF4565">
        <w:rPr>
          <w:lang w:eastAsia="ca-ES"/>
        </w:rPr>
        <w:t xml:space="preserve">I‘article </w:t>
      </w:r>
      <w:r w:rsidRPr="00FF4565">
        <w:rPr>
          <w:color w:val="2B2E2C"/>
          <w:lang w:eastAsia="ca-ES"/>
        </w:rPr>
        <w:t xml:space="preserve">80 </w:t>
      </w:r>
      <w:r>
        <w:rPr>
          <w:lang w:eastAsia="ca-ES"/>
        </w:rPr>
        <w:t>del Reglament p</w:t>
      </w:r>
      <w:r w:rsidRPr="00FF4565">
        <w:rPr>
          <w:lang w:eastAsia="ca-ES"/>
        </w:rPr>
        <w:t>enitenciari</w:t>
      </w:r>
      <w:r>
        <w:rPr>
          <w:lang w:eastAsia="ca-ES"/>
        </w:rPr>
        <w:t>,</w:t>
      </w:r>
      <w:r w:rsidRPr="00FF4565">
        <w:rPr>
          <w:lang w:eastAsia="ca-ES"/>
        </w:rPr>
        <w:t xml:space="preserve"> </w:t>
      </w:r>
      <w:r w:rsidRPr="00FF4565">
        <w:rPr>
          <w:color w:val="2B2E2C"/>
          <w:lang w:eastAsia="ca-ES"/>
        </w:rPr>
        <w:t xml:space="preserve">els establiments </w:t>
      </w:r>
      <w:r w:rsidRPr="00FF4565">
        <w:rPr>
          <w:lang w:eastAsia="ca-ES"/>
        </w:rPr>
        <w:t>de règim obert poden</w:t>
      </w:r>
      <w:r>
        <w:rPr>
          <w:lang w:eastAsia="ca-ES"/>
        </w:rPr>
        <w:t xml:space="preserve"> ser:</w:t>
      </w:r>
    </w:p>
    <w:p w:rsidR="005729F5" w:rsidRPr="00FF4565" w:rsidRDefault="005729F5" w:rsidP="006D0874">
      <w:pPr>
        <w:rPr>
          <w:color w:val="2B2E2C"/>
          <w:lang w:eastAsia="ca-ES"/>
        </w:rPr>
      </w:pPr>
      <w:r w:rsidRPr="00FF4565">
        <w:rPr>
          <w:u w:val="single"/>
          <w:lang w:eastAsia="ca-ES"/>
        </w:rPr>
        <w:t xml:space="preserve">Centres </w:t>
      </w:r>
      <w:r>
        <w:rPr>
          <w:u w:val="single"/>
          <w:lang w:eastAsia="ca-ES"/>
        </w:rPr>
        <w:t>o</w:t>
      </w:r>
      <w:r w:rsidRPr="00FF4565">
        <w:rPr>
          <w:u w:val="single"/>
          <w:lang w:eastAsia="ca-ES"/>
        </w:rPr>
        <w:t>berts</w:t>
      </w:r>
      <w:r w:rsidRPr="00FF4565">
        <w:rPr>
          <w:lang w:eastAsia="ca-ES"/>
        </w:rPr>
        <w:t xml:space="preserve">: </w:t>
      </w:r>
      <w:r>
        <w:rPr>
          <w:color w:val="2B2E2C"/>
          <w:lang w:eastAsia="ca-ES"/>
        </w:rPr>
        <w:t>E</w:t>
      </w:r>
      <w:r w:rsidRPr="00FF4565">
        <w:rPr>
          <w:color w:val="2B2E2C"/>
          <w:lang w:eastAsia="ca-ES"/>
        </w:rPr>
        <w:t>stabliment</w:t>
      </w:r>
      <w:r>
        <w:rPr>
          <w:color w:val="2B2E2C"/>
          <w:lang w:eastAsia="ca-ES"/>
        </w:rPr>
        <w:t>s</w:t>
      </w:r>
      <w:r w:rsidRPr="00FF4565">
        <w:rPr>
          <w:color w:val="2B2E2C"/>
          <w:lang w:eastAsia="ca-ES"/>
        </w:rPr>
        <w:t xml:space="preserve"> </w:t>
      </w:r>
      <w:r w:rsidRPr="00FF4565">
        <w:rPr>
          <w:lang w:eastAsia="ca-ES"/>
        </w:rPr>
        <w:t>penitenciaris dedicats a interns classificats</w:t>
      </w:r>
      <w:r>
        <w:rPr>
          <w:lang w:eastAsia="ca-ES"/>
        </w:rPr>
        <w:t xml:space="preserve"> </w:t>
      </w:r>
      <w:r w:rsidRPr="00FF4565">
        <w:rPr>
          <w:color w:val="2B2E2C"/>
          <w:lang w:eastAsia="ca-ES"/>
        </w:rPr>
        <w:t xml:space="preserve">en </w:t>
      </w:r>
      <w:r w:rsidRPr="00FF4565">
        <w:rPr>
          <w:lang w:eastAsia="ca-ES"/>
        </w:rPr>
        <w:t>tercer grau de tractament.</w:t>
      </w:r>
      <w:r w:rsidRPr="00FF4565">
        <w:rPr>
          <w:color w:val="2B2E2C"/>
          <w:lang w:eastAsia="ca-ES"/>
        </w:rPr>
        <w:t xml:space="preserve"> </w:t>
      </w:r>
    </w:p>
    <w:p w:rsidR="005729F5" w:rsidRPr="00FF4565" w:rsidRDefault="005729F5" w:rsidP="006D0874">
      <w:pPr>
        <w:ind w:left="708"/>
        <w:rPr>
          <w:color w:val="2B2E2C"/>
          <w:lang w:eastAsia="ca-ES"/>
        </w:rPr>
      </w:pPr>
      <w:r w:rsidRPr="00FF4565">
        <w:rPr>
          <w:color w:val="2B2E2C"/>
          <w:lang w:eastAsia="ca-ES"/>
        </w:rPr>
        <w:t xml:space="preserve">Actualment disposem de </w:t>
      </w:r>
      <w:r>
        <w:rPr>
          <w:color w:val="2B2E2C"/>
          <w:lang w:eastAsia="ca-ES"/>
        </w:rPr>
        <w:t>c</w:t>
      </w:r>
      <w:r w:rsidRPr="00FF4565">
        <w:rPr>
          <w:color w:val="2B2E2C"/>
          <w:lang w:eastAsia="ca-ES"/>
        </w:rPr>
        <w:t xml:space="preserve">entres de règim obert a Barcelona (CO BCN1, a l’interior del recinte del CP </w:t>
      </w:r>
      <w:r>
        <w:rPr>
          <w:color w:val="2B2E2C"/>
          <w:lang w:eastAsia="ca-ES"/>
        </w:rPr>
        <w:t>d’</w:t>
      </w:r>
      <w:r w:rsidRPr="00FF4565">
        <w:rPr>
          <w:color w:val="2B2E2C"/>
          <w:lang w:eastAsia="ca-ES"/>
        </w:rPr>
        <w:t>Homes</w:t>
      </w:r>
      <w:r>
        <w:rPr>
          <w:color w:val="2B2E2C"/>
          <w:lang w:eastAsia="ca-ES"/>
        </w:rPr>
        <w:t xml:space="preserve"> de</w:t>
      </w:r>
      <w:r w:rsidRPr="00FF4565">
        <w:rPr>
          <w:color w:val="2B2E2C"/>
          <w:lang w:eastAsia="ca-ES"/>
        </w:rPr>
        <w:t xml:space="preserve"> Barcelona; CO BCN 2</w:t>
      </w:r>
      <w:r>
        <w:rPr>
          <w:color w:val="2B2E2C"/>
          <w:lang w:eastAsia="ca-ES"/>
        </w:rPr>
        <w:t>,</w:t>
      </w:r>
      <w:r w:rsidRPr="00FF4565">
        <w:rPr>
          <w:color w:val="2B2E2C"/>
          <w:lang w:eastAsia="ca-ES"/>
        </w:rPr>
        <w:t xml:space="preserve"> a la Trinitat), a Tarragona (conversió de l’antic Centre </w:t>
      </w:r>
      <w:r>
        <w:rPr>
          <w:color w:val="2B2E2C"/>
          <w:lang w:eastAsia="ca-ES"/>
        </w:rPr>
        <w:t>p</w:t>
      </w:r>
      <w:r w:rsidRPr="00FF4565">
        <w:rPr>
          <w:color w:val="2B2E2C"/>
          <w:lang w:eastAsia="ca-ES"/>
        </w:rPr>
        <w:t xml:space="preserve">enitenciari), a Girona (conversió de l’antic Centre </w:t>
      </w:r>
      <w:r>
        <w:rPr>
          <w:color w:val="2B2E2C"/>
          <w:lang w:eastAsia="ca-ES"/>
        </w:rPr>
        <w:t>p</w:t>
      </w:r>
      <w:r w:rsidRPr="00FF4565">
        <w:rPr>
          <w:color w:val="2B2E2C"/>
          <w:lang w:eastAsia="ca-ES"/>
        </w:rPr>
        <w:t>enitenciari) i a Lleida.</w:t>
      </w:r>
    </w:p>
    <w:p w:rsidR="005729F5" w:rsidRPr="00FF4565" w:rsidRDefault="005729F5" w:rsidP="006D0874">
      <w:pPr>
        <w:ind w:left="708"/>
        <w:rPr>
          <w:color w:val="2B2E2C"/>
          <w:lang w:eastAsia="ca-ES"/>
        </w:rPr>
      </w:pPr>
      <w:r w:rsidRPr="00FF4565">
        <w:rPr>
          <w:color w:val="2B2E2C"/>
          <w:lang w:eastAsia="ca-ES"/>
        </w:rPr>
        <w:t xml:space="preserve">Tots aquests equipaments provenen d’adequacions funcionals dels antics </w:t>
      </w:r>
      <w:r>
        <w:rPr>
          <w:color w:val="2B2E2C"/>
          <w:lang w:eastAsia="ca-ES"/>
        </w:rPr>
        <w:t>c</w:t>
      </w:r>
      <w:r w:rsidRPr="00FF4565">
        <w:rPr>
          <w:color w:val="2B2E2C"/>
          <w:lang w:eastAsia="ca-ES"/>
        </w:rPr>
        <w:t xml:space="preserve">entres </w:t>
      </w:r>
      <w:r>
        <w:rPr>
          <w:color w:val="2B2E2C"/>
          <w:lang w:eastAsia="ca-ES"/>
        </w:rPr>
        <w:t>p</w:t>
      </w:r>
      <w:r w:rsidRPr="00FF4565">
        <w:rPr>
          <w:color w:val="2B2E2C"/>
          <w:lang w:eastAsia="ca-ES"/>
        </w:rPr>
        <w:t xml:space="preserve">enitenciaris </w:t>
      </w:r>
      <w:r>
        <w:rPr>
          <w:color w:val="2B2E2C"/>
          <w:lang w:eastAsia="ca-ES"/>
        </w:rPr>
        <w:t>mitjançant</w:t>
      </w:r>
      <w:r w:rsidRPr="00FF4565">
        <w:rPr>
          <w:color w:val="2B2E2C"/>
          <w:lang w:eastAsia="ca-ES"/>
        </w:rPr>
        <w:t xml:space="preserve"> intervencions arquitectòniques de petita escala (canvis de distribució, actualització de le</w:t>
      </w:r>
      <w:r>
        <w:rPr>
          <w:color w:val="2B2E2C"/>
          <w:lang w:eastAsia="ca-ES"/>
        </w:rPr>
        <w:t>s instal·lacions, pintura, etc.</w:t>
      </w:r>
      <w:r w:rsidRPr="00FF4565">
        <w:rPr>
          <w:color w:val="2B2E2C"/>
          <w:lang w:eastAsia="ca-ES"/>
        </w:rPr>
        <w:t>).</w:t>
      </w:r>
    </w:p>
    <w:p w:rsidR="005729F5" w:rsidRDefault="005729F5" w:rsidP="006D0874">
      <w:pPr>
        <w:rPr>
          <w:lang w:eastAsia="ca-ES"/>
        </w:rPr>
      </w:pPr>
      <w:r w:rsidRPr="00FF4565">
        <w:rPr>
          <w:u w:val="single"/>
          <w:lang w:eastAsia="ca-ES"/>
        </w:rPr>
        <w:t xml:space="preserve">Seccions </w:t>
      </w:r>
      <w:r>
        <w:rPr>
          <w:u w:val="single"/>
          <w:lang w:eastAsia="ca-ES"/>
        </w:rPr>
        <w:t>o</w:t>
      </w:r>
      <w:r w:rsidRPr="00FF4565">
        <w:rPr>
          <w:u w:val="single"/>
          <w:lang w:eastAsia="ca-ES"/>
        </w:rPr>
        <w:t>bertes</w:t>
      </w:r>
      <w:r>
        <w:rPr>
          <w:lang w:eastAsia="ca-ES"/>
        </w:rPr>
        <w:t>: D</w:t>
      </w:r>
      <w:r w:rsidRPr="00FF4565">
        <w:rPr>
          <w:lang w:eastAsia="ca-ES"/>
        </w:rPr>
        <w:t>epenen administrativament d'un centre penitenciari</w:t>
      </w:r>
      <w:r>
        <w:rPr>
          <w:lang w:eastAsia="ca-ES"/>
        </w:rPr>
        <w:t>,</w:t>
      </w:r>
      <w:r w:rsidRPr="00FF4565">
        <w:rPr>
          <w:lang w:eastAsia="ca-ES"/>
        </w:rPr>
        <w:t xml:space="preserve"> i </w:t>
      </w:r>
      <w:r>
        <w:rPr>
          <w:color w:val="2B2E2C"/>
          <w:lang w:eastAsia="ca-ES"/>
        </w:rPr>
        <w:t>són</w:t>
      </w:r>
      <w:r w:rsidRPr="00FF4565">
        <w:rPr>
          <w:color w:val="2B2E2C"/>
          <w:lang w:eastAsia="ca-ES"/>
        </w:rPr>
        <w:t xml:space="preserve"> </w:t>
      </w:r>
      <w:r w:rsidRPr="00FF4565">
        <w:rPr>
          <w:lang w:eastAsia="ca-ES"/>
        </w:rPr>
        <w:t xml:space="preserve">la part destinada a interns classificats </w:t>
      </w:r>
      <w:r w:rsidRPr="00FF4565">
        <w:rPr>
          <w:color w:val="2B2E2C"/>
          <w:lang w:eastAsia="ca-ES"/>
        </w:rPr>
        <w:t xml:space="preserve">en </w:t>
      </w:r>
      <w:r w:rsidRPr="00FF4565">
        <w:rPr>
          <w:lang w:eastAsia="ca-ES"/>
        </w:rPr>
        <w:t>tercer grau de tractament</w:t>
      </w:r>
      <w:r>
        <w:rPr>
          <w:lang w:eastAsia="ca-ES"/>
        </w:rPr>
        <w:t>.</w:t>
      </w:r>
    </w:p>
    <w:p w:rsidR="005729F5" w:rsidRPr="00FF4565" w:rsidRDefault="005729F5" w:rsidP="006D0874">
      <w:pPr>
        <w:rPr>
          <w:lang w:eastAsia="ca-ES"/>
        </w:rPr>
      </w:pPr>
      <w:r>
        <w:rPr>
          <w:u w:val="single"/>
          <w:lang w:eastAsia="ca-ES"/>
        </w:rPr>
        <w:t>Unitats d</w:t>
      </w:r>
      <w:r w:rsidRPr="00ED3A64">
        <w:rPr>
          <w:u w:val="single"/>
          <w:lang w:eastAsia="ca-ES"/>
        </w:rPr>
        <w:t>ependents</w:t>
      </w:r>
      <w:r w:rsidRPr="00FF4565">
        <w:rPr>
          <w:color w:val="454543"/>
          <w:lang w:eastAsia="ca-ES"/>
        </w:rPr>
        <w:t xml:space="preserve">: </w:t>
      </w:r>
      <w:r>
        <w:rPr>
          <w:lang w:eastAsia="ca-ES"/>
        </w:rPr>
        <w:t>U</w:t>
      </w:r>
      <w:r w:rsidRPr="00FF4565">
        <w:rPr>
          <w:lang w:eastAsia="ca-ES"/>
        </w:rPr>
        <w:t>nitats arquitectònicament</w:t>
      </w:r>
      <w:r>
        <w:rPr>
          <w:lang w:eastAsia="ca-ES"/>
        </w:rPr>
        <w:t xml:space="preserve"> ubicades fora dels recintes del</w:t>
      </w:r>
      <w:r w:rsidRPr="00FF4565">
        <w:rPr>
          <w:lang w:eastAsia="ca-ES"/>
        </w:rPr>
        <w:t xml:space="preserve">s centres penitenciaris, preferentment en habitatges ordinaris de </w:t>
      </w:r>
      <w:r>
        <w:rPr>
          <w:lang w:eastAsia="ca-ES"/>
        </w:rPr>
        <w:t>I</w:t>
      </w:r>
      <w:r w:rsidRPr="00FF4565">
        <w:rPr>
          <w:lang w:eastAsia="ca-ES"/>
        </w:rPr>
        <w:t xml:space="preserve">‘entorn </w:t>
      </w:r>
      <w:r w:rsidRPr="00FF4565">
        <w:rPr>
          <w:color w:val="2B2E2C"/>
          <w:lang w:eastAsia="ca-ES"/>
        </w:rPr>
        <w:t xml:space="preserve">comunitari, </w:t>
      </w:r>
      <w:r w:rsidRPr="00FF4565">
        <w:rPr>
          <w:lang w:eastAsia="ca-ES"/>
        </w:rPr>
        <w:t xml:space="preserve">sense </w:t>
      </w:r>
      <w:r w:rsidRPr="00FF4565">
        <w:rPr>
          <w:color w:val="2B2E2C"/>
          <w:lang w:eastAsia="ca-ES"/>
        </w:rPr>
        <w:t xml:space="preserve">cap </w:t>
      </w:r>
      <w:r w:rsidRPr="00FF4565">
        <w:rPr>
          <w:lang w:eastAsia="ca-ES"/>
        </w:rPr>
        <w:t xml:space="preserve">signe de distinció </w:t>
      </w:r>
      <w:r w:rsidRPr="00FF4565">
        <w:rPr>
          <w:color w:val="2B2E2C"/>
          <w:lang w:eastAsia="ca-ES"/>
        </w:rPr>
        <w:t xml:space="preserve">externa </w:t>
      </w:r>
      <w:r w:rsidRPr="00FF4565">
        <w:rPr>
          <w:lang w:eastAsia="ca-ES"/>
        </w:rPr>
        <w:t>relatiu a la seva dedicació.</w:t>
      </w:r>
    </w:p>
    <w:p w:rsidR="005729F5" w:rsidRPr="00FF4565" w:rsidRDefault="005729F5" w:rsidP="006D0874">
      <w:pPr>
        <w:rPr>
          <w:lang w:eastAsia="ca-ES"/>
        </w:rPr>
      </w:pPr>
      <w:r w:rsidRPr="00FF4565">
        <w:rPr>
          <w:color w:val="2B2E2C"/>
          <w:lang w:eastAsia="ca-ES"/>
        </w:rPr>
        <w:t xml:space="preserve">Els </w:t>
      </w:r>
      <w:r w:rsidRPr="0014029E">
        <w:rPr>
          <w:lang w:eastAsia="ca-ES"/>
        </w:rPr>
        <w:t xml:space="preserve">centres </w:t>
      </w:r>
      <w:r w:rsidRPr="00FF4565">
        <w:rPr>
          <w:lang w:eastAsia="ca-ES"/>
        </w:rPr>
        <w:t>oberts es defineixen</w:t>
      </w:r>
      <w:r>
        <w:rPr>
          <w:lang w:eastAsia="ca-ES"/>
        </w:rPr>
        <w:t>,</w:t>
      </w:r>
      <w:r w:rsidRPr="00FF4565">
        <w:rPr>
          <w:lang w:eastAsia="ca-ES"/>
        </w:rPr>
        <w:t xml:space="preserve"> per tipologia i ubicació</w:t>
      </w:r>
      <w:r>
        <w:rPr>
          <w:lang w:eastAsia="ca-ES"/>
        </w:rPr>
        <w:t>,</w:t>
      </w:r>
      <w:r w:rsidRPr="00FF4565">
        <w:rPr>
          <w:lang w:eastAsia="ca-ES"/>
        </w:rPr>
        <w:t xml:space="preserve"> </w:t>
      </w:r>
      <w:r>
        <w:rPr>
          <w:lang w:eastAsia="ca-ES"/>
        </w:rPr>
        <w:t>com a</w:t>
      </w:r>
      <w:r w:rsidRPr="00FF4565">
        <w:rPr>
          <w:lang w:eastAsia="ca-ES"/>
        </w:rPr>
        <w:t xml:space="preserve"> </w:t>
      </w:r>
      <w:r w:rsidRPr="00166618">
        <w:rPr>
          <w:i/>
          <w:lang w:eastAsia="ca-ES"/>
        </w:rPr>
        <w:t>nucli urbà</w:t>
      </w:r>
      <w:r>
        <w:rPr>
          <w:color w:val="454543"/>
          <w:lang w:eastAsia="ca-ES"/>
        </w:rPr>
        <w:t>. Afavoreixen</w:t>
      </w:r>
      <w:r w:rsidRPr="00FF4565">
        <w:rPr>
          <w:lang w:eastAsia="ca-ES"/>
        </w:rPr>
        <w:t xml:space="preserve"> </w:t>
      </w:r>
      <w:r w:rsidRPr="00FF4565">
        <w:rPr>
          <w:color w:val="2B2E2C"/>
          <w:lang w:eastAsia="ca-ES"/>
        </w:rPr>
        <w:t xml:space="preserve">el </w:t>
      </w:r>
      <w:r w:rsidRPr="00FF4565">
        <w:rPr>
          <w:lang w:eastAsia="ca-ES"/>
        </w:rPr>
        <w:t>procés de reinserció i facilit</w:t>
      </w:r>
      <w:r>
        <w:rPr>
          <w:lang w:eastAsia="ca-ES"/>
        </w:rPr>
        <w:t>en</w:t>
      </w:r>
      <w:r w:rsidRPr="00FF4565">
        <w:rPr>
          <w:lang w:eastAsia="ca-ES"/>
        </w:rPr>
        <w:t xml:space="preserve"> </w:t>
      </w:r>
      <w:r>
        <w:rPr>
          <w:lang w:eastAsia="ca-ES"/>
        </w:rPr>
        <w:t>I</w:t>
      </w:r>
      <w:r w:rsidRPr="00FF4565">
        <w:rPr>
          <w:lang w:eastAsia="ca-ES"/>
        </w:rPr>
        <w:t xml:space="preserve">‘accés </w:t>
      </w:r>
      <w:r>
        <w:rPr>
          <w:color w:val="2B2E2C"/>
          <w:lang w:eastAsia="ca-ES"/>
        </w:rPr>
        <w:t>al</w:t>
      </w:r>
      <w:r w:rsidRPr="00FF4565">
        <w:rPr>
          <w:color w:val="2B2E2C"/>
          <w:lang w:eastAsia="ca-ES"/>
        </w:rPr>
        <w:t xml:space="preserve"> </w:t>
      </w:r>
      <w:r>
        <w:rPr>
          <w:lang w:eastAsia="ca-ES"/>
        </w:rPr>
        <w:t>transport públic</w:t>
      </w:r>
      <w:r w:rsidRPr="00FF4565">
        <w:rPr>
          <w:lang w:eastAsia="ca-ES"/>
        </w:rPr>
        <w:t xml:space="preserve">, </w:t>
      </w:r>
      <w:r>
        <w:rPr>
          <w:lang w:eastAsia="ca-ES"/>
        </w:rPr>
        <w:t xml:space="preserve">a les </w:t>
      </w:r>
      <w:r w:rsidRPr="00FF4565">
        <w:rPr>
          <w:lang w:eastAsia="ca-ES"/>
        </w:rPr>
        <w:t xml:space="preserve">línies de comunicació i a la </w:t>
      </w:r>
      <w:r w:rsidRPr="00FF4565">
        <w:rPr>
          <w:color w:val="2B2E2C"/>
          <w:lang w:eastAsia="ca-ES"/>
        </w:rPr>
        <w:t xml:space="preserve">xarxa </w:t>
      </w:r>
      <w:r w:rsidRPr="00FF4565">
        <w:rPr>
          <w:lang w:eastAsia="ca-ES"/>
        </w:rPr>
        <w:t>de recursos públics, com</w:t>
      </w:r>
      <w:r>
        <w:rPr>
          <w:lang w:eastAsia="ca-ES"/>
        </w:rPr>
        <w:t xml:space="preserve"> a</w:t>
      </w:r>
      <w:r w:rsidRPr="00FF4565">
        <w:rPr>
          <w:lang w:eastAsia="ca-ES"/>
        </w:rPr>
        <w:t xml:space="preserve"> qualsevol altre ciutadà</w:t>
      </w:r>
      <w:r>
        <w:rPr>
          <w:lang w:eastAsia="ca-ES"/>
        </w:rPr>
        <w:t>.</w:t>
      </w:r>
    </w:p>
    <w:p w:rsidR="005729F5" w:rsidRPr="00FF4565" w:rsidRDefault="005729F5" w:rsidP="006D0874">
      <w:pPr>
        <w:rPr>
          <w:lang w:eastAsia="ca-ES"/>
        </w:rPr>
      </w:pPr>
      <w:r>
        <w:rPr>
          <w:lang w:eastAsia="ca-ES"/>
        </w:rPr>
        <w:t xml:space="preserve">La mitjana de </w:t>
      </w:r>
      <w:r w:rsidRPr="00FF4565">
        <w:rPr>
          <w:lang w:eastAsia="ca-ES"/>
        </w:rPr>
        <w:t xml:space="preserve">temps d'estada </w:t>
      </w:r>
      <w:r w:rsidRPr="00FF4565">
        <w:rPr>
          <w:color w:val="2B2E2C"/>
          <w:lang w:eastAsia="ca-ES"/>
        </w:rPr>
        <w:t xml:space="preserve">en </w:t>
      </w:r>
      <w:r w:rsidRPr="00FF4565">
        <w:rPr>
          <w:lang w:eastAsia="ca-ES"/>
        </w:rPr>
        <w:t xml:space="preserve">centres oberts </w:t>
      </w:r>
      <w:r w:rsidRPr="00FF4565">
        <w:rPr>
          <w:color w:val="2B2E2C"/>
          <w:lang w:eastAsia="ca-ES"/>
        </w:rPr>
        <w:t xml:space="preserve">és </w:t>
      </w:r>
      <w:r w:rsidRPr="00FF4565">
        <w:rPr>
          <w:lang w:eastAsia="ca-ES"/>
        </w:rPr>
        <w:t>d'</w:t>
      </w:r>
      <w:r>
        <w:rPr>
          <w:lang w:eastAsia="ca-ES"/>
        </w:rPr>
        <w:t>un</w:t>
      </w:r>
      <w:r w:rsidRPr="00FF4565">
        <w:rPr>
          <w:lang w:eastAsia="ca-ES"/>
        </w:rPr>
        <w:t xml:space="preserve"> </w:t>
      </w:r>
      <w:r w:rsidRPr="00FF4565">
        <w:rPr>
          <w:color w:val="2B2E2C"/>
          <w:lang w:eastAsia="ca-ES"/>
        </w:rPr>
        <w:t xml:space="preserve">a </w:t>
      </w:r>
      <w:r>
        <w:rPr>
          <w:color w:val="2B2E2C"/>
          <w:lang w:eastAsia="ca-ES"/>
        </w:rPr>
        <w:t>dos</w:t>
      </w:r>
      <w:r w:rsidRPr="00FF4565">
        <w:rPr>
          <w:color w:val="2B2E2C"/>
          <w:lang w:eastAsia="ca-ES"/>
        </w:rPr>
        <w:t xml:space="preserve"> </w:t>
      </w:r>
      <w:r w:rsidRPr="00FF4565">
        <w:rPr>
          <w:lang w:eastAsia="ca-ES"/>
        </w:rPr>
        <w:t>anys fins arribar al benefici de la llibertat condicional</w:t>
      </w:r>
      <w:r>
        <w:rPr>
          <w:lang w:eastAsia="ca-ES"/>
        </w:rPr>
        <w:t>,</w:t>
      </w:r>
      <w:r w:rsidRPr="00FF4565">
        <w:rPr>
          <w:lang w:eastAsia="ca-ES"/>
        </w:rPr>
        <w:t xml:space="preserve"> </w:t>
      </w:r>
      <w:r>
        <w:rPr>
          <w:color w:val="2B2E2C"/>
          <w:lang w:eastAsia="ca-ES"/>
        </w:rPr>
        <w:t>depenent</w:t>
      </w:r>
      <w:r w:rsidRPr="00FF4565">
        <w:rPr>
          <w:lang w:eastAsia="ca-ES"/>
        </w:rPr>
        <w:t xml:space="preserve"> del grau d'evolució </w:t>
      </w:r>
      <w:r w:rsidRPr="00FF4565">
        <w:rPr>
          <w:color w:val="2B2E2C"/>
          <w:lang w:eastAsia="ca-ES"/>
        </w:rPr>
        <w:t xml:space="preserve">en el </w:t>
      </w:r>
      <w:r w:rsidRPr="00FF4565">
        <w:rPr>
          <w:lang w:eastAsia="ca-ES"/>
        </w:rPr>
        <w:t>seu pla de treball.</w:t>
      </w:r>
    </w:p>
    <w:p w:rsidR="005729F5" w:rsidRPr="00FF4565" w:rsidRDefault="005729F5" w:rsidP="006D0874">
      <w:pPr>
        <w:rPr>
          <w:color w:val="2B2E2C"/>
          <w:lang w:eastAsia="ca-ES"/>
        </w:rPr>
      </w:pPr>
      <w:r>
        <w:rPr>
          <w:lang w:eastAsia="ca-ES"/>
        </w:rPr>
        <w:t>Habitualment, a</w:t>
      </w:r>
      <w:r w:rsidRPr="00FF4565">
        <w:rPr>
          <w:lang w:eastAsia="ca-ES"/>
        </w:rPr>
        <w:t>collir</w:t>
      </w:r>
      <w:r>
        <w:rPr>
          <w:lang w:eastAsia="ca-ES"/>
        </w:rPr>
        <w:t>an interns</w:t>
      </w:r>
      <w:r w:rsidRPr="00FF4565">
        <w:rPr>
          <w:lang w:eastAsia="ca-ES"/>
        </w:rPr>
        <w:t xml:space="preserve"> classificats en tercer grau de tractament</w:t>
      </w:r>
      <w:r>
        <w:rPr>
          <w:lang w:eastAsia="ca-ES"/>
        </w:rPr>
        <w:t xml:space="preserve"> d’acord amb</w:t>
      </w:r>
      <w:r w:rsidRPr="00FF4565">
        <w:rPr>
          <w:lang w:eastAsia="ca-ES"/>
        </w:rPr>
        <w:t xml:space="preserve"> </w:t>
      </w:r>
      <w:r w:rsidRPr="00FF4565">
        <w:rPr>
          <w:color w:val="2B2E2C"/>
          <w:lang w:eastAsia="ca-ES"/>
        </w:rPr>
        <w:t xml:space="preserve">els </w:t>
      </w:r>
      <w:r w:rsidRPr="00FF4565">
        <w:rPr>
          <w:lang w:eastAsia="ca-ES"/>
        </w:rPr>
        <w:t>articles 83 i 86.4 del RP</w:t>
      </w:r>
      <w:r w:rsidRPr="00FF4565">
        <w:rPr>
          <w:color w:val="454543"/>
          <w:lang w:eastAsia="ca-ES"/>
        </w:rPr>
        <w:t xml:space="preserve">. </w:t>
      </w:r>
      <w:r w:rsidRPr="00FF4565">
        <w:rPr>
          <w:lang w:eastAsia="ca-ES"/>
        </w:rPr>
        <w:t>No obstant</w:t>
      </w:r>
      <w:r>
        <w:rPr>
          <w:lang w:eastAsia="ca-ES"/>
        </w:rPr>
        <w:t xml:space="preserve"> això</w:t>
      </w:r>
      <w:r w:rsidRPr="00FF4565">
        <w:rPr>
          <w:lang w:eastAsia="ca-ES"/>
        </w:rPr>
        <w:t xml:space="preserve">, també podran </w:t>
      </w:r>
      <w:r w:rsidRPr="00FF4565">
        <w:rPr>
          <w:color w:val="2B2E2C"/>
          <w:lang w:eastAsia="ca-ES"/>
        </w:rPr>
        <w:t xml:space="preserve">acollir </w:t>
      </w:r>
      <w:r>
        <w:rPr>
          <w:lang w:eastAsia="ca-ES"/>
        </w:rPr>
        <w:t>interns classificats</w:t>
      </w:r>
      <w:r w:rsidRPr="00FF4565">
        <w:rPr>
          <w:lang w:eastAsia="ca-ES"/>
        </w:rPr>
        <w:t xml:space="preserve"> </w:t>
      </w:r>
      <w:r w:rsidRPr="00FF4565">
        <w:rPr>
          <w:color w:val="2B2E2C"/>
          <w:lang w:eastAsia="ca-ES"/>
        </w:rPr>
        <w:t xml:space="preserve">en </w:t>
      </w:r>
      <w:r w:rsidRPr="00FF4565">
        <w:rPr>
          <w:lang w:eastAsia="ca-ES"/>
        </w:rPr>
        <w:t xml:space="preserve">tercer grau </w:t>
      </w:r>
      <w:r>
        <w:rPr>
          <w:lang w:eastAsia="ca-ES"/>
        </w:rPr>
        <w:t>d’acord amb</w:t>
      </w:r>
      <w:r w:rsidRPr="00FF4565">
        <w:rPr>
          <w:lang w:eastAsia="ca-ES"/>
        </w:rPr>
        <w:t xml:space="preserve"> </w:t>
      </w:r>
      <w:r>
        <w:rPr>
          <w:lang w:eastAsia="ca-ES"/>
        </w:rPr>
        <w:t>I</w:t>
      </w:r>
      <w:r w:rsidRPr="00FF4565">
        <w:rPr>
          <w:lang w:eastAsia="ca-ES"/>
        </w:rPr>
        <w:t>‘article 82 del RP i I‘article 4.4 del Reglament d</w:t>
      </w:r>
      <w:r>
        <w:rPr>
          <w:lang w:eastAsia="ca-ES"/>
        </w:rPr>
        <w:t>'organització i funcionament del</w:t>
      </w:r>
      <w:r w:rsidRPr="00FF4565">
        <w:rPr>
          <w:lang w:eastAsia="ca-ES"/>
        </w:rPr>
        <w:t xml:space="preserve">s </w:t>
      </w:r>
      <w:r w:rsidRPr="00FF4565">
        <w:rPr>
          <w:color w:val="2B2E2C"/>
          <w:lang w:eastAsia="ca-ES"/>
        </w:rPr>
        <w:t xml:space="preserve">serveis </w:t>
      </w:r>
      <w:r w:rsidRPr="00FF4565">
        <w:rPr>
          <w:lang w:eastAsia="ca-ES"/>
        </w:rPr>
        <w:t>d'exec</w:t>
      </w:r>
      <w:r>
        <w:rPr>
          <w:lang w:eastAsia="ca-ES"/>
        </w:rPr>
        <w:t>ució penal a Catalunya, interns</w:t>
      </w:r>
      <w:r w:rsidRPr="00FF4565">
        <w:rPr>
          <w:lang w:eastAsia="ca-ES"/>
        </w:rPr>
        <w:t xml:space="preserve"> classificats </w:t>
      </w:r>
      <w:r w:rsidRPr="00FF4565">
        <w:rPr>
          <w:color w:val="2B2E2C"/>
          <w:lang w:eastAsia="ca-ES"/>
        </w:rPr>
        <w:t xml:space="preserve">en segon </w:t>
      </w:r>
      <w:r w:rsidRPr="00FF4565">
        <w:rPr>
          <w:lang w:eastAsia="ca-ES"/>
        </w:rPr>
        <w:t>grau de tractament que</w:t>
      </w:r>
      <w:r>
        <w:rPr>
          <w:lang w:eastAsia="ca-ES"/>
        </w:rPr>
        <w:t>,</w:t>
      </w:r>
      <w:r w:rsidRPr="00FF4565">
        <w:rPr>
          <w:lang w:eastAsia="ca-ES"/>
        </w:rPr>
        <w:t xml:space="preserve"> per les </w:t>
      </w:r>
      <w:r w:rsidRPr="00FF4565">
        <w:rPr>
          <w:color w:val="2B2E2C"/>
          <w:lang w:eastAsia="ca-ES"/>
        </w:rPr>
        <w:t xml:space="preserve">seves circumstàncies </w:t>
      </w:r>
      <w:r>
        <w:rPr>
          <w:lang w:eastAsia="ca-ES"/>
        </w:rPr>
        <w:t>personals i penitencià</w:t>
      </w:r>
      <w:r w:rsidRPr="00FF4565">
        <w:rPr>
          <w:lang w:eastAsia="ca-ES"/>
        </w:rPr>
        <w:t xml:space="preserve">ries, </w:t>
      </w:r>
      <w:r w:rsidRPr="00FF4565">
        <w:rPr>
          <w:color w:val="2B2E2C"/>
          <w:lang w:eastAsia="ca-ES"/>
        </w:rPr>
        <w:t xml:space="preserve">estiguin </w:t>
      </w:r>
      <w:r w:rsidRPr="00FF4565">
        <w:rPr>
          <w:lang w:eastAsia="ca-ES"/>
        </w:rPr>
        <w:t>capacitats</w:t>
      </w:r>
      <w:r>
        <w:rPr>
          <w:lang w:eastAsia="ca-ES"/>
        </w:rPr>
        <w:t xml:space="preserve"> </w:t>
      </w:r>
      <w:r w:rsidRPr="00FF4565">
        <w:rPr>
          <w:lang w:eastAsia="ca-ES"/>
        </w:rPr>
        <w:t xml:space="preserve">per complir sense riscos la seva condemna </w:t>
      </w:r>
      <w:r w:rsidRPr="00FF4565">
        <w:rPr>
          <w:color w:val="2B2E2C"/>
          <w:lang w:eastAsia="ca-ES"/>
        </w:rPr>
        <w:t xml:space="preserve">en </w:t>
      </w:r>
      <w:r>
        <w:rPr>
          <w:lang w:eastAsia="ca-ES"/>
        </w:rPr>
        <w:t>un rè</w:t>
      </w:r>
      <w:r w:rsidRPr="00FF4565">
        <w:rPr>
          <w:lang w:eastAsia="ca-ES"/>
        </w:rPr>
        <w:t xml:space="preserve">gim de vida de </w:t>
      </w:r>
      <w:r>
        <w:rPr>
          <w:color w:val="2B2E2C"/>
          <w:lang w:eastAsia="ca-ES"/>
        </w:rPr>
        <w:t>semi</w:t>
      </w:r>
      <w:r w:rsidRPr="00FF4565">
        <w:rPr>
          <w:color w:val="2B2E2C"/>
          <w:lang w:eastAsia="ca-ES"/>
        </w:rPr>
        <w:t xml:space="preserve">llibertat, en </w:t>
      </w:r>
      <w:r w:rsidRPr="00FF4565">
        <w:rPr>
          <w:lang w:eastAsia="ca-ES"/>
        </w:rPr>
        <w:t>aplicació de I‘article 100</w:t>
      </w:r>
      <w:r w:rsidRPr="00FF4565">
        <w:rPr>
          <w:color w:val="454543"/>
          <w:lang w:eastAsia="ca-ES"/>
        </w:rPr>
        <w:t>.</w:t>
      </w:r>
      <w:r w:rsidRPr="00FF4565">
        <w:rPr>
          <w:color w:val="2B2E2C"/>
          <w:lang w:eastAsia="ca-ES"/>
        </w:rPr>
        <w:t xml:space="preserve">2 </w:t>
      </w:r>
      <w:r>
        <w:rPr>
          <w:lang w:eastAsia="ca-ES"/>
        </w:rPr>
        <w:t>del RP</w:t>
      </w:r>
      <w:r w:rsidRPr="00FF4565">
        <w:rPr>
          <w:lang w:eastAsia="ca-ES"/>
        </w:rPr>
        <w:t xml:space="preserve"> </w:t>
      </w:r>
      <w:r>
        <w:rPr>
          <w:lang w:eastAsia="ca-ES"/>
        </w:rPr>
        <w:t>(</w:t>
      </w:r>
      <w:r w:rsidRPr="00FF4565">
        <w:rPr>
          <w:lang w:eastAsia="ca-ES"/>
        </w:rPr>
        <w:t>surten de dilluns a divendres amb un horari restringit</w:t>
      </w:r>
      <w:r>
        <w:rPr>
          <w:lang w:eastAsia="ca-ES"/>
        </w:rPr>
        <w:t>, només</w:t>
      </w:r>
      <w:r w:rsidRPr="00FF4565">
        <w:rPr>
          <w:lang w:eastAsia="ca-ES"/>
        </w:rPr>
        <w:t xml:space="preserve"> per desenvolupar</w:t>
      </w:r>
      <w:r>
        <w:rPr>
          <w:lang w:eastAsia="ca-ES"/>
        </w:rPr>
        <w:t xml:space="preserve"> </w:t>
      </w:r>
      <w:r w:rsidRPr="00FF4565">
        <w:rPr>
          <w:lang w:eastAsia="ca-ES"/>
        </w:rPr>
        <w:t>les activitats programades</w:t>
      </w:r>
      <w:r>
        <w:rPr>
          <w:lang w:eastAsia="ca-ES"/>
        </w:rPr>
        <w:t>, i reingressen</w:t>
      </w:r>
      <w:r w:rsidRPr="00FF4565">
        <w:rPr>
          <w:lang w:eastAsia="ca-ES"/>
        </w:rPr>
        <w:t xml:space="preserve"> immediatament </w:t>
      </w:r>
      <w:r>
        <w:rPr>
          <w:color w:val="2B2E2C"/>
          <w:lang w:eastAsia="ca-ES"/>
        </w:rPr>
        <w:t>al C</w:t>
      </w:r>
      <w:r w:rsidRPr="00FF4565">
        <w:rPr>
          <w:color w:val="2B2E2C"/>
          <w:lang w:eastAsia="ca-ES"/>
        </w:rPr>
        <w:t xml:space="preserve">entre </w:t>
      </w:r>
      <w:r w:rsidRPr="00FF4565">
        <w:rPr>
          <w:lang w:eastAsia="ca-ES"/>
        </w:rPr>
        <w:t>sense tenir més nivell d'autonomia personal</w:t>
      </w:r>
      <w:r>
        <w:rPr>
          <w:lang w:eastAsia="ca-ES"/>
        </w:rPr>
        <w:t>, on</w:t>
      </w:r>
      <w:r w:rsidRPr="00FF4565">
        <w:rPr>
          <w:lang w:eastAsia="ca-ES"/>
        </w:rPr>
        <w:t xml:space="preserve"> </w:t>
      </w:r>
      <w:r>
        <w:rPr>
          <w:lang w:eastAsia="ca-ES"/>
        </w:rPr>
        <w:t>romanen</w:t>
      </w:r>
      <w:r w:rsidRPr="00FF4565">
        <w:rPr>
          <w:lang w:eastAsia="ca-ES"/>
        </w:rPr>
        <w:t xml:space="preserve"> ininterrompudament </w:t>
      </w:r>
      <w:r w:rsidRPr="00FF4565">
        <w:rPr>
          <w:color w:val="2B2E2C"/>
          <w:lang w:eastAsia="ca-ES"/>
        </w:rPr>
        <w:t xml:space="preserve">en </w:t>
      </w:r>
      <w:r w:rsidRPr="00FF4565">
        <w:rPr>
          <w:lang w:eastAsia="ca-ES"/>
        </w:rPr>
        <w:t xml:space="preserve">horaris de </w:t>
      </w:r>
      <w:r w:rsidRPr="00FF4565">
        <w:rPr>
          <w:color w:val="2B2E2C"/>
          <w:lang w:eastAsia="ca-ES"/>
        </w:rPr>
        <w:t xml:space="preserve">cap </w:t>
      </w:r>
      <w:r w:rsidRPr="00FF4565">
        <w:rPr>
          <w:lang w:eastAsia="ca-ES"/>
        </w:rPr>
        <w:t xml:space="preserve">de </w:t>
      </w:r>
      <w:r w:rsidRPr="00FF4565">
        <w:rPr>
          <w:color w:val="2B2E2C"/>
          <w:lang w:eastAsia="ca-ES"/>
        </w:rPr>
        <w:t>setmana</w:t>
      </w:r>
      <w:r>
        <w:rPr>
          <w:color w:val="2B2E2C"/>
          <w:lang w:eastAsia="ca-ES"/>
        </w:rPr>
        <w:t>)</w:t>
      </w:r>
      <w:r w:rsidRPr="00FF4565">
        <w:rPr>
          <w:color w:val="2B2E2C"/>
          <w:lang w:eastAsia="ca-ES"/>
        </w:rPr>
        <w:t>.</w:t>
      </w:r>
    </w:p>
    <w:p w:rsidR="005729F5" w:rsidRPr="00FF4565" w:rsidRDefault="005729F5" w:rsidP="006D0874">
      <w:pPr>
        <w:rPr>
          <w:lang w:eastAsia="ca-ES"/>
        </w:rPr>
      </w:pPr>
      <w:r w:rsidRPr="00FF4565">
        <w:rPr>
          <w:lang w:eastAsia="ca-ES"/>
        </w:rPr>
        <w:t xml:space="preserve">L'activitat </w:t>
      </w:r>
      <w:r>
        <w:rPr>
          <w:color w:val="2B2E2C"/>
          <w:lang w:eastAsia="ca-ES"/>
        </w:rPr>
        <w:t>penitenciària</w:t>
      </w:r>
      <w:r w:rsidRPr="00FF4565">
        <w:rPr>
          <w:color w:val="2B2E2C"/>
          <w:lang w:eastAsia="ca-ES"/>
        </w:rPr>
        <w:t xml:space="preserve"> en </w:t>
      </w:r>
      <w:r w:rsidRPr="00FF4565">
        <w:rPr>
          <w:lang w:eastAsia="ca-ES"/>
        </w:rPr>
        <w:t xml:space="preserve">règim obert té per objecte potenciar les capacitats d'inserció social positiva i </w:t>
      </w:r>
      <w:r w:rsidRPr="00FF4565">
        <w:rPr>
          <w:color w:val="2B2E2C"/>
          <w:lang w:eastAsia="ca-ES"/>
        </w:rPr>
        <w:t xml:space="preserve">es </w:t>
      </w:r>
      <w:r>
        <w:rPr>
          <w:lang w:eastAsia="ca-ES"/>
        </w:rPr>
        <w:t>regeix</w:t>
      </w:r>
      <w:r w:rsidRPr="00FF4565">
        <w:rPr>
          <w:lang w:eastAsia="ca-ES"/>
        </w:rPr>
        <w:t xml:space="preserve"> pels principis</w:t>
      </w:r>
      <w:r>
        <w:rPr>
          <w:lang w:eastAsia="ca-ES"/>
        </w:rPr>
        <w:t xml:space="preserve"> </w:t>
      </w:r>
      <w:r w:rsidRPr="00FF4565">
        <w:rPr>
          <w:lang w:eastAsia="ca-ES"/>
        </w:rPr>
        <w:t>següents:</w:t>
      </w:r>
    </w:p>
    <w:p w:rsidR="005729F5" w:rsidRPr="00FF4565" w:rsidRDefault="005729F5" w:rsidP="00055E6C">
      <w:pPr>
        <w:pStyle w:val="Pargrafdellista"/>
        <w:numPr>
          <w:ilvl w:val="1"/>
          <w:numId w:val="31"/>
        </w:numPr>
        <w:rPr>
          <w:color w:val="2B2E2C"/>
          <w:lang w:eastAsia="ca-ES"/>
        </w:rPr>
      </w:pPr>
      <w:r w:rsidRPr="00FF4565">
        <w:rPr>
          <w:lang w:eastAsia="ca-ES"/>
        </w:rPr>
        <w:t xml:space="preserve">Atenuació de les mesures de </w:t>
      </w:r>
      <w:r w:rsidRPr="00FF4565">
        <w:rPr>
          <w:color w:val="2B2E2C"/>
          <w:lang w:eastAsia="ca-ES"/>
        </w:rPr>
        <w:t>control</w:t>
      </w:r>
    </w:p>
    <w:p w:rsidR="005729F5" w:rsidRPr="00FF4565" w:rsidRDefault="005729F5" w:rsidP="00055E6C">
      <w:pPr>
        <w:pStyle w:val="Pargrafdellista"/>
        <w:numPr>
          <w:ilvl w:val="1"/>
          <w:numId w:val="31"/>
        </w:numPr>
        <w:rPr>
          <w:lang w:eastAsia="ca-ES"/>
        </w:rPr>
      </w:pPr>
      <w:r w:rsidRPr="00FF4565">
        <w:rPr>
          <w:lang w:eastAsia="ca-ES"/>
        </w:rPr>
        <w:t>Autor</w:t>
      </w:r>
      <w:r>
        <w:rPr>
          <w:lang w:eastAsia="ca-ES"/>
        </w:rPr>
        <w:t>esponsabilitat</w:t>
      </w:r>
    </w:p>
    <w:p w:rsidR="005729F5" w:rsidRPr="00FF4565" w:rsidRDefault="005729F5" w:rsidP="00055E6C">
      <w:pPr>
        <w:pStyle w:val="Pargrafdellista"/>
        <w:numPr>
          <w:ilvl w:val="1"/>
          <w:numId w:val="31"/>
        </w:numPr>
        <w:rPr>
          <w:lang w:eastAsia="ca-ES"/>
        </w:rPr>
      </w:pPr>
      <w:r w:rsidRPr="00FF4565">
        <w:rPr>
          <w:lang w:eastAsia="ca-ES"/>
        </w:rPr>
        <w:t>Normalització social</w:t>
      </w:r>
    </w:p>
    <w:p w:rsidR="005729F5" w:rsidRPr="00FF4565" w:rsidRDefault="005729F5" w:rsidP="00055E6C">
      <w:pPr>
        <w:pStyle w:val="Pargrafdellista"/>
        <w:numPr>
          <w:ilvl w:val="1"/>
          <w:numId w:val="31"/>
        </w:numPr>
        <w:rPr>
          <w:color w:val="2B2E2C"/>
          <w:lang w:eastAsia="ca-ES"/>
        </w:rPr>
      </w:pPr>
      <w:r w:rsidRPr="00FF4565">
        <w:rPr>
          <w:lang w:eastAsia="ca-ES"/>
        </w:rPr>
        <w:t xml:space="preserve">Prevenció de la desestructuració familiar i </w:t>
      </w:r>
      <w:r w:rsidRPr="00FF4565">
        <w:rPr>
          <w:color w:val="2B2E2C"/>
          <w:lang w:eastAsia="ca-ES"/>
        </w:rPr>
        <w:t>social</w:t>
      </w:r>
    </w:p>
    <w:p w:rsidR="005729F5" w:rsidRPr="00FF4565" w:rsidRDefault="005729F5" w:rsidP="00055E6C">
      <w:pPr>
        <w:pStyle w:val="Pargrafdellista"/>
        <w:numPr>
          <w:ilvl w:val="1"/>
          <w:numId w:val="31"/>
        </w:numPr>
        <w:rPr>
          <w:lang w:eastAsia="ca-ES"/>
        </w:rPr>
      </w:pPr>
      <w:r w:rsidRPr="00FF4565">
        <w:rPr>
          <w:lang w:eastAsia="ca-ES"/>
        </w:rPr>
        <w:t xml:space="preserve">Coordinació amb </w:t>
      </w:r>
      <w:r w:rsidRPr="00FF4565">
        <w:rPr>
          <w:color w:val="2B2E2C"/>
          <w:lang w:eastAsia="ca-ES"/>
        </w:rPr>
        <w:t xml:space="preserve">els </w:t>
      </w:r>
      <w:r w:rsidRPr="00FF4565">
        <w:rPr>
          <w:lang w:eastAsia="ca-ES"/>
        </w:rPr>
        <w:t>organismes públics i privats</w:t>
      </w:r>
    </w:p>
    <w:p w:rsidR="005729F5" w:rsidRPr="00FF4565" w:rsidRDefault="005729F5" w:rsidP="006D0874">
      <w:pPr>
        <w:rPr>
          <w:color w:val="111211"/>
          <w:lang w:eastAsia="ca-ES"/>
        </w:rPr>
      </w:pPr>
      <w:r w:rsidRPr="00FF4565">
        <w:rPr>
          <w:color w:val="111211"/>
          <w:lang w:eastAsia="ca-ES"/>
        </w:rPr>
        <w:t xml:space="preserve">Han de </w:t>
      </w:r>
      <w:r w:rsidRPr="00FF4565">
        <w:rPr>
          <w:color w:val="232524"/>
          <w:lang w:eastAsia="ca-ES"/>
        </w:rPr>
        <w:t xml:space="preserve">ser centres </w:t>
      </w:r>
      <w:r w:rsidRPr="00FF4565">
        <w:rPr>
          <w:color w:val="111211"/>
          <w:lang w:eastAsia="ca-ES"/>
        </w:rPr>
        <w:t xml:space="preserve">dinàmics, fet que propicia un </w:t>
      </w:r>
      <w:r w:rsidRPr="00FF4565">
        <w:rPr>
          <w:color w:val="232524"/>
          <w:lang w:eastAsia="ca-ES"/>
        </w:rPr>
        <w:t xml:space="preserve">alt </w:t>
      </w:r>
      <w:r w:rsidRPr="00FF4565">
        <w:rPr>
          <w:color w:val="111211"/>
          <w:lang w:eastAsia="ca-ES"/>
        </w:rPr>
        <w:t xml:space="preserve">nivell de mobilitat, tant pel que fa </w:t>
      </w:r>
      <w:r w:rsidRPr="00FF4565">
        <w:rPr>
          <w:color w:val="232524"/>
          <w:lang w:eastAsia="ca-ES"/>
        </w:rPr>
        <w:t xml:space="preserve">a </w:t>
      </w:r>
      <w:r w:rsidRPr="00FF4565">
        <w:rPr>
          <w:color w:val="111211"/>
          <w:lang w:eastAsia="ca-ES"/>
        </w:rPr>
        <w:t xml:space="preserve">les </w:t>
      </w:r>
      <w:r w:rsidRPr="00FF4565">
        <w:rPr>
          <w:color w:val="232524"/>
          <w:lang w:eastAsia="ca-ES"/>
        </w:rPr>
        <w:t xml:space="preserve">entrades </w:t>
      </w:r>
      <w:r>
        <w:rPr>
          <w:color w:val="111211"/>
          <w:lang w:eastAsia="ca-ES"/>
        </w:rPr>
        <w:t>com a les</w:t>
      </w:r>
      <w:r w:rsidRPr="00FF4565">
        <w:rPr>
          <w:color w:val="111211"/>
          <w:lang w:eastAsia="ca-ES"/>
        </w:rPr>
        <w:t xml:space="preserve"> </w:t>
      </w:r>
      <w:r w:rsidRPr="00FF4565">
        <w:rPr>
          <w:color w:val="232524"/>
          <w:lang w:eastAsia="ca-ES"/>
        </w:rPr>
        <w:t>sortides</w:t>
      </w:r>
      <w:r>
        <w:rPr>
          <w:color w:val="232524"/>
          <w:lang w:eastAsia="ca-ES"/>
        </w:rPr>
        <w:t>,</w:t>
      </w:r>
      <w:r w:rsidRPr="00FF4565">
        <w:rPr>
          <w:color w:val="232524"/>
          <w:lang w:eastAsia="ca-ES"/>
        </w:rPr>
        <w:t xml:space="preserve"> </w:t>
      </w:r>
      <w:r>
        <w:rPr>
          <w:color w:val="111211"/>
          <w:lang w:eastAsia="ca-ES"/>
        </w:rPr>
        <w:t>que</w:t>
      </w:r>
      <w:r w:rsidRPr="00FF4565">
        <w:rPr>
          <w:color w:val="111211"/>
          <w:lang w:eastAsia="ca-ES"/>
        </w:rPr>
        <w:t xml:space="preserve"> habitualment </w:t>
      </w:r>
      <w:r w:rsidRPr="00FF4565">
        <w:rPr>
          <w:color w:val="232524"/>
          <w:lang w:eastAsia="ca-ES"/>
        </w:rPr>
        <w:t xml:space="preserve">es concentren en </w:t>
      </w:r>
      <w:r w:rsidRPr="00FF4565">
        <w:rPr>
          <w:color w:val="111211"/>
          <w:lang w:eastAsia="ca-ES"/>
        </w:rPr>
        <w:t xml:space="preserve">les franges horàries </w:t>
      </w:r>
      <w:r>
        <w:rPr>
          <w:color w:val="111211"/>
          <w:lang w:eastAsia="ca-ES"/>
        </w:rPr>
        <w:t xml:space="preserve">de 6 a 9 h </w:t>
      </w:r>
      <w:r w:rsidRPr="00FF4565">
        <w:rPr>
          <w:color w:val="232524"/>
          <w:lang w:eastAsia="ca-ES"/>
        </w:rPr>
        <w:t xml:space="preserve">del </w:t>
      </w:r>
      <w:r w:rsidRPr="00FF4565">
        <w:rPr>
          <w:color w:val="111211"/>
          <w:lang w:eastAsia="ca-ES"/>
        </w:rPr>
        <w:t xml:space="preserve">mati i </w:t>
      </w:r>
      <w:r>
        <w:rPr>
          <w:color w:val="111211"/>
          <w:lang w:eastAsia="ca-ES"/>
        </w:rPr>
        <w:t xml:space="preserve">de 21 a 24 h </w:t>
      </w:r>
      <w:r w:rsidRPr="00FF4565">
        <w:rPr>
          <w:color w:val="111211"/>
          <w:lang w:eastAsia="ca-ES"/>
        </w:rPr>
        <w:t xml:space="preserve">de la </w:t>
      </w:r>
      <w:r>
        <w:rPr>
          <w:color w:val="111211"/>
          <w:lang w:eastAsia="ca-ES"/>
        </w:rPr>
        <w:t>nit,</w:t>
      </w:r>
      <w:r w:rsidRPr="00FF4565">
        <w:rPr>
          <w:color w:val="232524"/>
          <w:lang w:eastAsia="ca-ES"/>
        </w:rPr>
        <w:t xml:space="preserve"> </w:t>
      </w:r>
      <w:r w:rsidRPr="00FF4565">
        <w:rPr>
          <w:color w:val="111211"/>
          <w:lang w:eastAsia="ca-ES"/>
        </w:rPr>
        <w:t xml:space="preserve">de dilluns </w:t>
      </w:r>
      <w:r w:rsidRPr="00FF4565">
        <w:rPr>
          <w:color w:val="232524"/>
          <w:lang w:eastAsia="ca-ES"/>
        </w:rPr>
        <w:t xml:space="preserve">a </w:t>
      </w:r>
      <w:r w:rsidRPr="00FF4565">
        <w:rPr>
          <w:color w:val="111211"/>
          <w:lang w:eastAsia="ca-ES"/>
        </w:rPr>
        <w:t>divendres, respectivament.</w:t>
      </w:r>
    </w:p>
    <w:p w:rsidR="005729F5" w:rsidRPr="00FF4565" w:rsidRDefault="005729F5" w:rsidP="006D0874">
      <w:pPr>
        <w:rPr>
          <w:color w:val="232524"/>
          <w:lang w:eastAsia="ca-ES"/>
        </w:rPr>
      </w:pPr>
      <w:r w:rsidRPr="00FF4565">
        <w:rPr>
          <w:color w:val="232524"/>
          <w:lang w:eastAsia="ca-ES"/>
        </w:rPr>
        <w:lastRenderedPageBreak/>
        <w:t xml:space="preserve">Els caps </w:t>
      </w:r>
      <w:r w:rsidRPr="00FF4565">
        <w:rPr>
          <w:color w:val="111211"/>
          <w:lang w:eastAsia="ca-ES"/>
        </w:rPr>
        <w:t xml:space="preserve">de </w:t>
      </w:r>
      <w:r w:rsidRPr="00FF4565">
        <w:rPr>
          <w:color w:val="232524"/>
          <w:lang w:eastAsia="ca-ES"/>
        </w:rPr>
        <w:t xml:space="preserve">setmana </w:t>
      </w:r>
      <w:r>
        <w:rPr>
          <w:color w:val="232524"/>
          <w:lang w:eastAsia="ca-ES"/>
        </w:rPr>
        <w:t>la població interna</w:t>
      </w:r>
      <w:r w:rsidRPr="00FF4565">
        <w:rPr>
          <w:color w:val="111211"/>
          <w:lang w:eastAsia="ca-ES"/>
        </w:rPr>
        <w:t xml:space="preserve"> no </w:t>
      </w:r>
      <w:r w:rsidRPr="00FF4565">
        <w:rPr>
          <w:color w:val="232524"/>
          <w:lang w:eastAsia="ca-ES"/>
        </w:rPr>
        <w:t>pernoct</w:t>
      </w:r>
      <w:r>
        <w:rPr>
          <w:color w:val="232524"/>
          <w:lang w:eastAsia="ca-ES"/>
        </w:rPr>
        <w:t>a en el C</w:t>
      </w:r>
      <w:r w:rsidRPr="00FF4565">
        <w:rPr>
          <w:color w:val="232524"/>
          <w:lang w:eastAsia="ca-ES"/>
        </w:rPr>
        <w:t xml:space="preserve">entre, a excepció </w:t>
      </w:r>
      <w:r>
        <w:rPr>
          <w:color w:val="232524"/>
          <w:lang w:eastAsia="ca-ES"/>
        </w:rPr>
        <w:t>de la</w:t>
      </w:r>
      <w:r w:rsidRPr="00FF4565">
        <w:rPr>
          <w:color w:val="111211"/>
          <w:lang w:eastAsia="ca-ES"/>
        </w:rPr>
        <w:t xml:space="preserve"> que </w:t>
      </w:r>
      <w:r w:rsidRPr="00FF4565">
        <w:rPr>
          <w:color w:val="232524"/>
          <w:lang w:eastAsia="ca-ES"/>
        </w:rPr>
        <w:t xml:space="preserve">es </w:t>
      </w:r>
      <w:r w:rsidRPr="00FF4565">
        <w:rPr>
          <w:color w:val="111211"/>
          <w:lang w:eastAsia="ca-ES"/>
        </w:rPr>
        <w:t>trob</w:t>
      </w:r>
      <w:r>
        <w:rPr>
          <w:color w:val="111211"/>
          <w:lang w:eastAsia="ca-ES"/>
        </w:rPr>
        <w:t>a</w:t>
      </w:r>
      <w:r w:rsidRPr="00FF4565">
        <w:rPr>
          <w:color w:val="111211"/>
          <w:lang w:eastAsia="ca-ES"/>
        </w:rPr>
        <w:t xml:space="preserve"> </w:t>
      </w:r>
      <w:r w:rsidRPr="00FF4565">
        <w:rPr>
          <w:color w:val="232524"/>
          <w:lang w:eastAsia="ca-ES"/>
        </w:rPr>
        <w:t xml:space="preserve">en </w:t>
      </w:r>
      <w:r w:rsidRPr="00FF4565">
        <w:rPr>
          <w:color w:val="111211"/>
          <w:lang w:eastAsia="ca-ES"/>
        </w:rPr>
        <w:t xml:space="preserve">nivell O del </w:t>
      </w:r>
      <w:r w:rsidRPr="00FF4565">
        <w:rPr>
          <w:color w:val="232524"/>
          <w:lang w:eastAsia="ca-ES"/>
        </w:rPr>
        <w:t xml:space="preserve">SAM o </w:t>
      </w:r>
      <w:r>
        <w:rPr>
          <w:color w:val="232524"/>
          <w:lang w:eastAsia="ca-ES"/>
        </w:rPr>
        <w:t xml:space="preserve">la </w:t>
      </w:r>
      <w:r w:rsidRPr="00FF4565">
        <w:rPr>
          <w:color w:val="111211"/>
          <w:lang w:eastAsia="ca-ES"/>
        </w:rPr>
        <w:t xml:space="preserve">que </w:t>
      </w:r>
      <w:r>
        <w:rPr>
          <w:color w:val="111211"/>
          <w:lang w:eastAsia="ca-ES"/>
        </w:rPr>
        <w:t>té aplicada</w:t>
      </w:r>
      <w:r w:rsidRPr="00FF4565">
        <w:rPr>
          <w:color w:val="232524"/>
          <w:lang w:eastAsia="ca-ES"/>
        </w:rPr>
        <w:t xml:space="preserve"> </w:t>
      </w:r>
      <w:r w:rsidRPr="00FF4565">
        <w:rPr>
          <w:color w:val="111211"/>
          <w:lang w:eastAsia="ca-ES"/>
        </w:rPr>
        <w:t xml:space="preserve">alguna </w:t>
      </w:r>
      <w:r w:rsidRPr="00FF4565">
        <w:rPr>
          <w:color w:val="232524"/>
          <w:lang w:eastAsia="ca-ES"/>
        </w:rPr>
        <w:t xml:space="preserve">contingència </w:t>
      </w:r>
      <w:r w:rsidRPr="00FF4565">
        <w:rPr>
          <w:color w:val="111211"/>
          <w:lang w:eastAsia="ca-ES"/>
        </w:rPr>
        <w:t xml:space="preserve">de restricció del </w:t>
      </w:r>
      <w:r w:rsidRPr="00FF4565">
        <w:rPr>
          <w:color w:val="232524"/>
          <w:lang w:eastAsia="ca-ES"/>
        </w:rPr>
        <w:t xml:space="preserve">cap </w:t>
      </w:r>
      <w:r w:rsidRPr="00FF4565">
        <w:rPr>
          <w:color w:val="111211"/>
          <w:lang w:eastAsia="ca-ES"/>
        </w:rPr>
        <w:t xml:space="preserve">de </w:t>
      </w:r>
      <w:r w:rsidRPr="00FF4565">
        <w:rPr>
          <w:color w:val="232524"/>
          <w:lang w:eastAsia="ca-ES"/>
        </w:rPr>
        <w:t xml:space="preserve">setmana </w:t>
      </w:r>
      <w:r w:rsidRPr="00FF4565">
        <w:rPr>
          <w:color w:val="111211"/>
          <w:lang w:eastAsia="ca-ES"/>
        </w:rPr>
        <w:t xml:space="preserve">per </w:t>
      </w:r>
      <w:r w:rsidRPr="00FF4565">
        <w:rPr>
          <w:color w:val="232524"/>
          <w:lang w:eastAsia="ca-ES"/>
        </w:rPr>
        <w:t xml:space="preserve">evolució </w:t>
      </w:r>
      <w:r w:rsidRPr="00FF4565">
        <w:rPr>
          <w:color w:val="111211"/>
          <w:lang w:eastAsia="ca-ES"/>
        </w:rPr>
        <w:t xml:space="preserve">conductual negativa. Això afecta un volum molt baix del </w:t>
      </w:r>
      <w:r>
        <w:rPr>
          <w:color w:val="111211"/>
          <w:lang w:eastAsia="ca-ES"/>
        </w:rPr>
        <w:t>total</w:t>
      </w:r>
      <w:r w:rsidRPr="00FF4565">
        <w:rPr>
          <w:color w:val="111211"/>
          <w:lang w:eastAsia="ca-ES"/>
        </w:rPr>
        <w:t xml:space="preserve"> d'interns </w:t>
      </w:r>
      <w:r>
        <w:rPr>
          <w:color w:val="232524"/>
          <w:lang w:eastAsia="ca-ES"/>
        </w:rPr>
        <w:t>del C</w:t>
      </w:r>
      <w:r w:rsidRPr="00FF4565">
        <w:rPr>
          <w:color w:val="232524"/>
          <w:lang w:eastAsia="ca-ES"/>
        </w:rPr>
        <w:t>entre.</w:t>
      </w:r>
    </w:p>
    <w:p w:rsidR="005729F5" w:rsidRPr="005C3B58" w:rsidRDefault="005729F5" w:rsidP="006D0874">
      <w:pPr>
        <w:rPr>
          <w:color w:val="111211"/>
          <w:spacing w:val="2"/>
          <w:lang w:eastAsia="ca-ES"/>
        </w:rPr>
      </w:pPr>
      <w:r w:rsidRPr="005C3B58">
        <w:rPr>
          <w:color w:val="232524"/>
          <w:spacing w:val="2"/>
          <w:lang w:eastAsia="ca-ES"/>
        </w:rPr>
        <w:t xml:space="preserve">El Centre Obert </w:t>
      </w:r>
      <w:r w:rsidRPr="005C3B58">
        <w:rPr>
          <w:color w:val="111211"/>
          <w:spacing w:val="2"/>
          <w:lang w:eastAsia="ca-ES"/>
        </w:rPr>
        <w:t xml:space="preserve">disposa de menjador per a la població interna que hi fa </w:t>
      </w:r>
      <w:r w:rsidRPr="005C3B58">
        <w:rPr>
          <w:color w:val="232524"/>
          <w:spacing w:val="2"/>
          <w:lang w:eastAsia="ca-ES"/>
        </w:rPr>
        <w:t xml:space="preserve">els àpats. Sobre el nombre total d’interns, els percentatges generalment no superen el 10-15 % per dinar, el 40-50 % per sopar </w:t>
      </w:r>
      <w:r w:rsidRPr="005C3B58">
        <w:rPr>
          <w:color w:val="111211"/>
          <w:spacing w:val="2"/>
          <w:lang w:eastAsia="ca-ES"/>
        </w:rPr>
        <w:t xml:space="preserve">i el </w:t>
      </w:r>
      <w:r w:rsidRPr="005C3B58">
        <w:rPr>
          <w:color w:val="232524"/>
          <w:spacing w:val="2"/>
          <w:lang w:eastAsia="ca-ES"/>
        </w:rPr>
        <w:t xml:space="preserve">80 % </w:t>
      </w:r>
      <w:r w:rsidRPr="005C3B58">
        <w:rPr>
          <w:color w:val="111211"/>
          <w:spacing w:val="2"/>
          <w:lang w:eastAsia="ca-ES"/>
        </w:rPr>
        <w:t xml:space="preserve">per esmorzar. Per tant, la presència </w:t>
      </w:r>
      <w:r>
        <w:rPr>
          <w:color w:val="111211"/>
          <w:spacing w:val="2"/>
          <w:lang w:eastAsia="ca-ES"/>
        </w:rPr>
        <w:t>majoritària</w:t>
      </w:r>
      <w:r w:rsidRPr="005C3B58">
        <w:rPr>
          <w:color w:val="111211"/>
          <w:spacing w:val="2"/>
          <w:lang w:eastAsia="ca-ES"/>
        </w:rPr>
        <w:t xml:space="preserve"> d’interns es concentra</w:t>
      </w:r>
      <w:r w:rsidRPr="005C3B58">
        <w:rPr>
          <w:color w:val="232524"/>
          <w:spacing w:val="2"/>
          <w:lang w:eastAsia="ca-ES"/>
        </w:rPr>
        <w:t xml:space="preserve"> entre </w:t>
      </w:r>
      <w:r w:rsidRPr="005C3B58">
        <w:rPr>
          <w:color w:val="111211"/>
          <w:spacing w:val="2"/>
          <w:lang w:eastAsia="ca-ES"/>
        </w:rPr>
        <w:t>les 19 i les 9 h.</w:t>
      </w:r>
    </w:p>
    <w:p w:rsidR="005729F5" w:rsidRPr="00FF4565" w:rsidRDefault="005729F5" w:rsidP="006D0874">
      <w:pPr>
        <w:rPr>
          <w:color w:val="232524"/>
          <w:lang w:eastAsia="ca-ES"/>
        </w:rPr>
      </w:pPr>
      <w:r w:rsidRPr="00FF4565">
        <w:rPr>
          <w:color w:val="111211"/>
          <w:lang w:eastAsia="ca-ES"/>
        </w:rPr>
        <w:t xml:space="preserve">Per tal de dotar </w:t>
      </w:r>
      <w:r>
        <w:rPr>
          <w:color w:val="111211"/>
          <w:lang w:eastAsia="ca-ES"/>
        </w:rPr>
        <w:t>e</w:t>
      </w:r>
      <w:r w:rsidRPr="00FF4565">
        <w:rPr>
          <w:color w:val="232524"/>
          <w:lang w:eastAsia="ca-ES"/>
        </w:rPr>
        <w:t xml:space="preserve">ls equips </w:t>
      </w:r>
      <w:r w:rsidRPr="00FF4565">
        <w:rPr>
          <w:color w:val="111211"/>
          <w:lang w:eastAsia="ca-ES"/>
        </w:rPr>
        <w:t xml:space="preserve">de tractament d'una </w:t>
      </w:r>
      <w:r w:rsidRPr="00FF4565">
        <w:rPr>
          <w:color w:val="232524"/>
          <w:lang w:eastAsia="ca-ES"/>
        </w:rPr>
        <w:t xml:space="preserve">eina </w:t>
      </w:r>
      <w:r>
        <w:rPr>
          <w:color w:val="232524"/>
          <w:lang w:eastAsia="ca-ES"/>
        </w:rPr>
        <w:t>comuna</w:t>
      </w:r>
      <w:r w:rsidRPr="00FF4565">
        <w:rPr>
          <w:color w:val="232524"/>
          <w:lang w:eastAsia="ca-ES"/>
        </w:rPr>
        <w:t xml:space="preserve"> </w:t>
      </w:r>
      <w:r>
        <w:rPr>
          <w:color w:val="111211"/>
          <w:lang w:eastAsia="ca-ES"/>
        </w:rPr>
        <w:t>d'avaluació del</w:t>
      </w:r>
      <w:r w:rsidRPr="00FF4565">
        <w:rPr>
          <w:color w:val="111211"/>
          <w:lang w:eastAsia="ca-ES"/>
        </w:rPr>
        <w:t xml:space="preserve">s interns i reforçar la participació d'aquests </w:t>
      </w:r>
      <w:r w:rsidRPr="00FF4565">
        <w:rPr>
          <w:color w:val="232524"/>
          <w:lang w:eastAsia="ca-ES"/>
        </w:rPr>
        <w:t xml:space="preserve">en el seu </w:t>
      </w:r>
      <w:r w:rsidRPr="00FF4565">
        <w:rPr>
          <w:color w:val="111211"/>
          <w:lang w:eastAsia="ca-ES"/>
        </w:rPr>
        <w:t>programa de tractament</w:t>
      </w:r>
      <w:r>
        <w:rPr>
          <w:color w:val="111211"/>
          <w:lang w:eastAsia="ca-ES"/>
        </w:rPr>
        <w:t>,</w:t>
      </w:r>
      <w:r w:rsidRPr="00FF4565">
        <w:rPr>
          <w:color w:val="111211"/>
          <w:lang w:eastAsia="ca-ES"/>
        </w:rPr>
        <w:t xml:space="preserve"> </w:t>
      </w:r>
      <w:r w:rsidRPr="00FF4565">
        <w:rPr>
          <w:color w:val="232524"/>
          <w:lang w:eastAsia="ca-ES"/>
        </w:rPr>
        <w:t xml:space="preserve">es </w:t>
      </w:r>
      <w:r w:rsidRPr="00FF4565">
        <w:rPr>
          <w:color w:val="111211"/>
          <w:lang w:eastAsia="ca-ES"/>
        </w:rPr>
        <w:t xml:space="preserve">dissenya </w:t>
      </w:r>
      <w:r w:rsidRPr="00FF4565">
        <w:rPr>
          <w:color w:val="232524"/>
          <w:lang w:eastAsia="ca-ES"/>
        </w:rPr>
        <w:t xml:space="preserve">el </w:t>
      </w:r>
      <w:r w:rsidRPr="00FF4565">
        <w:rPr>
          <w:color w:val="111211"/>
          <w:lang w:eastAsia="ca-ES"/>
        </w:rPr>
        <w:t xml:space="preserve">programa </w:t>
      </w:r>
      <w:r w:rsidRPr="00FF4565">
        <w:rPr>
          <w:color w:val="232524"/>
          <w:lang w:eastAsia="ca-ES"/>
        </w:rPr>
        <w:t xml:space="preserve">SAM </w:t>
      </w:r>
      <w:r w:rsidRPr="00FF4565">
        <w:rPr>
          <w:color w:val="111211"/>
          <w:lang w:eastAsia="ca-ES"/>
        </w:rPr>
        <w:t>(sistema d'avaluació motivacional)</w:t>
      </w:r>
      <w:r>
        <w:rPr>
          <w:color w:val="111211"/>
          <w:lang w:eastAsia="ca-ES"/>
        </w:rPr>
        <w:t>,</w:t>
      </w:r>
      <w:r w:rsidRPr="00FF4565">
        <w:rPr>
          <w:color w:val="111211"/>
          <w:lang w:eastAsia="ca-ES"/>
        </w:rPr>
        <w:t xml:space="preserve"> que permet </w:t>
      </w:r>
      <w:r w:rsidRPr="00FF4565">
        <w:rPr>
          <w:color w:val="232524"/>
          <w:lang w:eastAsia="ca-ES"/>
        </w:rPr>
        <w:t xml:space="preserve">avaluar </w:t>
      </w:r>
      <w:r w:rsidRPr="00FF4565">
        <w:rPr>
          <w:color w:val="111211"/>
          <w:lang w:eastAsia="ca-ES"/>
        </w:rPr>
        <w:t xml:space="preserve">de manera </w:t>
      </w:r>
      <w:r w:rsidRPr="00FF4565">
        <w:rPr>
          <w:color w:val="232524"/>
          <w:lang w:eastAsia="ca-ES"/>
        </w:rPr>
        <w:t>continuada</w:t>
      </w:r>
      <w:r w:rsidRPr="00FF4565">
        <w:rPr>
          <w:color w:val="111211"/>
          <w:lang w:eastAsia="ca-ES"/>
        </w:rPr>
        <w:t xml:space="preserve"> </w:t>
      </w:r>
      <w:r>
        <w:rPr>
          <w:color w:val="111211"/>
          <w:lang w:eastAsia="ca-ES"/>
        </w:rPr>
        <w:t>l</w:t>
      </w:r>
      <w:r w:rsidRPr="00FF4565">
        <w:rPr>
          <w:color w:val="111211"/>
          <w:lang w:eastAsia="ca-ES"/>
        </w:rPr>
        <w:t xml:space="preserve">‘evolució </w:t>
      </w:r>
      <w:r w:rsidRPr="00FF4565">
        <w:rPr>
          <w:color w:val="232524"/>
          <w:lang w:eastAsia="ca-ES"/>
        </w:rPr>
        <w:t xml:space="preserve">en el seu </w:t>
      </w:r>
      <w:r>
        <w:rPr>
          <w:color w:val="111211"/>
          <w:lang w:eastAsia="ca-ES"/>
        </w:rPr>
        <w:t>tractament</w:t>
      </w:r>
      <w:r w:rsidRPr="00FF4565">
        <w:rPr>
          <w:color w:val="111211"/>
          <w:lang w:eastAsia="ca-ES"/>
        </w:rPr>
        <w:t xml:space="preserve"> </w:t>
      </w:r>
      <w:r>
        <w:rPr>
          <w:color w:val="232524"/>
          <w:lang w:eastAsia="ca-ES"/>
        </w:rPr>
        <w:t>amb l’</w:t>
      </w:r>
      <w:r w:rsidRPr="00FF4565">
        <w:rPr>
          <w:color w:val="232524"/>
          <w:lang w:eastAsia="ca-ES"/>
        </w:rPr>
        <w:t xml:space="preserve">objectiu </w:t>
      </w:r>
      <w:r>
        <w:rPr>
          <w:color w:val="111211"/>
          <w:lang w:eastAsia="ca-ES"/>
        </w:rPr>
        <w:t>d’</w:t>
      </w:r>
      <w:r>
        <w:rPr>
          <w:color w:val="232524"/>
          <w:lang w:eastAsia="ca-ES"/>
        </w:rPr>
        <w:t>assignar-Ios</w:t>
      </w:r>
      <w:r w:rsidRPr="00FF4565">
        <w:rPr>
          <w:color w:val="232524"/>
          <w:lang w:eastAsia="ca-ES"/>
        </w:rPr>
        <w:t xml:space="preserve"> </w:t>
      </w:r>
      <w:r w:rsidRPr="00FF4565">
        <w:rPr>
          <w:color w:val="111211"/>
          <w:lang w:eastAsia="ca-ES"/>
        </w:rPr>
        <w:t xml:space="preserve">uns beneficis </w:t>
      </w:r>
      <w:r w:rsidRPr="00FF4565">
        <w:rPr>
          <w:color w:val="232524"/>
          <w:lang w:eastAsia="ca-ES"/>
        </w:rPr>
        <w:t xml:space="preserve">concrets en </w:t>
      </w:r>
      <w:r w:rsidRPr="00FF4565">
        <w:rPr>
          <w:color w:val="111211"/>
          <w:lang w:eastAsia="ca-ES"/>
        </w:rPr>
        <w:t xml:space="preserve">funció de la </w:t>
      </w:r>
      <w:r>
        <w:rPr>
          <w:color w:val="232524"/>
          <w:lang w:eastAsia="ca-ES"/>
        </w:rPr>
        <w:t>seva evolució: depenent</w:t>
      </w:r>
      <w:r w:rsidRPr="00FF4565">
        <w:rPr>
          <w:color w:val="111211"/>
          <w:lang w:eastAsia="ca-ES"/>
        </w:rPr>
        <w:t xml:space="preserve"> del nivell </w:t>
      </w:r>
      <w:r w:rsidRPr="00FF4565">
        <w:rPr>
          <w:color w:val="232524"/>
          <w:lang w:eastAsia="ca-ES"/>
        </w:rPr>
        <w:t xml:space="preserve">obtingut, el grau </w:t>
      </w:r>
      <w:r w:rsidRPr="00FF4565">
        <w:rPr>
          <w:color w:val="111211"/>
          <w:lang w:eastAsia="ca-ES"/>
        </w:rPr>
        <w:t xml:space="preserve">d'autonomia </w:t>
      </w:r>
      <w:r>
        <w:rPr>
          <w:color w:val="232524"/>
          <w:lang w:eastAsia="ca-ES"/>
        </w:rPr>
        <w:t>serà</w:t>
      </w:r>
      <w:r w:rsidRPr="00FF4565">
        <w:rPr>
          <w:color w:val="232524"/>
          <w:lang w:eastAsia="ca-ES"/>
        </w:rPr>
        <w:t xml:space="preserve"> </w:t>
      </w:r>
      <w:r w:rsidRPr="00FF4565">
        <w:rPr>
          <w:color w:val="111211"/>
          <w:lang w:eastAsia="ca-ES"/>
        </w:rPr>
        <w:t xml:space="preserve">més gran, </w:t>
      </w:r>
      <w:r>
        <w:rPr>
          <w:color w:val="232524"/>
          <w:lang w:eastAsia="ca-ES"/>
        </w:rPr>
        <w:t>en</w:t>
      </w:r>
      <w:r w:rsidRPr="00FF4565">
        <w:rPr>
          <w:color w:val="232524"/>
          <w:lang w:eastAsia="ca-ES"/>
        </w:rPr>
        <w:t xml:space="preserve"> condicions </w:t>
      </w:r>
      <w:r w:rsidRPr="00FF4565">
        <w:rPr>
          <w:color w:val="111211"/>
          <w:lang w:eastAsia="ca-ES"/>
        </w:rPr>
        <w:t>de normalitat</w:t>
      </w:r>
      <w:r>
        <w:rPr>
          <w:color w:val="111211"/>
          <w:lang w:eastAsia="ca-ES"/>
        </w:rPr>
        <w:t>,</w:t>
      </w:r>
      <w:r w:rsidRPr="00FF4565">
        <w:rPr>
          <w:color w:val="111211"/>
          <w:lang w:eastAsia="ca-ES"/>
        </w:rPr>
        <w:t xml:space="preserve"> i </w:t>
      </w:r>
      <w:r>
        <w:rPr>
          <w:color w:val="232524"/>
          <w:lang w:eastAsia="ca-ES"/>
        </w:rPr>
        <w:t>depenent</w:t>
      </w:r>
      <w:r w:rsidRPr="00FF4565">
        <w:rPr>
          <w:color w:val="111211"/>
          <w:lang w:eastAsia="ca-ES"/>
        </w:rPr>
        <w:t xml:space="preserve"> del nivell obtingut, </w:t>
      </w:r>
      <w:r w:rsidRPr="00FF4565">
        <w:rPr>
          <w:color w:val="232524"/>
          <w:lang w:eastAsia="ca-ES"/>
        </w:rPr>
        <w:t xml:space="preserve">el </w:t>
      </w:r>
      <w:r w:rsidRPr="00FF4565">
        <w:rPr>
          <w:color w:val="111211"/>
          <w:lang w:eastAsia="ca-ES"/>
        </w:rPr>
        <w:t xml:space="preserve">temps de permanència </w:t>
      </w:r>
      <w:r>
        <w:rPr>
          <w:color w:val="232524"/>
          <w:lang w:eastAsia="ca-ES"/>
        </w:rPr>
        <w:t>en el</w:t>
      </w:r>
      <w:r w:rsidRPr="00FF4565">
        <w:rPr>
          <w:color w:val="232524"/>
          <w:lang w:eastAsia="ca-ES"/>
        </w:rPr>
        <w:t xml:space="preserve"> </w:t>
      </w:r>
      <w:r>
        <w:rPr>
          <w:color w:val="111211"/>
          <w:lang w:eastAsia="ca-ES"/>
        </w:rPr>
        <w:t>C</w:t>
      </w:r>
      <w:r w:rsidRPr="00FF4565">
        <w:rPr>
          <w:color w:val="111211"/>
          <w:lang w:eastAsia="ca-ES"/>
        </w:rPr>
        <w:t xml:space="preserve">entre </w:t>
      </w:r>
      <w:r w:rsidRPr="00FF4565">
        <w:rPr>
          <w:color w:val="232524"/>
          <w:lang w:eastAsia="ca-ES"/>
        </w:rPr>
        <w:t xml:space="preserve">oscil·larà entre 8 </w:t>
      </w:r>
      <w:r w:rsidRPr="00FF4565">
        <w:rPr>
          <w:color w:val="111211"/>
          <w:lang w:eastAsia="ca-ES"/>
        </w:rPr>
        <w:t xml:space="preserve">i 16 hores, </w:t>
      </w:r>
      <w:r w:rsidRPr="00FF4565">
        <w:rPr>
          <w:color w:val="232524"/>
          <w:lang w:eastAsia="ca-ES"/>
        </w:rPr>
        <w:t>exceptuant</w:t>
      </w:r>
      <w:r>
        <w:rPr>
          <w:color w:val="232524"/>
          <w:lang w:eastAsia="ca-ES"/>
        </w:rPr>
        <w:t>-ne</w:t>
      </w:r>
      <w:r w:rsidRPr="00FF4565">
        <w:rPr>
          <w:color w:val="232524"/>
          <w:lang w:eastAsia="ca-ES"/>
        </w:rPr>
        <w:t xml:space="preserve"> els </w:t>
      </w:r>
      <w:r w:rsidRPr="00FF4565">
        <w:rPr>
          <w:color w:val="111211"/>
          <w:lang w:eastAsia="ca-ES"/>
        </w:rPr>
        <w:t>interns</w:t>
      </w:r>
      <w:r>
        <w:rPr>
          <w:color w:val="111211"/>
          <w:lang w:eastAsia="ca-ES"/>
        </w:rPr>
        <w:t xml:space="preserve"> que,</w:t>
      </w:r>
      <w:r w:rsidRPr="00FF4565">
        <w:rPr>
          <w:color w:val="111211"/>
          <w:lang w:eastAsia="ca-ES"/>
        </w:rPr>
        <w:t xml:space="preserve"> </w:t>
      </w:r>
      <w:r w:rsidRPr="00FF4565">
        <w:rPr>
          <w:color w:val="232524"/>
          <w:lang w:eastAsia="ca-ES"/>
        </w:rPr>
        <w:t xml:space="preserve">en aplicació de </w:t>
      </w:r>
      <w:r w:rsidRPr="00FF4565">
        <w:rPr>
          <w:color w:val="111211"/>
          <w:lang w:eastAsia="ca-ES"/>
        </w:rPr>
        <w:t xml:space="preserve">l’article </w:t>
      </w:r>
      <w:r w:rsidRPr="00FF4565">
        <w:rPr>
          <w:color w:val="232524"/>
          <w:lang w:eastAsia="ca-ES"/>
        </w:rPr>
        <w:t>96.4</w:t>
      </w:r>
      <w:r>
        <w:rPr>
          <w:color w:val="232524"/>
          <w:lang w:eastAsia="ca-ES"/>
        </w:rPr>
        <w:t>,</w:t>
      </w:r>
      <w:r w:rsidRPr="00FF4565">
        <w:rPr>
          <w:color w:val="232524"/>
          <w:lang w:eastAsia="ca-ES"/>
        </w:rPr>
        <w:t xml:space="preserve"> </w:t>
      </w:r>
      <w:r w:rsidRPr="00FF4565">
        <w:rPr>
          <w:color w:val="111211"/>
          <w:lang w:eastAsia="ca-ES"/>
        </w:rPr>
        <w:t>no</w:t>
      </w:r>
      <w:r>
        <w:rPr>
          <w:color w:val="111211"/>
          <w:lang w:eastAsia="ca-ES"/>
        </w:rPr>
        <w:t xml:space="preserve"> hi</w:t>
      </w:r>
      <w:r w:rsidRPr="00FF4565">
        <w:rPr>
          <w:color w:val="111211"/>
          <w:lang w:eastAsia="ca-ES"/>
        </w:rPr>
        <w:t xml:space="preserve"> pernocten</w:t>
      </w:r>
      <w:r>
        <w:rPr>
          <w:color w:val="232524"/>
          <w:lang w:eastAsia="ca-ES"/>
        </w:rPr>
        <w:t xml:space="preserve">, que són </w:t>
      </w:r>
      <w:r w:rsidRPr="00FF4565">
        <w:rPr>
          <w:color w:val="232524"/>
          <w:lang w:eastAsia="ca-ES"/>
        </w:rPr>
        <w:t xml:space="preserve">al </w:t>
      </w:r>
      <w:r w:rsidRPr="00FF4565">
        <w:rPr>
          <w:color w:val="111211"/>
          <w:lang w:eastAsia="ca-ES"/>
        </w:rPr>
        <w:t xml:space="preserve">voltant del </w:t>
      </w:r>
      <w:r w:rsidRPr="00FF4565">
        <w:rPr>
          <w:color w:val="232524"/>
          <w:lang w:eastAsia="ca-ES"/>
        </w:rPr>
        <w:t>20</w:t>
      </w:r>
      <w:r>
        <w:rPr>
          <w:color w:val="232524"/>
          <w:lang w:eastAsia="ca-ES"/>
        </w:rPr>
        <w:t xml:space="preserve"> </w:t>
      </w:r>
      <w:r w:rsidRPr="00FF4565">
        <w:rPr>
          <w:color w:val="232524"/>
          <w:lang w:eastAsia="ca-ES"/>
        </w:rPr>
        <w:t xml:space="preserve">% </w:t>
      </w:r>
      <w:r w:rsidRPr="00FF4565">
        <w:rPr>
          <w:color w:val="111211"/>
          <w:lang w:eastAsia="ca-ES"/>
        </w:rPr>
        <w:t xml:space="preserve">dels interns del </w:t>
      </w:r>
      <w:r>
        <w:rPr>
          <w:color w:val="232524"/>
          <w:lang w:eastAsia="ca-ES"/>
        </w:rPr>
        <w:t>C</w:t>
      </w:r>
      <w:r w:rsidRPr="00FF4565">
        <w:rPr>
          <w:color w:val="232524"/>
          <w:lang w:eastAsia="ca-ES"/>
        </w:rPr>
        <w:t>entre.</w:t>
      </w:r>
    </w:p>
    <w:p w:rsidR="005729F5" w:rsidRPr="00FF4565" w:rsidRDefault="005729F5" w:rsidP="0070401F">
      <w:pPr>
        <w:pStyle w:val="Ttol2"/>
      </w:pPr>
      <w:bookmarkStart w:id="543" w:name="_Toc463948211"/>
      <w:bookmarkStart w:id="544" w:name="_Toc464685726"/>
      <w:bookmarkStart w:id="545" w:name="_Toc465293464"/>
      <w:r w:rsidRPr="00FF4565">
        <w:t>El pla d’equipaments</w:t>
      </w:r>
      <w:bookmarkEnd w:id="543"/>
      <w:bookmarkEnd w:id="544"/>
      <w:bookmarkEnd w:id="545"/>
    </w:p>
    <w:p w:rsidR="005729F5" w:rsidRPr="00FF4565" w:rsidRDefault="005729F5" w:rsidP="006D0874">
      <w:r w:rsidRPr="00FF4565">
        <w:t>L’any 2014 es van complir 30 anys des de l’assumpció de les competències en matèria penitenciària</w:t>
      </w:r>
      <w:r>
        <w:t>,</w:t>
      </w:r>
      <w:r w:rsidRPr="00FF4565">
        <w:t xml:space="preserve"> i encara som l’única comunitat autònoma de l’Estat espanyol </w:t>
      </w:r>
      <w:r>
        <w:t xml:space="preserve">que té </w:t>
      </w:r>
      <w:r w:rsidRPr="00FF4565">
        <w:t>aques</w:t>
      </w:r>
      <w:r>
        <w:t>tes competències. Durant aquest</w:t>
      </w:r>
      <w:r w:rsidRPr="00FF4565">
        <w:t xml:space="preserve"> període s’ha desenvolupat una política activa que ha situat Catalunya com </w:t>
      </w:r>
      <w:r>
        <w:t>a</w:t>
      </w:r>
      <w:r w:rsidRPr="00FF4565">
        <w:t xml:space="preserve"> model penitenciari dels països del nostre entorn. També s’han hagut de resoldre múltiples dificultats</w:t>
      </w:r>
      <w:r>
        <w:t xml:space="preserve"> per donar resposta a les oscil·</w:t>
      </w:r>
      <w:r w:rsidRPr="00FF4565">
        <w:t xml:space="preserve">lacions de la població penitenciària i </w:t>
      </w:r>
      <w:r>
        <w:t>a</w:t>
      </w:r>
      <w:r w:rsidRPr="00FF4565">
        <w:t xml:space="preserve">l seu encaix amb els equipaments i les places disponibles. </w:t>
      </w:r>
    </w:p>
    <w:p w:rsidR="005729F5" w:rsidRPr="00FF4565" w:rsidRDefault="005729F5" w:rsidP="006D0874">
      <w:r w:rsidRPr="00FF4565">
        <w:t xml:space="preserve">El creixement desmesurat de la població penitenciària en la dècada 2000-2010 va obligar l’Administració a fer una enorme despesa en la construcció i dotació </w:t>
      </w:r>
      <w:r>
        <w:t>dels</w:t>
      </w:r>
      <w:r w:rsidRPr="00FF4565">
        <w:t xml:space="preserve"> centres penitenciaris, que hipotecarà durant molts anys la seva capacitat d’actuació. Aquesta situació</w:t>
      </w:r>
      <w:r>
        <w:t>,</w:t>
      </w:r>
      <w:r w:rsidRPr="00FF4565">
        <w:t xml:space="preserve"> emmarcada en l’actual crisi econòmica</w:t>
      </w:r>
      <w:r>
        <w:t>,</w:t>
      </w:r>
      <w:r w:rsidRPr="00FF4565">
        <w:t xml:space="preserve"> ha alertat sobre la inviabilitat de mantenir la planificació prevista fins al 2018. </w:t>
      </w:r>
      <w:r>
        <w:t>Al mateix temps</w:t>
      </w:r>
      <w:r w:rsidRPr="00FF4565">
        <w:t>, la variació en les previsions de creixement de la població penitenciària, que va començar a disminuir a partir de 2010 i que ha suposat una reducció al voltant de 1.800 places sobre la previsió efectuada, ha reforç</w:t>
      </w:r>
      <w:r>
        <w:t>at la necessitat de revisar el P</w:t>
      </w:r>
      <w:r w:rsidRPr="00FF4565">
        <w:t>la d’equipaments vigent fins</w:t>
      </w:r>
      <w:r>
        <w:t xml:space="preserve"> a</w:t>
      </w:r>
      <w:r w:rsidRPr="00FF4565">
        <w:t xml:space="preserve"> l’actualitat.</w:t>
      </w:r>
    </w:p>
    <w:p w:rsidR="005729F5" w:rsidRPr="00FF4565" w:rsidRDefault="005729F5" w:rsidP="006D0874">
      <w:r w:rsidRPr="00FF4565">
        <w:t>Aquesta situació requereix un replantejament en la planificació dels nous centres i un ajust a les necessitats actuals i futures. El Govern continua amb la voluntat de desenvolupar i estendre el model penitenciari català a tots els equipaments del territori. Cal tenir en compte l’es</w:t>
      </w:r>
      <w:r>
        <w:t>pecificitat d’equipaments per rè</w:t>
      </w:r>
      <w:r w:rsidRPr="00FF4565">
        <w:t xml:space="preserve">gim ordinari i obert, homes, joves i dones, així com l’equilibri territorial que faciliti la proximitat dels interns al seu entorn de residència. I també cal incorporar, ara més que mai, criteris d’eficiència en els costos de construcció i de gestió dels nous centres penitenciaris. Finalment, s'ha posat en marxa el tancament d’alguns centres antiquats, com el CP </w:t>
      </w:r>
      <w:r>
        <w:t>d’</w:t>
      </w:r>
      <w:r w:rsidRPr="00FF4565">
        <w:t>Homes de Barcelona, conegu</w:t>
      </w:r>
      <w:r>
        <w:t>t</w:t>
      </w:r>
      <w:r w:rsidRPr="00FF4565">
        <w:t xml:space="preserve"> com </w:t>
      </w:r>
      <w:r w:rsidRPr="00E25D7C">
        <w:rPr>
          <w:i/>
        </w:rPr>
        <w:t>La Model</w:t>
      </w:r>
      <w:r w:rsidRPr="00FF4565">
        <w:t>.</w:t>
      </w:r>
    </w:p>
    <w:p w:rsidR="005729F5" w:rsidRPr="00FF4565" w:rsidRDefault="005729F5" w:rsidP="006D0874">
      <w:r>
        <w:t>Ateses</w:t>
      </w:r>
      <w:r w:rsidRPr="00FF4565">
        <w:t xml:space="preserve"> aquestes noves condicions</w:t>
      </w:r>
      <w:r>
        <w:t>,</w:t>
      </w:r>
      <w:r w:rsidRPr="00FF4565">
        <w:t xml:space="preserve"> </w:t>
      </w:r>
      <w:r>
        <w:t>es va elaborar e</w:t>
      </w:r>
      <w:r w:rsidRPr="00FF4565">
        <w:t xml:space="preserve">l </w:t>
      </w:r>
      <w:r>
        <w:t>Pla director d’equipaments penitenciaris</w:t>
      </w:r>
      <w:r w:rsidRPr="00FF4565">
        <w:t xml:space="preserve"> 2013-2020, que va ser </w:t>
      </w:r>
      <w:r>
        <w:t>comunicat</w:t>
      </w:r>
      <w:r w:rsidRPr="00FF4565">
        <w:t xml:space="preserve"> al Govern i presentat en l</w:t>
      </w:r>
      <w:r>
        <w:t>a Comissió de Justícia i Drets Humans. É</w:t>
      </w:r>
      <w:r w:rsidRPr="00FF4565">
        <w:t xml:space="preserve">s un projecte encara no aprovat pel Consell Executiu, que s’orienta com l’instrument de planificació de les infraestructures que emmarcaran a </w:t>
      </w:r>
      <w:r>
        <w:t>mitjà</w:t>
      </w:r>
      <w:r w:rsidRPr="00FF4565">
        <w:t xml:space="preserve"> i llarg termini els espais de consolidació de la política penitenciària per als propers anys. </w:t>
      </w:r>
    </w:p>
    <w:p w:rsidR="005729F5" w:rsidRPr="00FF4565" w:rsidRDefault="005729F5" w:rsidP="006D0874">
      <w:r w:rsidRPr="00FF4565">
        <w:t>Aquest Pla vol pres</w:t>
      </w:r>
      <w:r>
        <w:t xml:space="preserve">ervar l’essència de l’anomenat </w:t>
      </w:r>
      <w:r w:rsidRPr="0061340C">
        <w:rPr>
          <w:i/>
        </w:rPr>
        <w:t>model penitenciari català</w:t>
      </w:r>
      <w:r w:rsidRPr="00FF4565">
        <w:t xml:space="preserve">, que posa l’accent en la finalitat de la pena, les dimensions de la persona i l’apropament a l’entorn </w:t>
      </w:r>
      <w:r w:rsidRPr="00FF4565">
        <w:lastRenderedPageBreak/>
        <w:t>social, evitant l’aïllament més enllà de la separació que ja regulen la presó preventiva o la condemna imposada.</w:t>
      </w:r>
    </w:p>
    <w:p w:rsidR="005729F5" w:rsidRPr="00FF4565" w:rsidRDefault="005729F5" w:rsidP="006D0874">
      <w:r w:rsidRPr="00FF4565">
        <w:t>El Pla accentua, en el context econòmic actual, la sostenibil</w:t>
      </w:r>
      <w:r>
        <w:t>itat dels sistema penitenciari i dóna</w:t>
      </w:r>
      <w:r w:rsidRPr="00FF4565">
        <w:t xml:space="preserve"> resposta a les necessitats reals d’antiguitat i inadequació d’alguns dels actuals equipaments, </w:t>
      </w:r>
      <w:r>
        <w:t>al mateix temps</w:t>
      </w:r>
      <w:r w:rsidRPr="00FF4565">
        <w:t xml:space="preserve"> que procura el màxim aprofitament dels centres que continuaran en funcionament i el desenvolupament de les modalitats de vida en el medi obert.</w:t>
      </w:r>
    </w:p>
    <w:p w:rsidR="005729F5" w:rsidRPr="00AE059B" w:rsidRDefault="005729F5" w:rsidP="006D0874">
      <w:pPr>
        <w:rPr>
          <w:spacing w:val="-2"/>
        </w:rPr>
      </w:pPr>
      <w:r w:rsidRPr="00AE059B">
        <w:rPr>
          <w:spacing w:val="-2"/>
        </w:rPr>
        <w:t xml:space="preserve">El Pla 2013-2020 reflecteix el moment actual i proper en la convivència d’instal·lacions que han tingut moments constructius diferents, però les condicions de les quals permeten situar-les en l’horitzó del mapa penitenciari futur. Aquest escenari </w:t>
      </w:r>
      <w:r>
        <w:rPr>
          <w:spacing w:val="-2"/>
        </w:rPr>
        <w:t>inclou</w:t>
      </w:r>
      <w:r w:rsidRPr="00AE059B">
        <w:rPr>
          <w:spacing w:val="-2"/>
        </w:rPr>
        <w:t xml:space="preserve"> des de centres construïts l’any 1904</w:t>
      </w:r>
      <w:r>
        <w:rPr>
          <w:spacing w:val="-2"/>
        </w:rPr>
        <w:t>,</w:t>
      </w:r>
      <w:r w:rsidRPr="00AE059B">
        <w:rPr>
          <w:spacing w:val="-2"/>
        </w:rPr>
        <w:t xml:space="preserve"> com La Model, fins als nous equipaments projectats, </w:t>
      </w:r>
      <w:r>
        <w:rPr>
          <w:spacing w:val="-2"/>
        </w:rPr>
        <w:t xml:space="preserve">la finalització </w:t>
      </w:r>
      <w:r w:rsidRPr="00AE059B">
        <w:rPr>
          <w:spacing w:val="-2"/>
        </w:rPr>
        <w:t>dels quals es preveu entre 2017 i 2018.</w:t>
      </w:r>
    </w:p>
    <w:p w:rsidR="005729F5" w:rsidRPr="00FF4565" w:rsidRDefault="005729F5" w:rsidP="006D0874">
      <w:r w:rsidRPr="00FF4565">
        <w:t>Es presenta el disseny funcional del futur Centre de Preventius de Barcelona</w:t>
      </w:r>
      <w:r>
        <w:t>,</w:t>
      </w:r>
      <w:r w:rsidRPr="00FF4565">
        <w:t xml:space="preserve"> que substituirà una part de la població penitenciària de </w:t>
      </w:r>
      <w:r>
        <w:t xml:space="preserve">La </w:t>
      </w:r>
      <w:r w:rsidRPr="00FF4565">
        <w:t xml:space="preserve">Model, amb una capacitat de 600 places, i pensada per a interns preventius primaris de baix risc i amb una estada no superior a </w:t>
      </w:r>
      <w:r>
        <w:t>un</w:t>
      </w:r>
      <w:r w:rsidRPr="00FF4565">
        <w:t xml:space="preserve"> any. Per primera vegada es dissenya un centre pensat per </w:t>
      </w:r>
      <w:r>
        <w:t xml:space="preserve">a </w:t>
      </w:r>
      <w:r w:rsidRPr="00FF4565">
        <w:t>aquesta població, on es minimitzi l’impacte negatiu que suposa l’internament en una presó.</w:t>
      </w:r>
    </w:p>
    <w:p w:rsidR="005729F5" w:rsidRPr="00FF4565" w:rsidRDefault="005729F5" w:rsidP="006D0874">
      <w:r w:rsidRPr="00FF4565">
        <w:t xml:space="preserve">A la vegada, s’aprofita la capacitat i </w:t>
      </w:r>
      <w:r>
        <w:t xml:space="preserve">les </w:t>
      </w:r>
      <w:r w:rsidRPr="00FF4565">
        <w:t>instal·lacions del CP Brians 2 per ut</w:t>
      </w:r>
      <w:r>
        <w:t>ilitzar quatre mòduls d’aquest c</w:t>
      </w:r>
      <w:r w:rsidRPr="00FF4565">
        <w:t>entre destinats a presos preventius reincidents que fins ara s’ubicaven a La Model. La proximitat a les se</w:t>
      </w:r>
      <w:r>
        <w:t>us judicials del Centre de P</w:t>
      </w:r>
      <w:r w:rsidRPr="00FF4565">
        <w:t xml:space="preserve">reventius i </w:t>
      </w:r>
      <w:r>
        <w:t xml:space="preserve">el </w:t>
      </w:r>
      <w:r w:rsidRPr="00FF4565">
        <w:t>CP Brians 2 facilitarà el trasllat dels interns per efectuar les diligències judicials, més habituals per a la població preventiva.</w:t>
      </w:r>
    </w:p>
    <w:p w:rsidR="005729F5" w:rsidRPr="00FF4565" w:rsidRDefault="005729F5" w:rsidP="006D0874">
      <w:r w:rsidRPr="00FF4565">
        <w:t xml:space="preserve">Aquest model d’intervenció, amb preventius primaris a l’àrea de Barcelona, </w:t>
      </w:r>
      <w:r>
        <w:t>es generalitzarà</w:t>
      </w:r>
      <w:r w:rsidRPr="00FF4565">
        <w:t xml:space="preserve"> a la resta de centres penitenciaris polivalents de Catalunya, on no hi ha </w:t>
      </w:r>
      <w:r>
        <w:t>una gran opinió</w:t>
      </w:r>
      <w:r w:rsidRPr="00FF4565">
        <w:t xml:space="preserve"> crítica per construir altres presons de característiques</w:t>
      </w:r>
      <w:r w:rsidRPr="0061340C">
        <w:t xml:space="preserve"> </w:t>
      </w:r>
      <w:r w:rsidRPr="00FF4565">
        <w:t>similars.</w:t>
      </w:r>
    </w:p>
    <w:p w:rsidR="005729F5" w:rsidRPr="00FF4565" w:rsidRDefault="005729F5" w:rsidP="006D0874">
      <w:r w:rsidRPr="00FF4565">
        <w:t xml:space="preserve">El nou Pla </w:t>
      </w:r>
      <w:r>
        <w:t>d</w:t>
      </w:r>
      <w:r w:rsidRPr="00FF4565">
        <w:t>irector d’</w:t>
      </w:r>
      <w:r>
        <w:t>e</w:t>
      </w:r>
      <w:r w:rsidRPr="00FF4565">
        <w:t>quipame</w:t>
      </w:r>
      <w:r>
        <w:t>nts perfila també el model en rè</w:t>
      </w:r>
      <w:r w:rsidRPr="00FF4565">
        <w:t>gim obert amb la construcció del Centre Obert de Barcelona, amb una capacitat de 800 places, que permetrà el tancament dels ce</w:t>
      </w:r>
      <w:r>
        <w:t>ntres oberts de Barcelona 1 i 2</w:t>
      </w:r>
      <w:r w:rsidRPr="00FF4565">
        <w:t xml:space="preserve"> i el desplaçament dels interns de les seccions obertes del CP </w:t>
      </w:r>
      <w:r>
        <w:t>d’</w:t>
      </w:r>
      <w:r w:rsidRPr="00FF4565">
        <w:t>Homes</w:t>
      </w:r>
      <w:r>
        <w:t xml:space="preserve"> de Barcelona i el CP de Dones de Barcelona.</w:t>
      </w:r>
    </w:p>
    <w:p w:rsidR="005729F5" w:rsidRPr="00FF4565" w:rsidRDefault="005729F5" w:rsidP="006D0874">
      <w:r w:rsidRPr="00FF4565">
        <w:t>En aquest mapa de desplegament dels centres oberts, també es reconverteixen els actuals centres de Girona i Tarragona en dos centres oberts</w:t>
      </w:r>
      <w:r>
        <w:t>,</w:t>
      </w:r>
      <w:r w:rsidRPr="00FF4565">
        <w:t xml:space="preserve"> amb 130 i 225 places cadascun. Continuarà en funcionament el CO Lleida. </w:t>
      </w:r>
    </w:p>
    <w:p w:rsidR="005729F5" w:rsidRPr="00FF4565" w:rsidRDefault="005729F5" w:rsidP="006D0874">
      <w:r w:rsidRPr="00FF4565">
        <w:t xml:space="preserve">La situació i </w:t>
      </w:r>
      <w:r>
        <w:t>l’</w:t>
      </w:r>
      <w:r w:rsidRPr="00FF4565">
        <w:t xml:space="preserve">especificitat de la població penitenciària femenina té resposta també dins d’aquest Pla, amb una remodelació important del CP </w:t>
      </w:r>
      <w:r>
        <w:t xml:space="preserve">de </w:t>
      </w:r>
      <w:r w:rsidRPr="00FF4565">
        <w:t>Dones de Barcelona, que es rehabilita per poder ubicar en condicions semblants a la resta de població interna les dones en situació preventiva</w:t>
      </w:r>
      <w:r>
        <w:t xml:space="preserve"> i les dones en règim obert, en cel·</w:t>
      </w:r>
      <w:r w:rsidRPr="00FF4565">
        <w:t xml:space="preserve">les que no superin les </w:t>
      </w:r>
      <w:r>
        <w:t>tres</w:t>
      </w:r>
      <w:r w:rsidRPr="00FF4565">
        <w:t xml:space="preserve"> places de capacitat. També es dóna resposta al departament de mares per millorar i dignificar la seva situació actual. La ubicació d’aquest centre ofereix proximitat a les seus judicials per a la població preventiva, facilita les sortides i l’aprofitament dels recursos educat</w:t>
      </w:r>
      <w:r>
        <w:t>ius pròxims per als nens petits</w:t>
      </w:r>
      <w:r w:rsidRPr="00FF4565">
        <w:t xml:space="preserve"> i la sortida amb recursos de desplaçament per a les internes de règim obert. La resta d’internes en règim ordinari continuaran al CP Brians 1. </w:t>
      </w:r>
    </w:p>
    <w:p w:rsidR="00E930B2" w:rsidRPr="00D44F17" w:rsidRDefault="005729F5" w:rsidP="00E930B2">
      <w:r>
        <w:t>El P</w:t>
      </w:r>
      <w:r w:rsidRPr="00FF4565">
        <w:t>la s’adequa a l’evoluci</w:t>
      </w:r>
      <w:r>
        <w:t>ó real de la població penitencià</w:t>
      </w:r>
      <w:r w:rsidRPr="00FF4565">
        <w:t>ria</w:t>
      </w:r>
      <w:r>
        <w:t xml:space="preserve"> i s’estableix</w:t>
      </w:r>
      <w:r w:rsidRPr="00FF4565">
        <w:t xml:space="preserve"> un sostre de capacitat objectiu superior a les 11.800 persones internes per a l’any 2020, tot tenint en compte la crisi fiscal que pateix la Generalitat de Catalunya.</w:t>
      </w:r>
    </w:p>
    <w:p w:rsidR="00055E6C" w:rsidRDefault="00055E6C">
      <w:pPr>
        <w:spacing w:before="0"/>
        <w:jc w:val="left"/>
      </w:pPr>
      <w:r>
        <w:br w:type="page"/>
      </w:r>
    </w:p>
    <w:p w:rsidR="00055E6C" w:rsidRDefault="00055E6C" w:rsidP="0070401F">
      <w:pPr>
        <w:pStyle w:val="Ttol1"/>
      </w:pPr>
      <w:bookmarkStart w:id="546" w:name="_Toc463470039"/>
      <w:bookmarkStart w:id="547" w:name="_Toc464685727"/>
      <w:bookmarkStart w:id="548" w:name="_Toc465293465"/>
      <w:bookmarkStart w:id="549" w:name="_Toc461707711"/>
      <w:r w:rsidRPr="00EF29AB">
        <w:lastRenderedPageBreak/>
        <w:t>El sistem</w:t>
      </w:r>
      <w:r>
        <w:t xml:space="preserve">a </w:t>
      </w:r>
      <w:r w:rsidRPr="006D0874">
        <w:t>d’informació</w:t>
      </w:r>
      <w:r>
        <w:t xml:space="preserve"> i la tecnologia </w:t>
      </w:r>
      <w:r w:rsidRPr="00EF29AB">
        <w:t xml:space="preserve">com </w:t>
      </w:r>
      <w:r>
        <w:t xml:space="preserve">a </w:t>
      </w:r>
      <w:r w:rsidRPr="00EF29AB">
        <w:t>eix de modernització de l’</w:t>
      </w:r>
      <w:r>
        <w:t>execució penal</w:t>
      </w:r>
      <w:bookmarkEnd w:id="546"/>
      <w:bookmarkEnd w:id="547"/>
      <w:bookmarkEnd w:id="548"/>
    </w:p>
    <w:p w:rsidR="002F3AED" w:rsidRPr="002F3AED" w:rsidRDefault="002F3AED" w:rsidP="002F3AED"/>
    <w:p w:rsidR="00055E6C" w:rsidRDefault="00055E6C" w:rsidP="0070401F">
      <w:pPr>
        <w:pStyle w:val="Ttol2"/>
      </w:pPr>
      <w:bookmarkStart w:id="550" w:name="_Toc463470040"/>
      <w:bookmarkStart w:id="551" w:name="_Toc464685728"/>
      <w:bookmarkStart w:id="552" w:name="_Toc465293466"/>
      <w:r w:rsidRPr="006D0874">
        <w:t>Antecedents</w:t>
      </w:r>
      <w:bookmarkEnd w:id="549"/>
      <w:bookmarkEnd w:id="550"/>
      <w:bookmarkEnd w:id="551"/>
      <w:bookmarkEnd w:id="552"/>
    </w:p>
    <w:p w:rsidR="00055E6C" w:rsidRPr="00FD6B6B" w:rsidRDefault="00055E6C" w:rsidP="006D0874">
      <w:r>
        <w:t>Els sistemes d’informació utilitzats per a la gestió penitenciària han anat evolucionat al llarg dels anys.</w:t>
      </w:r>
    </w:p>
    <w:p w:rsidR="00055E6C" w:rsidRDefault="00055E6C" w:rsidP="0070401F">
      <w:pPr>
        <w:pStyle w:val="Ttol3"/>
      </w:pPr>
      <w:bookmarkStart w:id="553" w:name="_Toc461707712"/>
      <w:bookmarkStart w:id="554" w:name="_Toc463470041"/>
      <w:bookmarkStart w:id="555" w:name="_Toc464685729"/>
      <w:bookmarkStart w:id="556" w:name="_Toc465293467"/>
      <w:r>
        <w:t xml:space="preserve">Sistemes </w:t>
      </w:r>
      <w:r w:rsidRPr="002F3AED">
        <w:t>d’informació</w:t>
      </w:r>
      <w:r>
        <w:t xml:space="preserve"> per a la g</w:t>
      </w:r>
      <w:r w:rsidRPr="005237BB">
        <w:t>estió de</w:t>
      </w:r>
      <w:bookmarkEnd w:id="553"/>
      <w:r>
        <w:t xml:space="preserve"> l’execució penal</w:t>
      </w:r>
      <w:bookmarkEnd w:id="554"/>
      <w:bookmarkEnd w:id="555"/>
      <w:bookmarkEnd w:id="556"/>
    </w:p>
    <w:p w:rsidR="002F3AED" w:rsidRPr="002F3AED" w:rsidRDefault="002F3AED" w:rsidP="002F3AED"/>
    <w:p w:rsidR="00055E6C" w:rsidRDefault="00055E6C" w:rsidP="0070401F">
      <w:pPr>
        <w:pStyle w:val="Ttol4"/>
      </w:pPr>
      <w:r w:rsidRPr="002F3AED">
        <w:t>Continuïtat</w:t>
      </w:r>
    </w:p>
    <w:p w:rsidR="00055E6C" w:rsidRDefault="00055E6C" w:rsidP="006D0874">
      <w:r>
        <w:t xml:space="preserve">La transferència de l’execució penal va suposar l’herència del sistema d’informació estatal Sigma, actualment anomenat NSIP, que proporcionava una gestió molt bàsica i al qual únicament hi havia connectats dos terminals no intel·ligents ubicats al Centre Penitenciari d’Homes de Barcelona i als Serveis Centrals del Departament.  </w:t>
      </w:r>
    </w:p>
    <w:p w:rsidR="005B4C56" w:rsidRDefault="005B4C56" w:rsidP="006D0874"/>
    <w:p w:rsidR="00055E6C" w:rsidRDefault="00055E6C" w:rsidP="0070401F">
      <w:pPr>
        <w:pStyle w:val="Ttol4"/>
      </w:pPr>
      <w:r w:rsidRPr="005237BB">
        <w:t xml:space="preserve">Sistema </w:t>
      </w:r>
      <w:r>
        <w:t>d’i</w:t>
      </w:r>
      <w:r w:rsidRPr="00AC1525">
        <w:t>nformació</w:t>
      </w:r>
      <w:r w:rsidRPr="005237BB">
        <w:t xml:space="preserve"> propi no integrat</w:t>
      </w:r>
    </w:p>
    <w:p w:rsidR="00055E6C" w:rsidRDefault="00055E6C" w:rsidP="006D0874">
      <w:r>
        <w:t>L’any 1988 es va començar a implantar al Centre Penitenciari de Dones de Barcelona el primer sistema d’informació propi. La característica més destacable d’aquesta fase és que es tractava d’un sistema d’informació no centralitzat, on cada centre disposava de la seva base de dades independent, encara que periòdicament es feia una transmissió als Serveis Centrals del Departament d’una petita part de les dades dels expedients dels interns.</w:t>
      </w:r>
    </w:p>
    <w:p w:rsidR="00055E6C" w:rsidRDefault="00055E6C" w:rsidP="006D0874">
      <w:r>
        <w:t>L’any 1992 el sistema d’informació s’havia desplegat a tots els centres penitenciaris i, encara que inicialment només gestionava els expedients dels interns i el peculi, va anar creixent el nombre d’aplicacions que s’hi integraven, de manera que l’any 1995 ja s’hi gestionaven les  comunicacions dels interns, els recursos humans, l’atenció mèdica, la comptabilitat i el racionament dels interns.</w:t>
      </w:r>
    </w:p>
    <w:p w:rsidR="005B4C56" w:rsidRDefault="005B4C56" w:rsidP="006D0874"/>
    <w:p w:rsidR="00055E6C" w:rsidRDefault="00055E6C" w:rsidP="0070401F">
      <w:pPr>
        <w:pStyle w:val="Ttol4"/>
      </w:pPr>
      <w:r w:rsidRPr="005237BB">
        <w:t xml:space="preserve">Sistema </w:t>
      </w:r>
      <w:r>
        <w:t>d’i</w:t>
      </w:r>
      <w:r w:rsidRPr="00AC1525">
        <w:t>nformació</w:t>
      </w:r>
      <w:r>
        <w:t xml:space="preserve"> </w:t>
      </w:r>
      <w:r w:rsidRPr="002F3AED">
        <w:t>propi</w:t>
      </w:r>
      <w:r w:rsidRPr="005237BB">
        <w:t xml:space="preserve"> integrat</w:t>
      </w:r>
    </w:p>
    <w:p w:rsidR="00055E6C" w:rsidRDefault="00055E6C" w:rsidP="009A1F67">
      <w:r>
        <w:t>L’any 2000 es va iniciar el desplegament de l’actual sistema d’informació penitenciari català (SIPC), que va conviure amb l’anterior fins a l’any 2004, que va suposar el tancament definitiu del sistema d’informació previ al SIPC.</w:t>
      </w:r>
    </w:p>
    <w:p w:rsidR="00055E6C" w:rsidRDefault="00055E6C" w:rsidP="009A1F67">
      <w:r>
        <w:t>Una diferència destacable del SIPC respecte al sistema d’informació anterior és que les dades es troben en una única base de dades centralitzada i comuna per a tots els centres penitenciaris i els Serveis Centrals.</w:t>
      </w:r>
    </w:p>
    <w:p w:rsidR="00055E6C" w:rsidRDefault="00055E6C" w:rsidP="009A1F67">
      <w:r>
        <w:t xml:space="preserve">L’any 2000 es va iniciar el desplegament del SIPC. La primera aplicació a implantar-se va ser la de comptabilitat, necessària en aquelles dates per afrontar l’anomenat </w:t>
      </w:r>
      <w:r w:rsidRPr="003F0DB7">
        <w:rPr>
          <w:i/>
        </w:rPr>
        <w:t>efecte 2000</w:t>
      </w:r>
      <w:r>
        <w:t xml:space="preserve">. L’any 2001 es va implantar l’aplicació de peculi, que incloïa l’adaptació a l’euro i, el 2003, l’aplicació d’expedients dels interns. </w:t>
      </w:r>
    </w:p>
    <w:p w:rsidR="00055E6C" w:rsidRDefault="00055E6C" w:rsidP="009A1F67">
      <w:r>
        <w:t xml:space="preserve">A partir de l’any 2004, les aplicacions del SIPC van continuar desenvolupant-se i incorporant noves funcionalitats, de les quals són especialment destacables la implantació de l’eina d’avaluació i predicció del risc RisCanvi, l’any 2010; la implementació de l’aplicació d’ús principal del personal de seguretat, anomenada </w:t>
      </w:r>
      <w:r w:rsidRPr="003F0DB7">
        <w:rPr>
          <w:i/>
        </w:rPr>
        <w:t>Gestió d’interior</w:t>
      </w:r>
      <w:r>
        <w:t xml:space="preserve">, l’any 2011, i la </w:t>
      </w:r>
      <w:r>
        <w:lastRenderedPageBreak/>
        <w:t>implementació de la signatura i tramitació electrònica per a determinats procediments entre els centres penitenciaris i els Serveis Centrals, l’any 2015.</w:t>
      </w:r>
    </w:p>
    <w:p w:rsidR="00055E6C" w:rsidRDefault="00055E6C" w:rsidP="0070401F">
      <w:pPr>
        <w:pStyle w:val="Ttol3"/>
      </w:pPr>
      <w:bookmarkStart w:id="557" w:name="_Toc461707713"/>
      <w:bookmarkStart w:id="558" w:name="_Toc463470042"/>
      <w:bookmarkStart w:id="559" w:name="_Toc464685730"/>
      <w:bookmarkStart w:id="560" w:name="_Toc465293468"/>
      <w:r w:rsidRPr="002F3AED">
        <w:t>Sistemes</w:t>
      </w:r>
      <w:r>
        <w:t xml:space="preserve"> </w:t>
      </w:r>
      <w:r w:rsidRPr="00AC1525">
        <w:t>d’informació</w:t>
      </w:r>
      <w:r>
        <w:t xml:space="preserve"> per a la g</w:t>
      </w:r>
      <w:r w:rsidRPr="005237BB">
        <w:t xml:space="preserve">estió </w:t>
      </w:r>
      <w:r>
        <w:t>de les mesures penals alternatives</w:t>
      </w:r>
      <w:bookmarkEnd w:id="557"/>
      <w:bookmarkEnd w:id="558"/>
      <w:bookmarkEnd w:id="559"/>
      <w:bookmarkEnd w:id="560"/>
    </w:p>
    <w:p w:rsidR="00055E6C" w:rsidRDefault="00055E6C" w:rsidP="006D0874">
      <w:r>
        <w:t>L’any 1992 es començà a utilitzar una base de dades documental anomenada BASIS per gestionar les mesures penals alternatives. En aquesta primera fase el nombre d’expedients era petit i les funcionalitats de l’aplicació molt limitades.</w:t>
      </w:r>
    </w:p>
    <w:p w:rsidR="00055E6C" w:rsidRDefault="00055E6C" w:rsidP="006D0874">
      <w:r>
        <w:t xml:space="preserve">Posteriorment, davant l’increment del nombre d’expedients, l’any 1998 es van començar a gestionar les mesures penals alternatives amb una nova aplicació, aplicació </w:t>
      </w:r>
      <w:r w:rsidRPr="003A54FB">
        <w:t xml:space="preserve">inclosa dins </w:t>
      </w:r>
      <w:r>
        <w:t>el sistema d’i</w:t>
      </w:r>
      <w:r w:rsidRPr="003A54FB">
        <w:t xml:space="preserve">nformació de </w:t>
      </w:r>
      <w:r>
        <w:t>j</w:t>
      </w:r>
      <w:r w:rsidRPr="003A54FB">
        <w:t xml:space="preserve">ustícia </w:t>
      </w:r>
      <w:r>
        <w:t>j</w:t>
      </w:r>
      <w:r w:rsidRPr="003A54FB">
        <w:t>uvenil</w:t>
      </w:r>
      <w:r>
        <w:t xml:space="preserve"> (SIJJ), que tenia ja una base de dades centralitzada i comuna per a tots els equips. Aquesta </w:t>
      </w:r>
      <w:r w:rsidRPr="004251D0">
        <w:t>aplicació s’ha millorat amb un seguit d’evolucions</w:t>
      </w:r>
      <w:r>
        <w:t xml:space="preserve"> des de llavors, de les quals es pot destacar la implementació l’any 2010 d’un mòdul per gestionar els recursos disponibles per a la realització d’aquestes mesures, anomenat </w:t>
      </w:r>
      <w:r w:rsidRPr="001C6AF8">
        <w:rPr>
          <w:i/>
        </w:rPr>
        <w:t>Gestió de recursos</w:t>
      </w:r>
      <w:r>
        <w:t>.</w:t>
      </w:r>
    </w:p>
    <w:p w:rsidR="00055E6C" w:rsidRDefault="00055E6C" w:rsidP="0070401F">
      <w:pPr>
        <w:pStyle w:val="Ttol2"/>
      </w:pPr>
      <w:bookmarkStart w:id="561" w:name="_Toc461680124"/>
      <w:bookmarkStart w:id="562" w:name="_Toc463470043"/>
      <w:bookmarkStart w:id="563" w:name="_Toc464685731"/>
      <w:bookmarkStart w:id="564" w:name="_Toc465293469"/>
      <w:r w:rsidRPr="00B55D90">
        <w:t xml:space="preserve">Anàlisi </w:t>
      </w:r>
      <w:r w:rsidRPr="002F3AED">
        <w:t>de</w:t>
      </w:r>
      <w:r w:rsidRPr="00B55D90">
        <w:t xml:space="preserve"> la situació actual i noves necessitats</w:t>
      </w:r>
      <w:bookmarkEnd w:id="561"/>
      <w:bookmarkEnd w:id="562"/>
      <w:bookmarkEnd w:id="563"/>
      <w:bookmarkEnd w:id="564"/>
    </w:p>
    <w:p w:rsidR="002F3AED" w:rsidRPr="002F3AED" w:rsidRDefault="002F3AED" w:rsidP="002F3AED"/>
    <w:p w:rsidR="00055E6C" w:rsidRDefault="00055E6C" w:rsidP="0070401F">
      <w:pPr>
        <w:pStyle w:val="Ttol3"/>
      </w:pPr>
      <w:bookmarkStart w:id="565" w:name="_Toc461680125"/>
      <w:bookmarkStart w:id="566" w:name="_Toc463470044"/>
      <w:bookmarkStart w:id="567" w:name="_Toc464685732"/>
      <w:bookmarkStart w:id="568" w:name="_Toc465293470"/>
      <w:r w:rsidRPr="002F3AED">
        <w:t>Els</w:t>
      </w:r>
      <w:r>
        <w:t xml:space="preserve"> sistemes d’informació</w:t>
      </w:r>
      <w:bookmarkEnd w:id="565"/>
      <w:bookmarkEnd w:id="566"/>
      <w:bookmarkEnd w:id="567"/>
      <w:bookmarkEnd w:id="568"/>
    </w:p>
    <w:p w:rsidR="00055E6C" w:rsidRDefault="00055E6C" w:rsidP="006D0874">
      <w:r>
        <w:t xml:space="preserve">Així és com s’ha arribat a la situació actual, en la qual l’execució penal d’adults a Catalunya se sustenta en els dos sistemes d’informació mencionats: el sistema d’informació penitenciari català (SIPC) i el sistema d’informació de mesures penals alternatives, inclòs dins un altre sistema més ampli anomenat SIJJ que serveix també per gestionar els expedients de justícia juvenil. </w:t>
      </w:r>
    </w:p>
    <w:p w:rsidR="005B4C56" w:rsidRDefault="005B4C56" w:rsidP="006D0874"/>
    <w:p w:rsidR="00055E6C" w:rsidRDefault="00055E6C" w:rsidP="0070401F">
      <w:pPr>
        <w:pStyle w:val="Ttol4"/>
      </w:pPr>
      <w:bookmarkStart w:id="569" w:name="_Toc461680126"/>
      <w:r>
        <w:t>Sistema d’i</w:t>
      </w:r>
      <w:r w:rsidRPr="00703D99">
        <w:t xml:space="preserve">nformació </w:t>
      </w:r>
      <w:r>
        <w:t>p</w:t>
      </w:r>
      <w:r w:rsidRPr="00703D99">
        <w:t xml:space="preserve">enitenciari </w:t>
      </w:r>
      <w:r>
        <w:t>c</w:t>
      </w:r>
      <w:r w:rsidRPr="00703D99">
        <w:t>atalà</w:t>
      </w:r>
      <w:r>
        <w:t xml:space="preserve"> </w:t>
      </w:r>
      <w:bookmarkEnd w:id="569"/>
    </w:p>
    <w:p w:rsidR="00055E6C" w:rsidRDefault="00055E6C" w:rsidP="006D0874">
      <w:r>
        <w:t>El s</w:t>
      </w:r>
      <w:r w:rsidRPr="00703D99">
        <w:t>istema d’</w:t>
      </w:r>
      <w:r>
        <w:t>i</w:t>
      </w:r>
      <w:r w:rsidRPr="00703D99">
        <w:t xml:space="preserve">nformació </w:t>
      </w:r>
      <w:r>
        <w:t>p</w:t>
      </w:r>
      <w:r w:rsidRPr="00703D99">
        <w:t xml:space="preserve">enitenciari </w:t>
      </w:r>
      <w:r>
        <w:t>c</w:t>
      </w:r>
      <w:r w:rsidRPr="00703D99">
        <w:t>atalà (SIPC) permet la gestió integral i el seguiment del compliment de les penes imposades per l’autoritat judicial als interns preventius i penats, així com la gestió dels centres penitenciaris, personal funcionari, voluntaris i comunicants.</w:t>
      </w:r>
    </w:p>
    <w:p w:rsidR="00055E6C" w:rsidRDefault="00055E6C" w:rsidP="006D0874">
      <w:r>
        <w:t xml:space="preserve">Les funcionalitats gestionades pel sistema preveuen els expedients dels interns i els procediments relacionats amb la rehabilitació i la seguretat i gestió interiors, incloses les pertinences, escorcolls, fets i incidents, la gestió de les comunicacions amb l’exterior, el peculi dels interns, la gestió de la farmàcia, la gestió dels centres i del personal, entre d’altres. També permet una explotació estadística de les dades, i possibilita que l’Administració de justícia pugui fer consultes relacionades amb la situació penitenciària dels interns. El sistema pot interactuar, encara que en alguns casos de forma manual, amb els sistemes d’informació del Consell General del Poder Judicial per a les causes dels interns; amb la Policia Nacional per a la relació d’interns i estrangeria; amb el Ministeri de l’Interior per tal de proporcionar l’identificador únic de l’intern, i amb els sistemes de salut d’atenció primària i història clínica. </w:t>
      </w:r>
    </w:p>
    <w:p w:rsidR="00055E6C" w:rsidRDefault="00055E6C" w:rsidP="006D0874">
      <w:r>
        <w:t>Mitjançant aquest sistema es gestionen onze c</w:t>
      </w:r>
      <w:r w:rsidRPr="00093D60">
        <w:t xml:space="preserve">entres </w:t>
      </w:r>
      <w:r>
        <w:t>p</w:t>
      </w:r>
      <w:r w:rsidRPr="00093D60">
        <w:t xml:space="preserve">enitenciaris, un </w:t>
      </w:r>
      <w:r>
        <w:t>p</w:t>
      </w:r>
      <w:r w:rsidRPr="00093D60">
        <w:t xml:space="preserve">avelló </w:t>
      </w:r>
      <w:r>
        <w:t>h</w:t>
      </w:r>
      <w:r w:rsidRPr="00093D60">
        <w:t>ospitalari i</w:t>
      </w:r>
      <w:r>
        <w:t xml:space="preserve"> </w:t>
      </w:r>
      <w:r w:rsidRPr="00093D60">
        <w:t xml:space="preserve">tres </w:t>
      </w:r>
      <w:r>
        <w:t>c</w:t>
      </w:r>
      <w:r w:rsidRPr="00093D60">
        <w:t xml:space="preserve">entres </w:t>
      </w:r>
      <w:r>
        <w:t>o</w:t>
      </w:r>
      <w:r w:rsidRPr="00093D60">
        <w:t xml:space="preserve">berts, amb una població reclusa total de més de 10.000 persones. </w:t>
      </w:r>
    </w:p>
    <w:p w:rsidR="005B4C56" w:rsidRPr="00093D60" w:rsidRDefault="005B4C56" w:rsidP="006D0874"/>
    <w:p w:rsidR="00055E6C" w:rsidRPr="0087277D" w:rsidRDefault="00055E6C" w:rsidP="0070401F">
      <w:pPr>
        <w:pStyle w:val="Ttol4"/>
      </w:pPr>
      <w:bookmarkStart w:id="570" w:name="_Toc461680127"/>
      <w:r>
        <w:lastRenderedPageBreak/>
        <w:t xml:space="preserve">Sistema </w:t>
      </w:r>
      <w:r w:rsidRPr="005B4C56">
        <w:t>d’informació</w:t>
      </w:r>
      <w:r w:rsidRPr="0087277D">
        <w:t xml:space="preserve"> de </w:t>
      </w:r>
      <w:r>
        <w:t>mesures p</w:t>
      </w:r>
      <w:r w:rsidRPr="0087277D">
        <w:t xml:space="preserve">enals </w:t>
      </w:r>
      <w:r>
        <w:t>a</w:t>
      </w:r>
      <w:r w:rsidRPr="0087277D">
        <w:t xml:space="preserve">lternatives </w:t>
      </w:r>
      <w:bookmarkEnd w:id="570"/>
    </w:p>
    <w:p w:rsidR="00055E6C" w:rsidRDefault="00055E6C" w:rsidP="006D0874">
      <w:r w:rsidRPr="0053750D">
        <w:t xml:space="preserve">El </w:t>
      </w:r>
      <w:r>
        <w:t>sistema d’informació de m</w:t>
      </w:r>
      <w:r w:rsidRPr="0087277D">
        <w:t xml:space="preserve">esures </w:t>
      </w:r>
      <w:r>
        <w:t>penals a</w:t>
      </w:r>
      <w:r w:rsidRPr="0087277D">
        <w:t>lternatives</w:t>
      </w:r>
      <w:r>
        <w:t>, inclòs dins un sistema més general que engloba també la gestió de la justícia juvenil</w:t>
      </w:r>
      <w:r w:rsidRPr="0087277D">
        <w:t xml:space="preserve"> </w:t>
      </w:r>
      <w:r w:rsidRPr="0053750D">
        <w:t>(SIJJ),</w:t>
      </w:r>
      <w:r>
        <w:t xml:space="preserve"> és el sistema a través del qual es gestionen</w:t>
      </w:r>
      <w:r w:rsidRPr="0053750D">
        <w:t xml:space="preserve"> </w:t>
      </w:r>
      <w:r>
        <w:t>els expedients de mesures penals a</w:t>
      </w:r>
      <w:r w:rsidRPr="0053750D">
        <w:t xml:space="preserve">lternatives, </w:t>
      </w:r>
      <w:r>
        <w:t>els a</w:t>
      </w:r>
      <w:r w:rsidRPr="0053750D">
        <w:t xml:space="preserve">ssessoraments </w:t>
      </w:r>
      <w:r>
        <w:t>tècnics i la m</w:t>
      </w:r>
      <w:r w:rsidRPr="0053750D">
        <w:t xml:space="preserve">ediació </w:t>
      </w:r>
      <w:r>
        <w:t>p</w:t>
      </w:r>
      <w:r w:rsidRPr="0053750D">
        <w:t xml:space="preserve">enal </w:t>
      </w:r>
      <w:r>
        <w:t>en el cas d’adults.</w:t>
      </w:r>
    </w:p>
    <w:p w:rsidR="005B4C56" w:rsidRPr="0053750D" w:rsidRDefault="005B4C56" w:rsidP="006D0874"/>
    <w:p w:rsidR="00055E6C" w:rsidRDefault="00055E6C" w:rsidP="0070401F">
      <w:pPr>
        <w:pStyle w:val="Ttol3"/>
      </w:pPr>
      <w:bookmarkStart w:id="571" w:name="_Toc461680129"/>
      <w:bookmarkStart w:id="572" w:name="_Toc463470045"/>
      <w:bookmarkStart w:id="573" w:name="_Toc464685733"/>
      <w:bookmarkStart w:id="574" w:name="_Toc465293471"/>
      <w:r>
        <w:t xml:space="preserve">Anàlisi de la </w:t>
      </w:r>
      <w:r w:rsidRPr="005B4C56">
        <w:t>situació</w:t>
      </w:r>
      <w:r>
        <w:t xml:space="preserve"> actual</w:t>
      </w:r>
      <w:bookmarkEnd w:id="571"/>
      <w:bookmarkEnd w:id="572"/>
      <w:bookmarkEnd w:id="573"/>
      <w:bookmarkEnd w:id="574"/>
    </w:p>
    <w:p w:rsidR="00055E6C" w:rsidRDefault="00055E6C" w:rsidP="006D0874">
      <w:r>
        <w:t xml:space="preserve">L’any 2014, davant les dificultats de continuar evolucionant els sistemes d’informació per anar donant cobertura a totes les necessitats i nous requeriments que emergien, es va plantejar la necessitat de fer una anàlisi de la situació en què es trobaven i cap on calia orientar la </w:t>
      </w:r>
      <w:r w:rsidRPr="004251D0">
        <w:t>seva evolució futura.</w:t>
      </w:r>
      <w:r>
        <w:t xml:space="preserve"> </w:t>
      </w:r>
    </w:p>
    <w:p w:rsidR="00055E6C" w:rsidRDefault="00055E6C" w:rsidP="006D0874">
      <w:r>
        <w:t xml:space="preserve">El resultat de l’estudi que es va dur a terme desprenia que el grau de satisfacció dels usuaris que utilitzaven aquests dos sistemes era alt, atès que es tracta de sistemes segurs, fiables, robustos i molt necessaris per a l’usuari, que disposen de molta informació, tot i que no sempre sigui fàcilment explotable. A més a </w:t>
      </w:r>
      <w:r w:rsidRPr="004251D0">
        <w:t>més, els</w:t>
      </w:r>
      <w:r>
        <w:t xml:space="preserve"> faciliten uns camps i nomenclatura definits i una estructura d’expedient, encara que no presentin una visió d’expedient únic, i faciliten la generació de documents. </w:t>
      </w:r>
    </w:p>
    <w:p w:rsidR="00055E6C" w:rsidRDefault="00055E6C" w:rsidP="006D0874">
      <w:r>
        <w:t xml:space="preserve">Malgrat això, es va detectar que en realitat els sistemes no estaven integrats entre ells, eren poc intuïtius i no cobrien totes les necessitats de gestió en l’àmbit de l’execució penal. En particular, la gestió documental que inclouen és feble i la informació no està prou ben gestionada, a banda que presenten importants mancances d’interoperabilitat, no aporten prou seguretat en el control de l’entrada i sortida dels interns i presenten altres debilitats a causa de la seva antiguitat i evolució gradual al llarg del temps. </w:t>
      </w:r>
      <w:bookmarkStart w:id="575" w:name="_Toc461680132"/>
    </w:p>
    <w:p w:rsidR="00055E6C" w:rsidRDefault="00055E6C" w:rsidP="006D0874">
      <w:r>
        <w:t xml:space="preserve">En tractar-se de sistemes molt manuals, </w:t>
      </w:r>
      <w:bookmarkEnd w:id="575"/>
      <w:r>
        <w:t>es va detectar que propiciaven errades en l’accés de visitants o personal extern i presentaven certs riscos d’incompliment de la LOPD per l’existència de sistemes paral·lels, així com dificultats per gestionar la informació entre centres, i també entre aquests i  els Serveis Centrals, i algunes inseguretats, per exemple, en el recompte d’interns, la gestió de la vida regimental i la gestió de moviments.</w:t>
      </w:r>
    </w:p>
    <w:p w:rsidR="00055E6C" w:rsidRDefault="00055E6C" w:rsidP="006D0874">
      <w:r>
        <w:t xml:space="preserve">Cal tenir en compte, però, que els equips humans que els utilitzaven van mostrar tenir una predisposició alta i entusiasta per col·laborar en la millora del sistema, la qual cosa es va considerar molt valuosa a l’hora d’avaluar l’oportunitat de dur a terme un projecte de renovació.  </w:t>
      </w:r>
    </w:p>
    <w:p w:rsidR="00055E6C" w:rsidRPr="00E055F8" w:rsidRDefault="00055E6C" w:rsidP="0070401F">
      <w:pPr>
        <w:pStyle w:val="Ttol3"/>
      </w:pPr>
      <w:bookmarkStart w:id="576" w:name="_Toc461680134"/>
      <w:bookmarkStart w:id="577" w:name="_Toc464685734"/>
      <w:bookmarkStart w:id="578" w:name="_Toc465293472"/>
      <w:r w:rsidRPr="00BB551F">
        <w:rPr>
          <w:rStyle w:val="Ttol4Car"/>
          <w:b/>
        </w:rPr>
        <w:t>N</w:t>
      </w:r>
      <w:r>
        <w:t>ecessitats d’evolució</w:t>
      </w:r>
      <w:bookmarkEnd w:id="576"/>
      <w:bookmarkEnd w:id="577"/>
      <w:bookmarkEnd w:id="578"/>
    </w:p>
    <w:p w:rsidR="00055E6C" w:rsidRDefault="00055E6C" w:rsidP="006D0874">
      <w:pPr>
        <w:pStyle w:val="Pargrafdellista"/>
      </w:pPr>
      <w:r>
        <w:t>El resultat de l’anàlisi efectuada va posar de relleu que l’obsolescència tecnològica dels sistemes actuals, en tractar-se d’aplicacions desenvolupades des dels anys 90, dificultava l’evolució de les funcionalitats cap a l’expedient penitenciari electrònic únic, i la seva interoperabilitat amb altres sistemes d’informació. A més a més, el volum i diversitat de les necessitats detectades desaconsellaven afrontar un projecte evolutiu sobre els sistemes actuals. Així doncs, tot i que es van identificar necessitats, moltes de les quals comunes a diverses àrees i serveis de les dues direccions generals del Departament, que plantejaven la necessitat d’una evolució per permetre una major eficiència en el comandament i la gestió de les dues direccions generals, la recomanació va ser construir un nou sistema d’informació que recollís les necessitats identificades pels usuaris claus, aprofitant la gran motivació i predisposició del col·lectiu usuari a fer evolucionar el nou sistema d’informació.</w:t>
      </w:r>
    </w:p>
    <w:p w:rsidR="00055E6C" w:rsidRDefault="00055E6C" w:rsidP="006D0874">
      <w:r>
        <w:lastRenderedPageBreak/>
        <w:t>En el procés de transformació i canvi cap al nou sistema d’informació, l’anàlisi aconsellava dur a terme un procés d’evolució no rupturista i en convivència amb els sistemes actuals. Partint de la base que, malgrat l’obsolescència, els sistemes actuals disposen d’informació fiable, el nou sistema d’informació s’hauria de desplegar de manera gradual i espaiada segons el possible ritme inversor del Departament i el grau d’absorció del nou coneixement per part dels usuaris, sense posar-ne en risc el funcionament.</w:t>
      </w:r>
    </w:p>
    <w:p w:rsidR="00055E6C" w:rsidRDefault="00055E6C" w:rsidP="006D0874">
      <w:r>
        <w:t>El nou sistema ha de fer realitat l’optimització dels serveis prestats pel Departament i la millora de la gestió, facilitar l’activitat diària, el coneixement de les situacions i la informació per prendre decisions, d’acord amb els paràmetres que siguin rellevants per fer-ho, als funcionaris i als comandaments de les direccions generals i de la Conselleria, i també als mateixos interns.</w:t>
      </w:r>
    </w:p>
    <w:p w:rsidR="00055E6C" w:rsidRDefault="00055E6C" w:rsidP="0070401F">
      <w:pPr>
        <w:pStyle w:val="Ttol2"/>
      </w:pPr>
      <w:bookmarkStart w:id="579" w:name="_Toc463470046"/>
      <w:bookmarkStart w:id="580" w:name="_Toc464685735"/>
      <w:bookmarkStart w:id="581" w:name="_Toc465293473"/>
      <w:r>
        <w:t>Punts de referència internacional</w:t>
      </w:r>
      <w:bookmarkEnd w:id="579"/>
      <w:bookmarkEnd w:id="580"/>
      <w:bookmarkEnd w:id="581"/>
    </w:p>
    <w:p w:rsidR="00055E6C" w:rsidRDefault="00055E6C" w:rsidP="006D0874">
      <w:r w:rsidRPr="00AA0A5C">
        <w:t>D</w:t>
      </w:r>
      <w:r>
        <w:t xml:space="preserve">esprés de disposar de l’anàlisi anterior, i davant el repte d’haver d’afrontar la implantació d’un nou sistema d’informació que superés </w:t>
      </w:r>
      <w:r w:rsidRPr="00AA0A5C">
        <w:t>la situació d’alta obsolescència tècnica i funcional dels actuals sistemes d’informació d’execuc</w:t>
      </w:r>
      <w:r>
        <w:t>ió penal, l’any 2014, es va dur a terme</w:t>
      </w:r>
      <w:r w:rsidRPr="00AA0A5C">
        <w:t xml:space="preserve"> </w:t>
      </w:r>
      <w:r>
        <w:t xml:space="preserve">també </w:t>
      </w:r>
      <w:r w:rsidRPr="00AA0A5C">
        <w:t>un</w:t>
      </w:r>
      <w:r>
        <w:t>a</w:t>
      </w:r>
      <w:r w:rsidRPr="00AA0A5C">
        <w:t xml:space="preserve"> </w:t>
      </w:r>
      <w:r>
        <w:t>comparativa d</w:t>
      </w:r>
      <w:r w:rsidRPr="00AA0A5C">
        <w:t>e solucions de mercat i co</w:t>
      </w:r>
      <w:r>
        <w:t xml:space="preserve">mpanyies tecnològiques que poguessin </w:t>
      </w:r>
      <w:r w:rsidRPr="00AA0A5C">
        <w:t>servir per donar resposta a les necessitats de gestió de l’execució penal en un marc de modernització, eficàcia, eficiència i interoperabilitat.</w:t>
      </w:r>
    </w:p>
    <w:p w:rsidR="00055E6C" w:rsidRDefault="00055E6C" w:rsidP="006D0874">
      <w:r>
        <w:t xml:space="preserve">Es tractava de revisar les millors pràctiques d’aplicació de les tecnologies de la informació i la comunicació en l’àmbit de l’execució penal a nivell internacional, a fi de poder detectar funcionalitats no establertes pel Departament, com de conèixer productes que hi ha amb possibilitats de ser utilitzats i d’aprofitar-ne l’experiència. </w:t>
      </w:r>
    </w:p>
    <w:p w:rsidR="00055E6C" w:rsidRDefault="00055E6C" w:rsidP="006D0874">
      <w:r>
        <w:t>Els objectius del projecte es van centrar a analitzar aspectes com les alternatives que hi ha al mercat en solucions de gestió penitenciària que poguessin satisfer les necessitats del Departament de Justícia en el futur i la viabilitat com a empresa dels fabricants de les solucions, així com les garanties d’evolució i suport futur que presentaven, la capacitat en recursos a curt, mitjà i llarg termini per garantir una correcta implantació, les prestacions i nivell de cobertura de les necessitats del Departament en aquell moment i en el futur.</w:t>
      </w:r>
    </w:p>
    <w:p w:rsidR="00055E6C" w:rsidRDefault="00055E6C" w:rsidP="006D0874">
      <w:r>
        <w:t xml:space="preserve">Es van analitzar les solucions adoptades per diferents administracions, principalment però no exclusivament de l’àmbit europeu, així com alguns productes de proveïdor que hi ha en el mercat internacional.  </w:t>
      </w:r>
    </w:p>
    <w:p w:rsidR="00055E6C" w:rsidRDefault="00055E6C" w:rsidP="006D0874">
      <w:r>
        <w:t xml:space="preserve">Es va poder determinar que hi ha implantats molt pocs sistemes d’informació comercials per donar suport a la gestió penitenciària, i en general només cobreixen determinades funcionalitats concretes, però no són aplicables a la globalitat del sistema. En la gran majoria d’àmbits geogràfics s’ha optat per adoptar solucions construïdes a mida.  </w:t>
      </w:r>
    </w:p>
    <w:p w:rsidR="00055E6C" w:rsidRDefault="00055E6C" w:rsidP="006D0874">
      <w:r>
        <w:t>Les conclusions de l’estudi van revelar, doncs, que no hi ha solucions de mercat amb l’abast complet de les necessitats del Departament, sinó que totes requereixen adaptacions i desenvolupaments a mida, i que els fabricants sovint són empreses petites o amb poca implantació en el mercat català.</w:t>
      </w:r>
    </w:p>
    <w:p w:rsidR="00055E6C" w:rsidRPr="004251D0" w:rsidRDefault="00055E6C" w:rsidP="006D0874">
      <w:r w:rsidRPr="004251D0">
        <w:t xml:space="preserve">Addicionalment, l’anàlisi </w:t>
      </w:r>
      <w:r>
        <w:t>efectuada</w:t>
      </w:r>
      <w:r w:rsidRPr="004251D0">
        <w:t xml:space="preserve"> va permetre detectar </w:t>
      </w:r>
      <w:r>
        <w:t>determinades</w:t>
      </w:r>
      <w:r w:rsidRPr="004251D0">
        <w:t xml:space="preserve"> funcionalitats que des del Departament no s’</w:t>
      </w:r>
      <w:r>
        <w:t xml:space="preserve">havien previst, com per exemple, </w:t>
      </w:r>
      <w:r w:rsidRPr="004251D0">
        <w:t xml:space="preserve">l’autoservei per als interns, les possibilitats d’ensenyament a distància i la monitorització electrònica. </w:t>
      </w:r>
    </w:p>
    <w:p w:rsidR="00055E6C" w:rsidRPr="004251D0" w:rsidRDefault="00055E6C" w:rsidP="006D0874">
      <w:r w:rsidRPr="004251D0">
        <w:t xml:space="preserve">Les recomanacions de l’estudi aconsellaven que a l’hora d’abordar la renovació dels sistemes d’informació es treballés amb integradors i no directament amb els fabricants, per tal d’aïllar possibles riscos de viabilitat d’aquests darrers. </w:t>
      </w:r>
    </w:p>
    <w:p w:rsidR="00055E6C" w:rsidRDefault="00055E6C" w:rsidP="006D0874">
      <w:r w:rsidRPr="004251D0">
        <w:lastRenderedPageBreak/>
        <w:t>Expressaven també la n</w:t>
      </w:r>
      <w:r>
        <w:t>ecessitat d’un desenvolupament</w:t>
      </w:r>
      <w:r w:rsidRPr="004251D0">
        <w:t xml:space="preserve"> a mida, o bé delegar la proposta de producte a la proposta de l’integrador</w:t>
      </w:r>
      <w:r>
        <w:t>,</w:t>
      </w:r>
      <w:r w:rsidRPr="004251D0">
        <w:t xml:space="preserve"> </w:t>
      </w:r>
      <w:r>
        <w:t>atès</w:t>
      </w:r>
      <w:r w:rsidRPr="004251D0">
        <w:t xml:space="preserve"> que no hi ha solucions tancades que siguin completes i suficients; per tant, qualsevol producte a adoptar requerir</w:t>
      </w:r>
      <w:r>
        <w:t>ia</w:t>
      </w:r>
      <w:r w:rsidRPr="004251D0">
        <w:t xml:space="preserve"> de la seva integració en un sistema global. En definitiva, caldria deixar la decisió de fer un</w:t>
      </w:r>
      <w:r>
        <w:t xml:space="preserve"> desenvolupament a mida o bé d’adoptar i integrar un o diversos productes comercials per al moment de fer la licitació. </w:t>
      </w:r>
    </w:p>
    <w:p w:rsidR="00055E6C" w:rsidRDefault="00055E6C" w:rsidP="006D0874">
      <w:r>
        <w:t xml:space="preserve">Es va identificar finalment que, abans de començar amb la implantació d’un nou sistema, es feia necessari aprofundir en detall en les funcionalitats a cobrir, atès que no sempre hi havia prou coneixement dins el Departament, per descriure bé no únicament el sistema a implantar, tenint en compte l’aplicació de les noves tecnologies, sinó també els sistemes verticals i solucions horitzontals que hi ha i amb qui caldrà integrar-se. I en paral·lel, definir estratègies de desplegament que garanteixin la convivència en el temps amb els sistemes actuals i una implantació gradual.  </w:t>
      </w:r>
    </w:p>
    <w:p w:rsidR="00055E6C" w:rsidRDefault="00055E6C" w:rsidP="0070401F">
      <w:pPr>
        <w:pStyle w:val="Ttol2"/>
      </w:pPr>
      <w:bookmarkStart w:id="582" w:name="_Toc463470047"/>
      <w:bookmarkStart w:id="583" w:name="_Toc464685736"/>
      <w:bookmarkStart w:id="584" w:name="_Toc465293474"/>
      <w:r w:rsidRPr="00803DEF">
        <w:t xml:space="preserve">Palanques </w:t>
      </w:r>
      <w:r w:rsidRPr="005B4C56">
        <w:t>tecnològiques</w:t>
      </w:r>
      <w:bookmarkEnd w:id="582"/>
      <w:bookmarkEnd w:id="583"/>
      <w:bookmarkEnd w:id="584"/>
    </w:p>
    <w:p w:rsidR="00055E6C" w:rsidRPr="00345181" w:rsidRDefault="00055E6C" w:rsidP="006D0874">
      <w:r>
        <w:t xml:space="preserve">Arran de l’anàlisi de la situació actual dels sistemes d’informació i la comparativa de sistemes a nivell internacional, es van identificar una sèrie de palanques tecnològiques que, aplicades als procediments de l’execució penal, en podien facilitar l’homogeneïtzació i simplificació, dotar-los d’un alt grau d’eficàcia i eficiència que permetés superar l’obsolescència dels sistemes actuals, alhora que alinearien els sistemes d’informació de l’execució penal amb les actuals tendències de transformació digital i impulsarien la seva evolució i interoperabilitat amb altres sistemes. </w:t>
      </w:r>
    </w:p>
    <w:p w:rsidR="00055E6C" w:rsidRDefault="00055E6C" w:rsidP="0070401F">
      <w:pPr>
        <w:pStyle w:val="Ttol3"/>
      </w:pPr>
      <w:bookmarkStart w:id="585" w:name="_Toc463470048"/>
      <w:bookmarkStart w:id="586" w:name="_Toc464685737"/>
      <w:bookmarkStart w:id="587" w:name="_Toc465293475"/>
      <w:r w:rsidRPr="005B4C56">
        <w:t>Expedient</w:t>
      </w:r>
      <w:r>
        <w:t xml:space="preserve"> electrònic i tramitació</w:t>
      </w:r>
      <w:bookmarkEnd w:id="585"/>
      <w:bookmarkEnd w:id="586"/>
      <w:bookmarkEnd w:id="587"/>
      <w:r>
        <w:t xml:space="preserve">  </w:t>
      </w:r>
    </w:p>
    <w:p w:rsidR="00055E6C" w:rsidRDefault="00055E6C" w:rsidP="006D0874">
      <w:r>
        <w:t xml:space="preserve">L’expedient electrònic de l’execució penal a Catalunya ha de ser l’eix vertebrador de dades i documents a l’hora de dur a terme els diferents procediments de l’execució penal, en tots els seus àmbits. </w:t>
      </w:r>
    </w:p>
    <w:p w:rsidR="00055E6C" w:rsidRDefault="00055E6C" w:rsidP="006D0874">
      <w:r w:rsidRPr="006D5FF6">
        <w:t>L</w:t>
      </w:r>
      <w:r>
        <w:t xml:space="preserve">’expedient electrònic ha de concentrar tota la informació relacionada amb les persones subjectes a l’execució penal en un repositori únic de dades i documents, durant tot el cicle de vida en què tinguin relació amb el sistema penal. </w:t>
      </w:r>
    </w:p>
    <w:p w:rsidR="00055E6C" w:rsidRPr="004251D0" w:rsidRDefault="00055E6C" w:rsidP="006D0874">
      <w:r>
        <w:t xml:space="preserve">La tramitació electrònica permet executar les tasques relacionades amb cadascun dels procediments de manera ordenada i guiada, seguint els diferents fluxos del sistema segons els rols de cadascun dels usuaris i el seu àmbit funcional, unitat organitzativa i unitat </w:t>
      </w:r>
      <w:r w:rsidRPr="004251D0">
        <w:t xml:space="preserve">territorial.  </w:t>
      </w:r>
    </w:p>
    <w:p w:rsidR="00055E6C" w:rsidRDefault="00055E6C" w:rsidP="006D0874">
      <w:r w:rsidRPr="004251D0">
        <w:t>La tramitació electrònica s’ha de recolzar en un seguit d’eines i components tecnològics, que han de formar part d’una plataforma base de serveis tecnològics de la qual haurà de disposar el nou sistema d’informació, entre els quals destaquen la signatura electrònica (ja sigui ordinària, reconeguda, avançada o biomètrica segons les necessitats requerides en cada cas), l’autenticació de còpies</w:t>
      </w:r>
      <w:r>
        <w:t xml:space="preserve"> i la compulsa de documents per donar validesa legal a la tramitació electrònica i la utilització de safates de tasques que permeti el tractament sistematitzat i ordenat de les actuacions derivades dels diferents procediments. </w:t>
      </w:r>
    </w:p>
    <w:p w:rsidR="00055E6C" w:rsidRDefault="00055E6C" w:rsidP="0070401F">
      <w:pPr>
        <w:pStyle w:val="Ttol3"/>
      </w:pPr>
      <w:bookmarkStart w:id="588" w:name="_Toc463470049"/>
      <w:bookmarkStart w:id="589" w:name="_Toc464685738"/>
      <w:bookmarkStart w:id="590" w:name="_Toc465293476"/>
      <w:r>
        <w:t>Sistemes de biometria i altres components tecnològics específics</w:t>
      </w:r>
      <w:bookmarkEnd w:id="588"/>
      <w:bookmarkEnd w:id="589"/>
      <w:bookmarkEnd w:id="590"/>
    </w:p>
    <w:p w:rsidR="00055E6C" w:rsidRDefault="00055E6C" w:rsidP="006D0874">
      <w:r>
        <w:t>Els sistemes d’autenticació biomètrica, ja sigui d’empre</w:t>
      </w:r>
      <w:r w:rsidRPr="008463CB">
        <w:t>mtes</w:t>
      </w:r>
      <w:r>
        <w:t xml:space="preserve"> dactilars, mapes</w:t>
      </w:r>
      <w:r w:rsidRPr="008463CB">
        <w:t xml:space="preserve"> de venes</w:t>
      </w:r>
      <w:r>
        <w:t xml:space="preserve"> de les mans o altres, poden aportar una sèrie de beneficis a nivell de seguretat, perquè permeten identificar de forma segura les diferents persones que interactuen amb el sistema a tots nivells, però també altres com la reducció de l’entrada manual de dades al sistema i, </w:t>
      </w:r>
      <w:r>
        <w:lastRenderedPageBreak/>
        <w:t xml:space="preserve">per tant, disminució d’errors i augment de la fiabilitat, simplificació de procediments i major eficiència.  </w:t>
      </w:r>
    </w:p>
    <w:p w:rsidR="00055E6C" w:rsidRDefault="00055E6C" w:rsidP="006D0874">
      <w:r>
        <w:t xml:space="preserve">Alguns dels procediments que es poden simplificar de manera significativa mitjançant l’ús de sistemes de biometria són: </w:t>
      </w:r>
    </w:p>
    <w:p w:rsidR="00055E6C" w:rsidRPr="004251D0" w:rsidRDefault="00055E6C" w:rsidP="006D0874">
      <w:r>
        <w:t xml:space="preserve">La identificació dels interns en els ingressos i trasllats als centres penitenciaris, que actualment es fa amb tinta i establint manualment les característiques de la fórmula dactiloscòpica; el recompte diari dels interns de centres penitenciaris; la mobilitat en l’interior dels centres; les entrades i sortides dels interns en centres oberts o seccions obertes, l’accés a </w:t>
      </w:r>
      <w:r w:rsidRPr="004251D0">
        <w:t xml:space="preserve">serveis i prestacions del centre, entre </w:t>
      </w:r>
      <w:r>
        <w:t>d’</w:t>
      </w:r>
      <w:r w:rsidRPr="004251D0">
        <w:t xml:space="preserve">altres. A més a més, si s’incorpora la identificació a través de dispositius de radiofreqüència com ara polseres, i amb el maquinari adient, es pot substituir la identificació en les màquines automàtiques de compra de productes, a l’economat o a les cabines telefòniques. </w:t>
      </w:r>
    </w:p>
    <w:p w:rsidR="00055E6C" w:rsidRDefault="00055E6C" w:rsidP="006D0874">
      <w:r w:rsidRPr="004251D0">
        <w:t>L’ús de l’autenticació biomètrica requereix una primera fase de registre, per capturar les dades biomètriques mitjançant el corresponent dispositiu, ja siguin les empremtes digitals, mapa de venes de la mà o altres, i emmagatzemar-ne les dades per</w:t>
      </w:r>
      <w:r>
        <w:t>què</w:t>
      </w:r>
      <w:r w:rsidRPr="004251D0">
        <w:t xml:space="preserve"> </w:t>
      </w:r>
      <w:r>
        <w:t>s’hi pugui</w:t>
      </w:r>
      <w:r w:rsidRPr="004251D0">
        <w:t xml:space="preserve"> acce</w:t>
      </w:r>
      <w:r>
        <w:t>dir amb</w:t>
      </w:r>
      <w:r w:rsidRPr="004251D0">
        <w:t xml:space="preserve"> </w:t>
      </w:r>
      <w:r>
        <w:t>e</w:t>
      </w:r>
      <w:r w:rsidRPr="004251D0">
        <w:t>ls sistemes que les necessitin</w:t>
      </w:r>
      <w:r>
        <w:t>;</w:t>
      </w:r>
      <w:r w:rsidRPr="004251D0">
        <w:t xml:space="preserve"> i una segona fase que és l’autenticació pròpiament dita, en la qual cal llegir les dades biomètriques, també mitjançant un dispositiu, i comparar les dades llegides amb les emmagatzemades.</w:t>
      </w:r>
      <w:r>
        <w:t xml:space="preserve"> </w:t>
      </w:r>
    </w:p>
    <w:p w:rsidR="00055E6C" w:rsidRDefault="00055E6C" w:rsidP="0070401F">
      <w:pPr>
        <w:pStyle w:val="Ttol3"/>
      </w:pPr>
      <w:bookmarkStart w:id="591" w:name="_Toc463470050"/>
      <w:bookmarkStart w:id="592" w:name="_Toc464685739"/>
      <w:bookmarkStart w:id="593" w:name="_Toc465293477"/>
      <w:r w:rsidRPr="005B4C56">
        <w:t>Interoperabilitat</w:t>
      </w:r>
      <w:bookmarkEnd w:id="591"/>
      <w:bookmarkEnd w:id="592"/>
      <w:bookmarkEnd w:id="593"/>
    </w:p>
    <w:p w:rsidR="00055E6C" w:rsidRPr="004251D0" w:rsidRDefault="00055E6C" w:rsidP="006D0874">
      <w:r w:rsidRPr="004251D0">
        <w:t>La interoperabilitat és la capacitat d’un sistema d’informació per intercanviar informació amb altres sistemes i utilitzar aquesta informació compartida, amb el principal objectiu d’obtenir</w:t>
      </w:r>
      <w:r>
        <w:t>-ne</w:t>
      </w:r>
      <w:r w:rsidRPr="004251D0">
        <w:t xml:space="preserve"> beneficis mutus. La interoperabilitat proporciona accés immediat</w:t>
      </w:r>
      <w:r>
        <w:t xml:space="preserve"> a informació d’altres sistemes,</w:t>
      </w:r>
      <w:r w:rsidRPr="004251D0">
        <w:t xml:space="preserve"> per tant</w:t>
      </w:r>
      <w:r>
        <w:t>,</w:t>
      </w:r>
      <w:r w:rsidRPr="004251D0">
        <w:t xml:space="preserve"> </w:t>
      </w:r>
      <w:r>
        <w:t>s’</w:t>
      </w:r>
      <w:r w:rsidRPr="004251D0">
        <w:t xml:space="preserve">evita la duplicitat del registre d’informació i </w:t>
      </w:r>
      <w:r>
        <w:t xml:space="preserve">es </w:t>
      </w:r>
      <w:r w:rsidRPr="004251D0">
        <w:t>minimitza el risc de desactualització o inconsistència de les dades</w:t>
      </w:r>
      <w:r>
        <w:t>, fet que</w:t>
      </w:r>
      <w:r w:rsidRPr="004251D0">
        <w:t xml:space="preserve"> permet un a</w:t>
      </w:r>
      <w:r>
        <w:t>lt nivell d’aprofitament de sine</w:t>
      </w:r>
      <w:r w:rsidRPr="004251D0">
        <w:t xml:space="preserve">rgies. </w:t>
      </w:r>
    </w:p>
    <w:p w:rsidR="00055E6C" w:rsidRDefault="00055E6C" w:rsidP="006D0874">
      <w:r w:rsidRPr="004251D0">
        <w:t>En aquest sentit el sistema d’informació de l’execució penal haurà d’inter</w:t>
      </w:r>
      <w:r>
        <w:t xml:space="preserve">actuar </w:t>
      </w:r>
      <w:r w:rsidRPr="004251D0">
        <w:t>amb els sistemes d’informació de l’àmbit judicial, amb els sistemes d’informació d’</w:t>
      </w:r>
      <w:r>
        <w:t>i</w:t>
      </w:r>
      <w:r w:rsidRPr="004251D0">
        <w:t xml:space="preserve">nstitucions </w:t>
      </w:r>
      <w:r>
        <w:t>p</w:t>
      </w:r>
      <w:r w:rsidRPr="004251D0">
        <w:t>enitenciàries de l’Estat, els dels Mossos d’Esquadra i altres cossos policials, els sistemes dels departaments de Salu</w:t>
      </w:r>
      <w:r>
        <w:t>t, Ensenyament, Treball, Afers S</w:t>
      </w:r>
      <w:r w:rsidRPr="004251D0">
        <w:t xml:space="preserve">ocials i </w:t>
      </w:r>
      <w:r>
        <w:t>F</w:t>
      </w:r>
      <w:r w:rsidRPr="004251D0">
        <w:t>amíli</w:t>
      </w:r>
      <w:r>
        <w:t>es</w:t>
      </w:r>
      <w:r w:rsidRPr="004251D0">
        <w:t>, i de tots els altres organismes que intervinguin en l’àmbit de l’execució penal</w:t>
      </w:r>
      <w:r>
        <w:t>;</w:t>
      </w:r>
      <w:r w:rsidRPr="004251D0">
        <w:t xml:space="preserve"> ja siguin públics, com departaments, empreses públiques i ministeris, o privats, com entitats col·laboradores i proveïdors.</w:t>
      </w:r>
      <w:r>
        <w:t xml:space="preserve"> </w:t>
      </w:r>
    </w:p>
    <w:p w:rsidR="00055E6C" w:rsidRDefault="00055E6C" w:rsidP="0070401F">
      <w:pPr>
        <w:pStyle w:val="Ttol3"/>
      </w:pPr>
      <w:bookmarkStart w:id="594" w:name="_Toc463470051"/>
      <w:bookmarkStart w:id="595" w:name="_Toc464685740"/>
      <w:bookmarkStart w:id="596" w:name="_Toc465293478"/>
      <w:r w:rsidRPr="005B4C56">
        <w:t>Autoservei</w:t>
      </w:r>
      <w:bookmarkEnd w:id="594"/>
      <w:bookmarkEnd w:id="595"/>
      <w:bookmarkEnd w:id="596"/>
    </w:p>
    <w:p w:rsidR="00055E6C" w:rsidRDefault="00055E6C" w:rsidP="006D0874">
      <w:r>
        <w:t xml:space="preserve">L’autoservei dels usuaris, ja sigui interns, mitjançant sistemes interactius instal·lats en zones comunes dels centres, o externs, mitjançant un portal que permeti la interacció dels usuaris amb el sistema, és una altra de les fonts que pot aportar un alt nivell d’eficiència al sistema, alhora que incrementar la satisfacció dels usuaris. </w:t>
      </w:r>
    </w:p>
    <w:p w:rsidR="00055E6C" w:rsidRDefault="00055E6C" w:rsidP="006D0874">
      <w:r>
        <w:t xml:space="preserve">La incorporació de punts d’informació i serveis poden permetre als interns accedir a un conjunt de serveis de consulta i de peticions posats a la seva disposició, com poden ser la consulta de la seva fitxa processal i penal, les activitats que té assignades al centre, les sortides programades, la presentació de peticions, queixes i recursos, consulta de saldo i peticions de reintegraments en el peculi, peticions de visites i comunicacions, serveis de formació, entre d’altres. </w:t>
      </w:r>
    </w:p>
    <w:p w:rsidR="009A1F67" w:rsidRDefault="009A1F67" w:rsidP="006D0874"/>
    <w:p w:rsidR="00055E6C" w:rsidRDefault="00055E6C" w:rsidP="0070401F">
      <w:pPr>
        <w:pStyle w:val="Ttol2"/>
      </w:pPr>
      <w:bookmarkStart w:id="597" w:name="_Toc463470052"/>
      <w:bookmarkStart w:id="598" w:name="_Toc464685741"/>
      <w:bookmarkStart w:id="599" w:name="_Toc465293479"/>
      <w:r w:rsidRPr="005B4C56">
        <w:lastRenderedPageBreak/>
        <w:t>Enfocament</w:t>
      </w:r>
      <w:r w:rsidRPr="00803DEF">
        <w:t xml:space="preserve"> del </w:t>
      </w:r>
      <w:r>
        <w:t>n</w:t>
      </w:r>
      <w:r w:rsidRPr="00803DEF">
        <w:t xml:space="preserve">ou </w:t>
      </w:r>
      <w:r>
        <w:t>sistema d’i</w:t>
      </w:r>
      <w:r w:rsidRPr="00803DEF">
        <w:t>nformació</w:t>
      </w:r>
      <w:bookmarkEnd w:id="597"/>
      <w:bookmarkEnd w:id="598"/>
      <w:bookmarkEnd w:id="599"/>
    </w:p>
    <w:p w:rsidR="005B4C56" w:rsidRPr="005B4C56" w:rsidRDefault="005B4C56" w:rsidP="005B4C56"/>
    <w:p w:rsidR="00055E6C" w:rsidRPr="008F75AC" w:rsidRDefault="00055E6C" w:rsidP="0070401F">
      <w:pPr>
        <w:pStyle w:val="Ttol3"/>
      </w:pPr>
      <w:bookmarkStart w:id="600" w:name="_Toc463470053"/>
      <w:bookmarkStart w:id="601" w:name="_Toc464685742"/>
      <w:bookmarkStart w:id="602" w:name="_Toc465293480"/>
      <w:r>
        <w:t>Model de gestió de procediments</w:t>
      </w:r>
      <w:bookmarkEnd w:id="600"/>
      <w:bookmarkEnd w:id="601"/>
      <w:bookmarkEnd w:id="602"/>
    </w:p>
    <w:p w:rsidR="00055E6C" w:rsidRDefault="00055E6C" w:rsidP="006D0874">
      <w:r>
        <w:t>Per tal d’abordar el nou sistema d’informació de l’execució penal a Catalunya (SIEP), a finals de l’any 2014 es va iniciar un projecte d’a</w:t>
      </w:r>
      <w:r w:rsidRPr="00E614E8">
        <w:t>nàlisi de</w:t>
      </w:r>
      <w:r>
        <w:t>l mo</w:t>
      </w:r>
      <w:r w:rsidRPr="00E614E8">
        <w:t xml:space="preserve">del de gestió de procediments i </w:t>
      </w:r>
      <w:r>
        <w:t xml:space="preserve">definició funcional d’alt nivell, amb l’objectiu de caracteritzar tots els procediments de l’execució penal des de la perspectiva de la racionalització, definir un mapa de processos i funcionalitats i una anàlisi funcional d’alt nivell, definir una estratègia d’implantació gradual del nou sistema tenint en compte el paral·lelisme i la convivència amb els sistemes actuals, i definir un projecte qualificat de construcció i implantació del nou SIEP. </w:t>
      </w:r>
    </w:p>
    <w:p w:rsidR="00055E6C" w:rsidRDefault="00055E6C" w:rsidP="006D0874">
      <w:r>
        <w:t xml:space="preserve">Es pretén que el nou sistema abasti la globalitat dels procediments de l’execució penal, per tant inclou tant l’àmbit funcional d’adults sotmesos a l’execució penal com el dels menors, i preveu també l’atenció a les víctimes en tots dos casos. </w:t>
      </w:r>
    </w:p>
    <w:p w:rsidR="00055E6C" w:rsidRDefault="00055E6C" w:rsidP="006D0874">
      <w:r>
        <w:t>Des de desembre de 2014 fins al febrer de 2015 es van preparar tota una sèrie de s</w:t>
      </w:r>
      <w:r w:rsidRPr="00427C06">
        <w:t xml:space="preserve">essions de treball amb els diferents equips funcionals </w:t>
      </w:r>
      <w:r>
        <w:t xml:space="preserve">durant les quals es van inventariar inicialment més de 600 procediments que, després de </w:t>
      </w:r>
      <w:r w:rsidRPr="00427C06">
        <w:t>l’homogeneïtzació necessària i la seva racionalització</w:t>
      </w:r>
      <w:r>
        <w:t xml:space="preserve"> queden integrats en uns 285 </w:t>
      </w:r>
      <w:r w:rsidRPr="00427C06">
        <w:t>procedim</w:t>
      </w:r>
      <w:r>
        <w:t xml:space="preserve">ents propis de l’execució penal. Com a resultat del projecte, es disposa de la descripció de tots aquests documents, amb les seves tasques </w:t>
      </w:r>
      <w:r w:rsidRPr="00427C06">
        <w:t>defini</w:t>
      </w:r>
      <w:r>
        <w:t xml:space="preserve">des i </w:t>
      </w:r>
      <w:r w:rsidRPr="00427C06">
        <w:t>caracteritza</w:t>
      </w:r>
      <w:r>
        <w:t xml:space="preserve">des.  </w:t>
      </w:r>
    </w:p>
    <w:p w:rsidR="00055E6C" w:rsidRDefault="00055E6C" w:rsidP="006D0874"/>
    <w:p w:rsidR="00055E6C" w:rsidRDefault="00055E6C" w:rsidP="006D0874">
      <w:r w:rsidRPr="00647059">
        <w:rPr>
          <w:noProof/>
          <w:lang w:eastAsia="ca-ES"/>
        </w:rPr>
        <w:drawing>
          <wp:inline distT="0" distB="0" distL="0" distR="0" wp14:anchorId="25FD39D5" wp14:editId="7EA05799">
            <wp:extent cx="5612130" cy="3352165"/>
            <wp:effectExtent l="0" t="0" r="7620" b="635"/>
            <wp:docPr id="4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a:blip r:embed="rId89" cstate="print"/>
                    <a:stretch>
                      <a:fillRect/>
                    </a:stretch>
                  </pic:blipFill>
                  <pic:spPr>
                    <a:xfrm>
                      <a:off x="0" y="0"/>
                      <a:ext cx="5612130" cy="3352165"/>
                    </a:xfrm>
                    <a:prstGeom prst="rect">
                      <a:avLst/>
                    </a:prstGeom>
                  </pic:spPr>
                </pic:pic>
              </a:graphicData>
            </a:graphic>
          </wp:inline>
        </w:drawing>
      </w:r>
    </w:p>
    <w:p w:rsidR="00055E6C" w:rsidRDefault="009A1F67" w:rsidP="006D0874">
      <w:pPr>
        <w:pStyle w:val="Llegenda"/>
      </w:pPr>
      <w:bookmarkStart w:id="603" w:name="_Toc465293862"/>
      <w:r>
        <w:t>Gràfic</w:t>
      </w:r>
      <w:r w:rsidR="00055E6C">
        <w:t xml:space="preserve"> </w:t>
      </w:r>
      <w:r w:rsidR="00DB496B">
        <w:fldChar w:fldCharType="begin"/>
      </w:r>
      <w:r w:rsidR="00DB496B">
        <w:instrText xml:space="preserve"> SEQ Il·lustració \* ARABIC </w:instrText>
      </w:r>
      <w:r w:rsidR="00DB496B">
        <w:fldChar w:fldCharType="separate"/>
      </w:r>
      <w:r w:rsidR="00C952DF">
        <w:rPr>
          <w:noProof/>
        </w:rPr>
        <w:t>55</w:t>
      </w:r>
      <w:r w:rsidR="00DB496B">
        <w:rPr>
          <w:noProof/>
        </w:rPr>
        <w:fldChar w:fldCharType="end"/>
      </w:r>
      <w:r w:rsidR="00055E6C">
        <w:t xml:space="preserve"> </w:t>
      </w:r>
      <w:r w:rsidR="00055E6C" w:rsidRPr="00647059">
        <w:t xml:space="preserve">Mapa de funcionalitats </w:t>
      </w:r>
      <w:r w:rsidR="00055E6C">
        <w:t xml:space="preserve">del nou sistema d’informació de l’execució penal </w:t>
      </w:r>
      <w:r w:rsidR="00055E6C" w:rsidRPr="00647059">
        <w:t>en l’àmbit d’adults</w:t>
      </w:r>
      <w:bookmarkEnd w:id="603"/>
    </w:p>
    <w:p w:rsidR="00055E6C" w:rsidRDefault="00055E6C" w:rsidP="006D0874"/>
    <w:p w:rsidR="00055E6C" w:rsidRPr="004251D0" w:rsidRDefault="00055E6C" w:rsidP="006D0874">
      <w:r w:rsidRPr="004251D0">
        <w:t xml:space="preserve">Dins el marc del mateix projecte es </w:t>
      </w:r>
      <w:r>
        <w:t>va dur a terme</w:t>
      </w:r>
      <w:r w:rsidRPr="004251D0">
        <w:t xml:space="preserve"> també una anàlisi funcional d’alt nivell del que haurà de ser el SIEP, i tenint en consideració tot l’estudi </w:t>
      </w:r>
      <w:r>
        <w:t>efectuat</w:t>
      </w:r>
      <w:r w:rsidRPr="004251D0">
        <w:t xml:space="preserve">, incloent la definició de l’expedient electrònic i la resta de palanques tecnològiques identificades, s’arriba a una </w:t>
      </w:r>
      <w:r w:rsidRPr="004251D0">
        <w:lastRenderedPageBreak/>
        <w:t>definició de com ha de ser el nou sistema, així com a una qualificació del projecte de disseny, construcció i desplegament del nou SIEP.</w:t>
      </w:r>
    </w:p>
    <w:p w:rsidR="00055E6C" w:rsidRDefault="00055E6C" w:rsidP="006D0874">
      <w:r w:rsidRPr="004251D0">
        <w:t>La definició del sistema i la qualificació del projecte d’implementació cobreixen integralment totes les necessitats identificades, i pivota al voltant del concepte d’</w:t>
      </w:r>
      <w:r>
        <w:t>e</w:t>
      </w:r>
      <w:r w:rsidRPr="004251D0">
        <w:t xml:space="preserve">xpedient </w:t>
      </w:r>
      <w:r>
        <w:t>e</w:t>
      </w:r>
      <w:r w:rsidRPr="004251D0">
        <w:t>lectrònic d’</w:t>
      </w:r>
      <w:r>
        <w:t>e</w:t>
      </w:r>
      <w:r w:rsidRPr="004251D0">
        <w:t xml:space="preserve">xecució </w:t>
      </w:r>
      <w:r>
        <w:t>p</w:t>
      </w:r>
      <w:r w:rsidRPr="004251D0">
        <w:t>enal (e3P), el qual ha de concentrar tota la informació relacionada amb les persones subjectes a procediments de l’execució penal en un repositori únic de dades i documents, durant tot el cicle de vida en què tinguin relació amb el sistema penal. Els</w:t>
      </w:r>
      <w:r>
        <w:t xml:space="preserve"> expedients poden ser de menors i joves, d’adults, o de víctimes, que són els tres col·lectius objecte dels procediments propis de l’execució penal. </w:t>
      </w:r>
    </w:p>
    <w:p w:rsidR="00055E6C" w:rsidRDefault="00055E6C" w:rsidP="006D0874">
      <w:r>
        <w:t xml:space="preserve">El SIEP estableix la interacció amb diferents grups d’usuaris, el principal dels quals és el d’usuaris interns, és a dir, funcionaris de centres penitenciaris i centres educatius o treballadors dels Serveis Centrals del Departament, que són els principals responsables de dur a terme tots els procediments. Però es preveu també que determinats usuaris externs, com familiars dels interns, visitants o proveïdors, puguin interactuar amb el sistema per tal de facilitar-los l’autonomia a l’hora d’efectuar determinades tasques i dotar la globalitat de sistema de més eficiència. La interoperabilitat amb altres sistemes és una altra de les formes amb què es pot interactuar amb el SIEP, i l’objectiu és que tota aquella informació relacionada amb procediments de l’execució penal que es pugui obtenir d’altres sistemes d’informació, ja sigui d’altres àmbits del Departament com l’Administració de justícia o d’altres organismes com poden ser Salut, Mossos, etc., es reculli de forma automatitzada sense necessitat de tornar-la a introduir. </w:t>
      </w:r>
    </w:p>
    <w:p w:rsidR="00055E6C" w:rsidRDefault="00055E6C" w:rsidP="006D0874">
      <w:r>
        <w:rPr>
          <w:noProof/>
          <w:lang w:eastAsia="ca-ES"/>
        </w:rPr>
        <w:drawing>
          <wp:inline distT="0" distB="0" distL="0" distR="0" wp14:anchorId="684D83C3" wp14:editId="00C4C15C">
            <wp:extent cx="5612130" cy="4138930"/>
            <wp:effectExtent l="0" t="0" r="7620" b="0"/>
            <wp:docPr id="41" name="Imat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cstate="print"/>
                    <a:stretch>
                      <a:fillRect/>
                    </a:stretch>
                  </pic:blipFill>
                  <pic:spPr>
                    <a:xfrm>
                      <a:off x="0" y="0"/>
                      <a:ext cx="5612130" cy="4138930"/>
                    </a:xfrm>
                    <a:prstGeom prst="rect">
                      <a:avLst/>
                    </a:prstGeom>
                  </pic:spPr>
                </pic:pic>
              </a:graphicData>
            </a:graphic>
          </wp:inline>
        </w:drawing>
      </w:r>
    </w:p>
    <w:p w:rsidR="00055E6C" w:rsidRDefault="009A1F67" w:rsidP="006D0874">
      <w:pPr>
        <w:pStyle w:val="Llegenda"/>
      </w:pPr>
      <w:bookmarkStart w:id="604" w:name="_Toc465293863"/>
      <w:r>
        <w:t>Gràfic</w:t>
      </w:r>
      <w:r w:rsidR="00055E6C">
        <w:t xml:space="preserve"> </w:t>
      </w:r>
      <w:r w:rsidR="00DB496B">
        <w:fldChar w:fldCharType="begin"/>
      </w:r>
      <w:r w:rsidR="00DB496B">
        <w:instrText xml:space="preserve"> SEQ Il·lustració \* ARABIC </w:instrText>
      </w:r>
      <w:r w:rsidR="00DB496B">
        <w:fldChar w:fldCharType="separate"/>
      </w:r>
      <w:r w:rsidR="00C952DF">
        <w:rPr>
          <w:noProof/>
        </w:rPr>
        <w:t>56</w:t>
      </w:r>
      <w:r w:rsidR="00DB496B">
        <w:rPr>
          <w:noProof/>
        </w:rPr>
        <w:fldChar w:fldCharType="end"/>
      </w:r>
      <w:r w:rsidR="00055E6C">
        <w:t xml:space="preserve"> Estructura del nou sistema d’informació de l’execució penal (SIEP)</w:t>
      </w:r>
      <w:bookmarkEnd w:id="604"/>
    </w:p>
    <w:p w:rsidR="00055E6C" w:rsidRDefault="00055E6C" w:rsidP="006D0874"/>
    <w:p w:rsidR="00055E6C" w:rsidRDefault="00055E6C" w:rsidP="006D0874">
      <w:r>
        <w:lastRenderedPageBreak/>
        <w:t xml:space="preserve">A nivell de funcionalitats, el SIEP establirà tots els processos específics de cadascun dels àmbits centrals de l’execució penal, com és el cas de la gestió penitenciària, les mesures penals alternatives, el medi obert i la llibertat condicional, l’assessorament tècnic i mediació, la rehabilitació i avaluació del risc o el control i seguretat interior dels centres. I inclourà també tots aquells processos de suport als anteriors, com poden ser els de gestió gerencial dels centres o els relacionats amb les prestacions materials i econòmiques, entre d’altres. I tots estaran suportats per una plataforma bàsica de serveis tecnològics que inclou aquelles funcions transversals que poden ser necessàries en determinats punts de la tramitació d’un alt nombre de processos, com la gestió documental, la signatura electrònica, la biometria o el control d’accés, entre d’altres. </w:t>
      </w:r>
    </w:p>
    <w:p w:rsidR="00055E6C" w:rsidRDefault="00055E6C" w:rsidP="0070401F">
      <w:pPr>
        <w:pStyle w:val="Ttol3"/>
      </w:pPr>
      <w:bookmarkStart w:id="605" w:name="_Toc463470054"/>
      <w:bookmarkStart w:id="606" w:name="_Toc464685743"/>
      <w:bookmarkStart w:id="607" w:name="_Toc465293481"/>
      <w:r>
        <w:t>Anàlisi funcional detallada</w:t>
      </w:r>
      <w:bookmarkEnd w:id="605"/>
      <w:bookmarkEnd w:id="606"/>
      <w:bookmarkEnd w:id="607"/>
    </w:p>
    <w:p w:rsidR="00055E6C" w:rsidRDefault="00055E6C" w:rsidP="006D0874">
      <w:r>
        <w:t xml:space="preserve">Un cop definit com haurà de ser el nou sistema d’informació, durant la segona meitat de 2015 i 2016 s’avança en l’anàlisi funcional detallada, que prosseguirà fins que es completi durant la primera meitat de 2017. L’objectiu és disposar, quan s’hagi acabat el projecte, de la definició del </w:t>
      </w:r>
      <w:r w:rsidRPr="00607D8C">
        <w:t>conjunt d'informació, estructures funcionals</w:t>
      </w:r>
      <w:r>
        <w:t xml:space="preserve">, </w:t>
      </w:r>
      <w:r w:rsidRPr="00607D8C">
        <w:t>accions necessàries</w:t>
      </w:r>
      <w:r>
        <w:t xml:space="preserve">, fluxos i actors que conformaran el nou sistema d'informació, de manera que a continuació se’n pugui iniciar la implementació, ja sigui construint-lo a partir d’aquesta definició, o bé configurant i adaptant a la definició algun o alguns dels productes que hi ha en el mercat a través d’un integrador. </w:t>
      </w:r>
    </w:p>
    <w:p w:rsidR="00055E6C" w:rsidRPr="008F75AC" w:rsidRDefault="00055E6C" w:rsidP="0070401F">
      <w:pPr>
        <w:pStyle w:val="Ttol3"/>
      </w:pPr>
      <w:bookmarkStart w:id="608" w:name="_Toc463470055"/>
      <w:bookmarkStart w:id="609" w:name="_Toc464685744"/>
      <w:bookmarkStart w:id="610" w:name="_Toc465293482"/>
      <w:r w:rsidRPr="005B4C56">
        <w:t>Passos</w:t>
      </w:r>
      <w:bookmarkEnd w:id="608"/>
      <w:r>
        <w:t xml:space="preserve"> següents</w:t>
      </w:r>
      <w:bookmarkEnd w:id="609"/>
      <w:bookmarkEnd w:id="610"/>
    </w:p>
    <w:p w:rsidR="00055E6C" w:rsidRDefault="00055E6C" w:rsidP="006D0874">
      <w:r>
        <w:t>La qualificació efectuada del nou sistema d’informació de l’execució penal de Catalunya inclou tant la construcció i desplegament del sistema d’informació, juntament amb la plataforma tecnològica sobre la qual s’ha d’executar i els serveis d’administració i manteniment associats, com l’arrendament dels components tecnològics específics com són els sistemes de biometria, els dispositius d’autenticació per a interns i per a funcionaris, lectors i antenes de radiofreqüència, i quioscos per a l’autoservei dels interns.</w:t>
      </w:r>
    </w:p>
    <w:p w:rsidR="00055E6C" w:rsidRDefault="00055E6C" w:rsidP="006D0874">
      <w:r>
        <w:t xml:space="preserve">Una possibilitat per tirar-ho endavant seria mitjançant un procés de contractació seguint el model de compra tecnològica innovadora, la qual cosa permetria licitar per un període relativament llarg de temps la construcció i desplegament del sistema, juntament amb tots els serveis associats tant els relacionats amb el sistema nou com amb l’antic durant el període de convivència, així com l’arrendament dels components tecnològics associats. Seguir una estratègia i procés de compra innovadora, mitjançant </w:t>
      </w:r>
      <w:r w:rsidRPr="0091076E">
        <w:t>cont</w:t>
      </w:r>
      <w:r>
        <w:t>ractes de col·laboració públic-</w:t>
      </w:r>
      <w:r w:rsidRPr="0091076E">
        <w:t>priva</w:t>
      </w:r>
      <w:r>
        <w:t>t</w:t>
      </w:r>
      <w:r w:rsidRPr="0091076E">
        <w:t xml:space="preserve"> </w:t>
      </w:r>
      <w:r>
        <w:t xml:space="preserve">permetria aplanar els costos de construcció i desplegament del sistema d’informació i l’adquisició o arrendament dels components tecnològics al llarg de tota la durada del contracte, que podria ser, per exemple, de 10 anys, alhora que oferiria la possibilitat d’acollir-se a certes subvencions europees i d’un determinat retorn de la inversió per comercialització de la solució per part del proveïdor. </w:t>
      </w:r>
    </w:p>
    <w:p w:rsidR="00055E6C" w:rsidRDefault="00055E6C" w:rsidP="006D0874">
      <w:r>
        <w:t xml:space="preserve">Tot i així, aquesta via de contractació requereix una forta inversió i compromís econòmic per part del Departament, i no és aquest el millor moment. </w:t>
      </w:r>
    </w:p>
    <w:p w:rsidR="00055E6C" w:rsidRDefault="00055E6C" w:rsidP="006D0874">
      <w:r>
        <w:t xml:space="preserve">Podria ser més aconsellable, doncs, abordar la construcció del sistema gradualment, començant per aquelles funcionalitats que aportin uns beneficis més immediats i que siguin més fàcilment aïllables, i implantar els components tecnològics també gradualment, començant pels que siguin més imprescindibles, com les empremtes dactilars per al control de les entrades i sortides dels interns, i anar ampliant el desplegament a mesura que la disponibilitat pressupostària ho permeti. </w:t>
      </w:r>
    </w:p>
    <w:p w:rsidR="00055E6C" w:rsidRDefault="00055E6C" w:rsidP="006D0874">
      <w:r>
        <w:t xml:space="preserve">Les següents passes, segons això, consistirien a seleccionar un bloc de funcionalitats amb les quals començar la implementació, i contractar-les dins el marc dels contractes </w:t>
      </w:r>
      <w:r>
        <w:lastRenderedPageBreak/>
        <w:t xml:space="preserve">d’aplicacions corporatius actuals, així com iniciar la posada en marxa d’un sistema d’empremtes dactilars, limitat inicialment a gestionar l’entrada i sortida dels interns d’un parell de centres, per anar-lo estenent posteriorment i de manera progressiva a més centres abans d’ampliar-ne l’abast funcional.  </w:t>
      </w:r>
    </w:p>
    <w:p w:rsidR="00055E6C" w:rsidRPr="008F75AC" w:rsidRDefault="00055E6C" w:rsidP="0070401F">
      <w:pPr>
        <w:pStyle w:val="Ttol3"/>
      </w:pPr>
      <w:bookmarkStart w:id="611" w:name="_Toc463470056"/>
      <w:bookmarkStart w:id="612" w:name="_Toc464685745"/>
      <w:bookmarkStart w:id="613" w:name="_Toc465293483"/>
      <w:r>
        <w:t xml:space="preserve">La </w:t>
      </w:r>
      <w:r w:rsidRPr="005B4C56">
        <w:t>importància</w:t>
      </w:r>
      <w:r>
        <w:t xml:space="preserve"> dels sistemes d’informació</w:t>
      </w:r>
      <w:bookmarkEnd w:id="611"/>
      <w:bookmarkEnd w:id="612"/>
      <w:bookmarkEnd w:id="613"/>
    </w:p>
    <w:p w:rsidR="00055E6C" w:rsidRDefault="00055E6C" w:rsidP="006D0874">
      <w:r>
        <w:t xml:space="preserve">A partir del moment en què es posa de manifest l’estat d’obsolescència dels sistemes d’informació actuals de l’execució penal i la impossibilitat que s’adaptin a les tecnologies i plataformes actuals, aflora també la necessitat i la importància de tenir un nivell d’inversió en l’àmbit de les tecnologies de la informació i la comunicació que permetin el manteniment de sistemes actualitzats que puguin evolucionar si cal. Així, si bé el nivell d’inversió en els sistemes actuals al llarg dels anys ha estat relativament limitat, s’ha donat una gran importància al nou sistema d’informació per tal d’assegurar la seva adequació a les necessitats del Departament. </w:t>
      </w:r>
    </w:p>
    <w:p w:rsidR="00055E6C" w:rsidRDefault="00055E6C" w:rsidP="006D0874"/>
    <w:tbl>
      <w:tblPr>
        <w:tblW w:w="7620" w:type="dxa"/>
        <w:jc w:val="center"/>
        <w:tblInd w:w="55" w:type="dxa"/>
        <w:tblCellMar>
          <w:left w:w="70" w:type="dxa"/>
          <w:right w:w="70" w:type="dxa"/>
        </w:tblCellMar>
        <w:tblLook w:val="04A0" w:firstRow="1" w:lastRow="0" w:firstColumn="1" w:lastColumn="0" w:noHBand="0" w:noVBand="1"/>
      </w:tblPr>
      <w:tblGrid>
        <w:gridCol w:w="587"/>
        <w:gridCol w:w="1480"/>
        <w:gridCol w:w="1480"/>
        <w:gridCol w:w="1300"/>
        <w:gridCol w:w="1763"/>
        <w:gridCol w:w="1017"/>
      </w:tblGrid>
      <w:tr w:rsidR="00055E6C" w:rsidRPr="002A1DEC" w:rsidTr="006D0874">
        <w:trPr>
          <w:trHeight w:val="1500"/>
          <w:jc w:val="center"/>
        </w:trPr>
        <w:tc>
          <w:tcPr>
            <w:tcW w:w="580" w:type="dxa"/>
            <w:tcBorders>
              <w:top w:val="nil"/>
              <w:left w:val="nil"/>
              <w:bottom w:val="nil"/>
              <w:right w:val="nil"/>
            </w:tcBorders>
            <w:shd w:val="clear" w:color="auto" w:fill="auto"/>
            <w:noWrap/>
            <w:vAlign w:val="bottom"/>
            <w:hideMark/>
          </w:tcPr>
          <w:p w:rsidR="00055E6C" w:rsidRPr="002A1DEC" w:rsidRDefault="00055E6C" w:rsidP="006D0874">
            <w:pPr>
              <w:spacing w:before="0" w:after="0"/>
              <w:jc w:val="left"/>
              <w:rPr>
                <w:rFonts w:ascii="Calibri" w:eastAsia="Times New Roman" w:hAnsi="Calibri" w:cs="Times New Roman"/>
                <w:color w:val="000000"/>
                <w:lang w:eastAsia="ca-ES"/>
              </w:rPr>
            </w:pPr>
          </w:p>
        </w:tc>
        <w:tc>
          <w:tcPr>
            <w:tcW w:w="1480" w:type="dxa"/>
            <w:vMerge w:val="restart"/>
            <w:tcBorders>
              <w:top w:val="single" w:sz="4" w:space="0" w:color="auto"/>
              <w:left w:val="single" w:sz="4" w:space="0" w:color="auto"/>
              <w:bottom w:val="single" w:sz="4" w:space="0" w:color="auto"/>
              <w:right w:val="single" w:sz="4" w:space="0" w:color="auto"/>
            </w:tcBorders>
            <w:shd w:val="clear" w:color="000000" w:fill="C5D9F1"/>
            <w:vAlign w:val="center"/>
            <w:hideMark/>
          </w:tcPr>
          <w:p w:rsidR="00055E6C" w:rsidRPr="002A1DEC" w:rsidRDefault="00055E6C" w:rsidP="006D0874">
            <w:pPr>
              <w:spacing w:before="0" w:after="0"/>
              <w:jc w:val="center"/>
              <w:rPr>
                <w:rFonts w:ascii="Calibri" w:eastAsia="Times New Roman" w:hAnsi="Calibri" w:cs="Times New Roman"/>
                <w:i/>
                <w:color w:val="000000"/>
                <w:lang w:eastAsia="ca-ES"/>
              </w:rPr>
            </w:pPr>
            <w:r w:rsidRPr="002A1DEC">
              <w:rPr>
                <w:rFonts w:ascii="Calibri" w:eastAsia="Times New Roman" w:hAnsi="Calibri" w:cs="Times New Roman"/>
                <w:i/>
                <w:color w:val="000000"/>
                <w:lang w:eastAsia="ca-ES"/>
              </w:rPr>
              <w:t xml:space="preserve">Despesa TIC Total en </w:t>
            </w:r>
            <w:r>
              <w:rPr>
                <w:rFonts w:ascii="Calibri" w:eastAsia="Times New Roman" w:hAnsi="Calibri" w:cs="Times New Roman"/>
                <w:i/>
                <w:color w:val="000000"/>
                <w:lang w:eastAsia="ca-ES"/>
              </w:rPr>
              <w:t>e</w:t>
            </w:r>
            <w:r w:rsidRPr="002A1DEC">
              <w:rPr>
                <w:rFonts w:ascii="Calibri" w:eastAsia="Times New Roman" w:hAnsi="Calibri" w:cs="Times New Roman"/>
                <w:i/>
                <w:color w:val="000000"/>
                <w:lang w:eastAsia="ca-ES"/>
              </w:rPr>
              <w:t xml:space="preserve">xecució </w:t>
            </w:r>
            <w:r>
              <w:rPr>
                <w:rFonts w:ascii="Calibri" w:eastAsia="Times New Roman" w:hAnsi="Calibri" w:cs="Times New Roman"/>
                <w:i/>
                <w:color w:val="000000"/>
                <w:lang w:eastAsia="ca-ES"/>
              </w:rPr>
              <w:t>p</w:t>
            </w:r>
            <w:r w:rsidRPr="002A1DEC">
              <w:rPr>
                <w:rFonts w:ascii="Calibri" w:eastAsia="Times New Roman" w:hAnsi="Calibri" w:cs="Times New Roman"/>
                <w:i/>
                <w:color w:val="000000"/>
                <w:lang w:eastAsia="ca-ES"/>
              </w:rPr>
              <w:t>enal (1)</w:t>
            </w:r>
          </w:p>
        </w:tc>
        <w:tc>
          <w:tcPr>
            <w:tcW w:w="2780" w:type="dxa"/>
            <w:gridSpan w:val="2"/>
            <w:tcBorders>
              <w:top w:val="single" w:sz="4" w:space="0" w:color="auto"/>
              <w:left w:val="nil"/>
              <w:bottom w:val="single" w:sz="4" w:space="0" w:color="auto"/>
              <w:right w:val="single" w:sz="4" w:space="0" w:color="auto"/>
            </w:tcBorders>
            <w:shd w:val="clear" w:color="000000" w:fill="C5D9F1"/>
            <w:vAlign w:val="center"/>
            <w:hideMark/>
          </w:tcPr>
          <w:p w:rsidR="00055E6C" w:rsidRPr="002A1DEC" w:rsidRDefault="00055E6C" w:rsidP="006D0874">
            <w:pPr>
              <w:spacing w:before="0" w:after="0"/>
              <w:jc w:val="center"/>
              <w:rPr>
                <w:rFonts w:ascii="Calibri" w:eastAsia="Times New Roman" w:hAnsi="Calibri" w:cs="Times New Roman"/>
                <w:i/>
                <w:color w:val="000000"/>
                <w:lang w:eastAsia="ca-ES"/>
              </w:rPr>
            </w:pPr>
            <w:r w:rsidRPr="002A1DEC">
              <w:rPr>
                <w:rFonts w:ascii="Calibri" w:eastAsia="Times New Roman" w:hAnsi="Calibri" w:cs="Times New Roman"/>
                <w:i/>
                <w:color w:val="000000"/>
                <w:lang w:eastAsia="ca-ES"/>
              </w:rPr>
              <w:t xml:space="preserve">Despesa en </w:t>
            </w:r>
            <w:r>
              <w:rPr>
                <w:rFonts w:ascii="Calibri" w:eastAsia="Times New Roman" w:hAnsi="Calibri" w:cs="Times New Roman"/>
                <w:i/>
                <w:color w:val="000000"/>
                <w:lang w:eastAsia="ca-ES"/>
              </w:rPr>
              <w:t>d</w:t>
            </w:r>
            <w:r w:rsidRPr="002A1DEC">
              <w:rPr>
                <w:rFonts w:ascii="Calibri" w:eastAsia="Times New Roman" w:hAnsi="Calibri" w:cs="Times New Roman"/>
                <w:i/>
                <w:color w:val="000000"/>
                <w:lang w:eastAsia="ca-ES"/>
              </w:rPr>
              <w:t xml:space="preserve">esenvolupament de </w:t>
            </w:r>
            <w:r>
              <w:rPr>
                <w:rFonts w:ascii="Calibri" w:eastAsia="Times New Roman" w:hAnsi="Calibri" w:cs="Times New Roman"/>
                <w:i/>
                <w:color w:val="000000"/>
                <w:lang w:eastAsia="ca-ES"/>
              </w:rPr>
              <w:t>sistemes d'i</w:t>
            </w:r>
            <w:r w:rsidRPr="002A1DEC">
              <w:rPr>
                <w:rFonts w:ascii="Calibri" w:eastAsia="Times New Roman" w:hAnsi="Calibri" w:cs="Times New Roman"/>
                <w:i/>
                <w:color w:val="000000"/>
                <w:lang w:eastAsia="ca-ES"/>
              </w:rPr>
              <w:t>nformació (B)</w:t>
            </w:r>
          </w:p>
        </w:tc>
        <w:tc>
          <w:tcPr>
            <w:tcW w:w="2780" w:type="dxa"/>
            <w:gridSpan w:val="2"/>
            <w:tcBorders>
              <w:top w:val="single" w:sz="4" w:space="0" w:color="auto"/>
              <w:left w:val="nil"/>
              <w:bottom w:val="single" w:sz="4" w:space="0" w:color="auto"/>
              <w:right w:val="single" w:sz="4" w:space="0" w:color="auto"/>
            </w:tcBorders>
            <w:shd w:val="clear" w:color="000000" w:fill="C5D9F1"/>
            <w:vAlign w:val="center"/>
            <w:hideMark/>
          </w:tcPr>
          <w:p w:rsidR="00055E6C" w:rsidRPr="002A1DEC" w:rsidRDefault="00055E6C" w:rsidP="006D0874">
            <w:pPr>
              <w:spacing w:before="0" w:after="0"/>
              <w:jc w:val="center"/>
              <w:rPr>
                <w:rFonts w:ascii="Calibri" w:eastAsia="Times New Roman" w:hAnsi="Calibri" w:cs="Times New Roman"/>
                <w:i/>
                <w:color w:val="000000"/>
                <w:lang w:eastAsia="ca-ES"/>
              </w:rPr>
            </w:pPr>
            <w:r w:rsidRPr="002A1DEC">
              <w:rPr>
                <w:rFonts w:ascii="Calibri" w:eastAsia="Times New Roman" w:hAnsi="Calibri" w:cs="Times New Roman"/>
                <w:i/>
                <w:color w:val="000000"/>
                <w:lang w:eastAsia="ca-ES"/>
              </w:rPr>
              <w:t xml:space="preserve">Despesa en </w:t>
            </w:r>
            <w:r w:rsidRPr="009978C2">
              <w:rPr>
                <w:rFonts w:ascii="Calibri" w:eastAsia="Times New Roman" w:hAnsi="Calibri" w:cs="Times New Roman"/>
                <w:i/>
                <w:color w:val="000000"/>
                <w:lang w:eastAsia="ca-ES"/>
              </w:rPr>
              <w:t xml:space="preserve">el </w:t>
            </w:r>
            <w:r w:rsidRPr="002A1DEC">
              <w:rPr>
                <w:rFonts w:ascii="Calibri" w:eastAsia="Times New Roman" w:hAnsi="Calibri" w:cs="Times New Roman"/>
                <w:i/>
                <w:color w:val="000000"/>
                <w:lang w:eastAsia="ca-ES"/>
              </w:rPr>
              <w:t>nou SIEP</w:t>
            </w:r>
          </w:p>
        </w:tc>
      </w:tr>
      <w:tr w:rsidR="00055E6C" w:rsidRPr="002A1DEC" w:rsidTr="006D0874">
        <w:trPr>
          <w:trHeight w:val="300"/>
          <w:jc w:val="center"/>
        </w:trPr>
        <w:tc>
          <w:tcPr>
            <w:tcW w:w="580" w:type="dxa"/>
            <w:tcBorders>
              <w:top w:val="nil"/>
              <w:left w:val="nil"/>
              <w:bottom w:val="nil"/>
              <w:right w:val="nil"/>
            </w:tcBorders>
            <w:shd w:val="clear" w:color="auto" w:fill="auto"/>
            <w:noWrap/>
            <w:vAlign w:val="bottom"/>
            <w:hideMark/>
          </w:tcPr>
          <w:p w:rsidR="00055E6C" w:rsidRPr="002A1DEC" w:rsidRDefault="00055E6C" w:rsidP="006D0874">
            <w:pPr>
              <w:spacing w:before="0" w:after="0"/>
              <w:jc w:val="left"/>
              <w:rPr>
                <w:rFonts w:ascii="Calibri" w:eastAsia="Times New Roman" w:hAnsi="Calibri" w:cs="Times New Roman"/>
                <w:color w:val="000000"/>
                <w:lang w:eastAsia="ca-ES"/>
              </w:rPr>
            </w:pPr>
          </w:p>
        </w:tc>
        <w:tc>
          <w:tcPr>
            <w:tcW w:w="1480" w:type="dxa"/>
            <w:vMerge/>
            <w:tcBorders>
              <w:top w:val="single" w:sz="4" w:space="0" w:color="auto"/>
              <w:left w:val="single" w:sz="4" w:space="0" w:color="auto"/>
              <w:bottom w:val="single" w:sz="4" w:space="0" w:color="auto"/>
              <w:right w:val="single" w:sz="4" w:space="0" w:color="auto"/>
            </w:tcBorders>
            <w:vAlign w:val="center"/>
            <w:hideMark/>
          </w:tcPr>
          <w:p w:rsidR="00055E6C" w:rsidRPr="002A1DEC" w:rsidRDefault="00055E6C" w:rsidP="006D0874">
            <w:pPr>
              <w:spacing w:before="0" w:after="0"/>
              <w:jc w:val="left"/>
              <w:rPr>
                <w:rFonts w:ascii="Calibri" w:eastAsia="Times New Roman" w:hAnsi="Calibri" w:cs="Times New Roman"/>
                <w:i/>
                <w:color w:val="000000"/>
                <w:lang w:eastAsia="ca-ES"/>
              </w:rPr>
            </w:pPr>
          </w:p>
        </w:tc>
        <w:tc>
          <w:tcPr>
            <w:tcW w:w="1480" w:type="dxa"/>
            <w:tcBorders>
              <w:top w:val="nil"/>
              <w:left w:val="nil"/>
              <w:bottom w:val="single" w:sz="4" w:space="0" w:color="auto"/>
              <w:right w:val="single" w:sz="4" w:space="0" w:color="auto"/>
            </w:tcBorders>
            <w:shd w:val="clear" w:color="000000" w:fill="C5D9F1"/>
            <w:vAlign w:val="center"/>
            <w:hideMark/>
          </w:tcPr>
          <w:p w:rsidR="00055E6C" w:rsidRPr="002A1DEC" w:rsidRDefault="00055E6C" w:rsidP="006D0874">
            <w:pPr>
              <w:spacing w:before="0" w:after="0"/>
              <w:jc w:val="center"/>
              <w:rPr>
                <w:rFonts w:ascii="Calibri" w:eastAsia="Times New Roman" w:hAnsi="Calibri" w:cs="Times New Roman"/>
                <w:i/>
                <w:color w:val="000000"/>
                <w:lang w:eastAsia="ca-ES"/>
              </w:rPr>
            </w:pPr>
            <w:r w:rsidRPr="002A1DEC">
              <w:rPr>
                <w:rFonts w:ascii="Calibri" w:eastAsia="Times New Roman" w:hAnsi="Calibri" w:cs="Times New Roman"/>
                <w:i/>
                <w:color w:val="000000"/>
                <w:lang w:eastAsia="ca-ES"/>
              </w:rPr>
              <w:t>Import (2)</w:t>
            </w:r>
          </w:p>
        </w:tc>
        <w:tc>
          <w:tcPr>
            <w:tcW w:w="1300" w:type="dxa"/>
            <w:tcBorders>
              <w:top w:val="nil"/>
              <w:left w:val="nil"/>
              <w:bottom w:val="single" w:sz="4" w:space="0" w:color="auto"/>
              <w:right w:val="single" w:sz="4" w:space="0" w:color="auto"/>
            </w:tcBorders>
            <w:shd w:val="clear" w:color="000000" w:fill="C5D9F1"/>
            <w:noWrap/>
            <w:vAlign w:val="bottom"/>
            <w:hideMark/>
          </w:tcPr>
          <w:p w:rsidR="00055E6C" w:rsidRPr="002A1DEC" w:rsidRDefault="00055E6C" w:rsidP="006D0874">
            <w:pPr>
              <w:spacing w:before="0" w:after="0"/>
              <w:jc w:val="center"/>
              <w:rPr>
                <w:rFonts w:ascii="Calibri" w:eastAsia="Times New Roman" w:hAnsi="Calibri" w:cs="Times New Roman"/>
                <w:i/>
                <w:color w:val="000000"/>
                <w:lang w:eastAsia="ca-ES"/>
              </w:rPr>
            </w:pPr>
            <w:r w:rsidRPr="002A1DEC">
              <w:rPr>
                <w:rFonts w:ascii="Calibri" w:eastAsia="Times New Roman" w:hAnsi="Calibri" w:cs="Times New Roman"/>
                <w:i/>
                <w:color w:val="000000"/>
                <w:lang w:eastAsia="ca-ES"/>
              </w:rPr>
              <w:t>% (2/1)</w:t>
            </w:r>
          </w:p>
        </w:tc>
        <w:tc>
          <w:tcPr>
            <w:tcW w:w="1763" w:type="dxa"/>
            <w:tcBorders>
              <w:top w:val="nil"/>
              <w:left w:val="nil"/>
              <w:bottom w:val="single" w:sz="4" w:space="0" w:color="auto"/>
              <w:right w:val="single" w:sz="4" w:space="0" w:color="auto"/>
            </w:tcBorders>
            <w:shd w:val="clear" w:color="000000" w:fill="C5D9F1"/>
            <w:noWrap/>
            <w:vAlign w:val="bottom"/>
            <w:hideMark/>
          </w:tcPr>
          <w:p w:rsidR="00055E6C" w:rsidRPr="002A1DEC" w:rsidRDefault="00055E6C" w:rsidP="006D0874">
            <w:pPr>
              <w:spacing w:before="0" w:after="0"/>
              <w:jc w:val="center"/>
              <w:rPr>
                <w:rFonts w:ascii="Calibri" w:eastAsia="Times New Roman" w:hAnsi="Calibri" w:cs="Times New Roman"/>
                <w:i/>
                <w:color w:val="000000"/>
                <w:lang w:eastAsia="ca-ES"/>
              </w:rPr>
            </w:pPr>
            <w:r w:rsidRPr="002A1DEC">
              <w:rPr>
                <w:rFonts w:ascii="Calibri" w:eastAsia="Times New Roman" w:hAnsi="Calibri" w:cs="Times New Roman"/>
                <w:i/>
                <w:color w:val="000000"/>
                <w:lang w:eastAsia="ca-ES"/>
              </w:rPr>
              <w:t>Import (3)</w:t>
            </w:r>
          </w:p>
        </w:tc>
        <w:tc>
          <w:tcPr>
            <w:tcW w:w="1017" w:type="dxa"/>
            <w:tcBorders>
              <w:top w:val="nil"/>
              <w:left w:val="nil"/>
              <w:bottom w:val="single" w:sz="4" w:space="0" w:color="auto"/>
              <w:right w:val="single" w:sz="4" w:space="0" w:color="auto"/>
            </w:tcBorders>
            <w:shd w:val="clear" w:color="000000" w:fill="C5D9F1"/>
            <w:noWrap/>
            <w:vAlign w:val="bottom"/>
            <w:hideMark/>
          </w:tcPr>
          <w:p w:rsidR="00055E6C" w:rsidRPr="002A1DEC" w:rsidRDefault="00055E6C" w:rsidP="006D0874">
            <w:pPr>
              <w:spacing w:before="0" w:after="0"/>
              <w:jc w:val="center"/>
              <w:rPr>
                <w:rFonts w:ascii="Calibri" w:eastAsia="Times New Roman" w:hAnsi="Calibri" w:cs="Times New Roman"/>
                <w:i/>
                <w:color w:val="000000"/>
                <w:lang w:eastAsia="ca-ES"/>
              </w:rPr>
            </w:pPr>
            <w:r w:rsidRPr="002A1DEC">
              <w:rPr>
                <w:rFonts w:ascii="Calibri" w:eastAsia="Times New Roman" w:hAnsi="Calibri" w:cs="Times New Roman"/>
                <w:i/>
                <w:color w:val="000000"/>
                <w:lang w:eastAsia="ca-ES"/>
              </w:rPr>
              <w:t>% (3/2)</w:t>
            </w:r>
          </w:p>
        </w:tc>
      </w:tr>
      <w:tr w:rsidR="00055E6C" w:rsidRPr="002A1DEC" w:rsidTr="006D0874">
        <w:trPr>
          <w:trHeight w:val="300"/>
          <w:jc w:val="center"/>
        </w:trPr>
        <w:tc>
          <w:tcPr>
            <w:tcW w:w="580" w:type="dxa"/>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bottom"/>
            <w:hideMark/>
          </w:tcPr>
          <w:p w:rsidR="00055E6C" w:rsidRPr="002A1DEC" w:rsidRDefault="00055E6C" w:rsidP="006D0874">
            <w:pPr>
              <w:spacing w:before="0" w:after="0"/>
              <w:jc w:val="right"/>
              <w:rPr>
                <w:rFonts w:ascii="Calibri" w:eastAsia="Times New Roman" w:hAnsi="Calibri" w:cs="Times New Roman"/>
                <w:color w:val="000000"/>
                <w:lang w:eastAsia="ca-ES"/>
              </w:rPr>
            </w:pPr>
            <w:r w:rsidRPr="002A1DEC">
              <w:rPr>
                <w:rFonts w:ascii="Calibri" w:eastAsia="Times New Roman" w:hAnsi="Calibri" w:cs="Times New Roman"/>
                <w:color w:val="000000"/>
                <w:lang w:eastAsia="ca-ES"/>
              </w:rPr>
              <w:t>2012</w:t>
            </w:r>
          </w:p>
        </w:tc>
        <w:tc>
          <w:tcPr>
            <w:tcW w:w="1480" w:type="dxa"/>
            <w:tcBorders>
              <w:top w:val="nil"/>
              <w:left w:val="nil"/>
              <w:bottom w:val="single" w:sz="4" w:space="0" w:color="auto"/>
              <w:right w:val="single" w:sz="4" w:space="0" w:color="auto"/>
            </w:tcBorders>
            <w:shd w:val="clear" w:color="auto" w:fill="auto"/>
            <w:noWrap/>
            <w:vAlign w:val="bottom"/>
            <w:hideMark/>
          </w:tcPr>
          <w:p w:rsidR="00055E6C" w:rsidRPr="002A1DEC" w:rsidRDefault="00055E6C" w:rsidP="006D0874">
            <w:pPr>
              <w:spacing w:before="0" w:after="0"/>
              <w:jc w:val="right"/>
              <w:rPr>
                <w:rFonts w:ascii="Calibri" w:eastAsia="Times New Roman" w:hAnsi="Calibri" w:cs="Times New Roman"/>
                <w:color w:val="000000"/>
                <w:lang w:eastAsia="ca-ES"/>
              </w:rPr>
            </w:pPr>
            <w:r w:rsidRPr="002A1DEC">
              <w:rPr>
                <w:rFonts w:ascii="Calibri" w:eastAsia="Times New Roman" w:hAnsi="Calibri" w:cs="Times New Roman"/>
                <w:color w:val="000000"/>
                <w:lang w:eastAsia="ca-ES"/>
              </w:rPr>
              <w:t>5.213.627,95 €</w:t>
            </w:r>
          </w:p>
        </w:tc>
        <w:tc>
          <w:tcPr>
            <w:tcW w:w="1480" w:type="dxa"/>
            <w:tcBorders>
              <w:top w:val="nil"/>
              <w:left w:val="nil"/>
              <w:bottom w:val="single" w:sz="4" w:space="0" w:color="auto"/>
              <w:right w:val="single" w:sz="4" w:space="0" w:color="auto"/>
            </w:tcBorders>
            <w:shd w:val="clear" w:color="auto" w:fill="auto"/>
            <w:noWrap/>
            <w:vAlign w:val="bottom"/>
            <w:hideMark/>
          </w:tcPr>
          <w:p w:rsidR="00055E6C" w:rsidRPr="002A1DEC" w:rsidRDefault="00055E6C" w:rsidP="006D0874">
            <w:pPr>
              <w:spacing w:before="0" w:after="0"/>
              <w:jc w:val="right"/>
              <w:rPr>
                <w:rFonts w:ascii="Calibri" w:eastAsia="Times New Roman" w:hAnsi="Calibri" w:cs="Times New Roman"/>
                <w:color w:val="000000"/>
                <w:lang w:eastAsia="ca-ES"/>
              </w:rPr>
            </w:pPr>
            <w:r w:rsidRPr="002A1DEC">
              <w:rPr>
                <w:rFonts w:ascii="Calibri" w:eastAsia="Times New Roman" w:hAnsi="Calibri" w:cs="Times New Roman"/>
                <w:color w:val="000000"/>
                <w:lang w:eastAsia="ca-ES"/>
              </w:rPr>
              <w:t>386.155,06 €</w:t>
            </w:r>
          </w:p>
        </w:tc>
        <w:tc>
          <w:tcPr>
            <w:tcW w:w="1300" w:type="dxa"/>
            <w:tcBorders>
              <w:top w:val="nil"/>
              <w:left w:val="nil"/>
              <w:bottom w:val="single" w:sz="4" w:space="0" w:color="auto"/>
              <w:right w:val="single" w:sz="4" w:space="0" w:color="auto"/>
            </w:tcBorders>
            <w:shd w:val="clear" w:color="auto" w:fill="auto"/>
            <w:noWrap/>
            <w:vAlign w:val="bottom"/>
            <w:hideMark/>
          </w:tcPr>
          <w:p w:rsidR="00055E6C" w:rsidRPr="002A1DEC" w:rsidRDefault="00055E6C" w:rsidP="006D0874">
            <w:pPr>
              <w:spacing w:before="0" w:after="0"/>
              <w:jc w:val="center"/>
              <w:rPr>
                <w:rFonts w:ascii="Calibri" w:eastAsia="Times New Roman" w:hAnsi="Calibri" w:cs="Times New Roman"/>
                <w:color w:val="000000"/>
                <w:lang w:eastAsia="ca-ES"/>
              </w:rPr>
            </w:pPr>
            <w:r w:rsidRPr="002A1DEC">
              <w:rPr>
                <w:rFonts w:ascii="Calibri" w:eastAsia="Times New Roman" w:hAnsi="Calibri" w:cs="Times New Roman"/>
                <w:color w:val="000000"/>
                <w:lang w:eastAsia="ca-ES"/>
              </w:rPr>
              <w:t>7,41%</w:t>
            </w:r>
          </w:p>
        </w:tc>
        <w:tc>
          <w:tcPr>
            <w:tcW w:w="1763" w:type="dxa"/>
            <w:tcBorders>
              <w:top w:val="nil"/>
              <w:left w:val="nil"/>
              <w:bottom w:val="single" w:sz="4" w:space="0" w:color="auto"/>
              <w:right w:val="single" w:sz="4" w:space="0" w:color="auto"/>
            </w:tcBorders>
            <w:shd w:val="clear" w:color="auto" w:fill="auto"/>
            <w:noWrap/>
            <w:vAlign w:val="bottom"/>
            <w:hideMark/>
          </w:tcPr>
          <w:p w:rsidR="00055E6C" w:rsidRPr="002A1DEC" w:rsidRDefault="00055E6C" w:rsidP="006D0874">
            <w:pPr>
              <w:spacing w:before="0" w:after="0"/>
              <w:jc w:val="right"/>
              <w:rPr>
                <w:rFonts w:ascii="Calibri" w:eastAsia="Times New Roman" w:hAnsi="Calibri" w:cs="Times New Roman"/>
                <w:color w:val="000000"/>
                <w:lang w:eastAsia="ca-ES"/>
              </w:rPr>
            </w:pPr>
            <w:r w:rsidRPr="002A1DEC">
              <w:rPr>
                <w:rFonts w:ascii="Calibri" w:eastAsia="Times New Roman" w:hAnsi="Calibri" w:cs="Times New Roman"/>
                <w:color w:val="000000"/>
                <w:lang w:eastAsia="ca-ES"/>
              </w:rPr>
              <w:t>0,00 €</w:t>
            </w:r>
          </w:p>
        </w:tc>
        <w:tc>
          <w:tcPr>
            <w:tcW w:w="1017" w:type="dxa"/>
            <w:tcBorders>
              <w:top w:val="nil"/>
              <w:left w:val="nil"/>
              <w:bottom w:val="single" w:sz="4" w:space="0" w:color="auto"/>
              <w:right w:val="single" w:sz="4" w:space="0" w:color="auto"/>
            </w:tcBorders>
            <w:shd w:val="clear" w:color="auto" w:fill="auto"/>
            <w:noWrap/>
            <w:vAlign w:val="bottom"/>
            <w:hideMark/>
          </w:tcPr>
          <w:p w:rsidR="00055E6C" w:rsidRPr="002A1DEC" w:rsidRDefault="00055E6C" w:rsidP="006D0874">
            <w:pPr>
              <w:spacing w:before="0" w:after="0"/>
              <w:jc w:val="center"/>
              <w:rPr>
                <w:rFonts w:ascii="Calibri" w:eastAsia="Times New Roman" w:hAnsi="Calibri" w:cs="Times New Roman"/>
                <w:color w:val="000000"/>
                <w:lang w:eastAsia="ca-ES"/>
              </w:rPr>
            </w:pPr>
            <w:r w:rsidRPr="002A1DEC">
              <w:rPr>
                <w:rFonts w:ascii="Calibri" w:eastAsia="Times New Roman" w:hAnsi="Calibri" w:cs="Times New Roman"/>
                <w:color w:val="000000"/>
                <w:lang w:eastAsia="ca-ES"/>
              </w:rPr>
              <w:t>0,00%</w:t>
            </w:r>
          </w:p>
        </w:tc>
      </w:tr>
      <w:tr w:rsidR="00055E6C" w:rsidRPr="002A1DEC" w:rsidTr="006D0874">
        <w:trPr>
          <w:trHeight w:val="300"/>
          <w:jc w:val="center"/>
        </w:trPr>
        <w:tc>
          <w:tcPr>
            <w:tcW w:w="580" w:type="dxa"/>
            <w:tcBorders>
              <w:top w:val="nil"/>
              <w:left w:val="single" w:sz="4" w:space="0" w:color="auto"/>
              <w:bottom w:val="single" w:sz="4" w:space="0" w:color="auto"/>
              <w:right w:val="single" w:sz="4" w:space="0" w:color="auto"/>
            </w:tcBorders>
            <w:shd w:val="clear" w:color="auto" w:fill="95B3D7" w:themeFill="accent1" w:themeFillTint="99"/>
            <w:noWrap/>
            <w:vAlign w:val="bottom"/>
            <w:hideMark/>
          </w:tcPr>
          <w:p w:rsidR="00055E6C" w:rsidRPr="002A1DEC" w:rsidRDefault="00055E6C" w:rsidP="006D0874">
            <w:pPr>
              <w:spacing w:before="0" w:after="0"/>
              <w:jc w:val="right"/>
              <w:rPr>
                <w:rFonts w:ascii="Calibri" w:eastAsia="Times New Roman" w:hAnsi="Calibri" w:cs="Times New Roman"/>
                <w:color w:val="000000"/>
                <w:lang w:eastAsia="ca-ES"/>
              </w:rPr>
            </w:pPr>
            <w:r w:rsidRPr="002A1DEC">
              <w:rPr>
                <w:rFonts w:ascii="Calibri" w:eastAsia="Times New Roman" w:hAnsi="Calibri" w:cs="Times New Roman"/>
                <w:color w:val="000000"/>
                <w:lang w:eastAsia="ca-ES"/>
              </w:rPr>
              <w:t>2013</w:t>
            </w:r>
          </w:p>
        </w:tc>
        <w:tc>
          <w:tcPr>
            <w:tcW w:w="1480" w:type="dxa"/>
            <w:tcBorders>
              <w:top w:val="nil"/>
              <w:left w:val="nil"/>
              <w:bottom w:val="single" w:sz="4" w:space="0" w:color="auto"/>
              <w:right w:val="single" w:sz="4" w:space="0" w:color="auto"/>
            </w:tcBorders>
            <w:shd w:val="clear" w:color="auto" w:fill="auto"/>
            <w:noWrap/>
            <w:vAlign w:val="bottom"/>
            <w:hideMark/>
          </w:tcPr>
          <w:p w:rsidR="00055E6C" w:rsidRPr="002A1DEC" w:rsidRDefault="00055E6C" w:rsidP="006D0874">
            <w:pPr>
              <w:spacing w:before="0" w:after="0"/>
              <w:jc w:val="right"/>
              <w:rPr>
                <w:rFonts w:ascii="Calibri" w:eastAsia="Times New Roman" w:hAnsi="Calibri" w:cs="Times New Roman"/>
                <w:color w:val="000000"/>
                <w:lang w:eastAsia="ca-ES"/>
              </w:rPr>
            </w:pPr>
            <w:r w:rsidRPr="002A1DEC">
              <w:rPr>
                <w:rFonts w:ascii="Calibri" w:eastAsia="Times New Roman" w:hAnsi="Calibri" w:cs="Times New Roman"/>
                <w:color w:val="000000"/>
                <w:lang w:eastAsia="ca-ES"/>
              </w:rPr>
              <w:t>5.015.340,60 €</w:t>
            </w:r>
          </w:p>
        </w:tc>
        <w:tc>
          <w:tcPr>
            <w:tcW w:w="1480" w:type="dxa"/>
            <w:tcBorders>
              <w:top w:val="nil"/>
              <w:left w:val="nil"/>
              <w:bottom w:val="single" w:sz="4" w:space="0" w:color="auto"/>
              <w:right w:val="single" w:sz="4" w:space="0" w:color="auto"/>
            </w:tcBorders>
            <w:shd w:val="clear" w:color="auto" w:fill="auto"/>
            <w:noWrap/>
            <w:vAlign w:val="bottom"/>
            <w:hideMark/>
          </w:tcPr>
          <w:p w:rsidR="00055E6C" w:rsidRPr="002A1DEC" w:rsidRDefault="00055E6C" w:rsidP="006D0874">
            <w:pPr>
              <w:spacing w:before="0" w:after="0"/>
              <w:jc w:val="right"/>
              <w:rPr>
                <w:rFonts w:ascii="Calibri" w:eastAsia="Times New Roman" w:hAnsi="Calibri" w:cs="Times New Roman"/>
                <w:color w:val="000000"/>
                <w:lang w:eastAsia="ca-ES"/>
              </w:rPr>
            </w:pPr>
            <w:r w:rsidRPr="002A1DEC">
              <w:rPr>
                <w:rFonts w:ascii="Calibri" w:eastAsia="Times New Roman" w:hAnsi="Calibri" w:cs="Times New Roman"/>
                <w:color w:val="000000"/>
                <w:lang w:eastAsia="ca-ES"/>
              </w:rPr>
              <w:t>470.041,05 €</w:t>
            </w:r>
          </w:p>
        </w:tc>
        <w:tc>
          <w:tcPr>
            <w:tcW w:w="1300" w:type="dxa"/>
            <w:tcBorders>
              <w:top w:val="nil"/>
              <w:left w:val="nil"/>
              <w:bottom w:val="single" w:sz="4" w:space="0" w:color="auto"/>
              <w:right w:val="single" w:sz="4" w:space="0" w:color="auto"/>
            </w:tcBorders>
            <w:shd w:val="clear" w:color="auto" w:fill="auto"/>
            <w:noWrap/>
            <w:vAlign w:val="bottom"/>
            <w:hideMark/>
          </w:tcPr>
          <w:p w:rsidR="00055E6C" w:rsidRPr="002A1DEC" w:rsidRDefault="00055E6C" w:rsidP="006D0874">
            <w:pPr>
              <w:spacing w:before="0" w:after="0"/>
              <w:jc w:val="center"/>
              <w:rPr>
                <w:rFonts w:ascii="Calibri" w:eastAsia="Times New Roman" w:hAnsi="Calibri" w:cs="Times New Roman"/>
                <w:color w:val="000000"/>
                <w:lang w:eastAsia="ca-ES"/>
              </w:rPr>
            </w:pPr>
            <w:r w:rsidRPr="002A1DEC">
              <w:rPr>
                <w:rFonts w:ascii="Calibri" w:eastAsia="Times New Roman" w:hAnsi="Calibri" w:cs="Times New Roman"/>
                <w:color w:val="000000"/>
                <w:lang w:eastAsia="ca-ES"/>
              </w:rPr>
              <w:t>9,37%</w:t>
            </w:r>
          </w:p>
        </w:tc>
        <w:tc>
          <w:tcPr>
            <w:tcW w:w="1763" w:type="dxa"/>
            <w:tcBorders>
              <w:top w:val="nil"/>
              <w:left w:val="nil"/>
              <w:bottom w:val="single" w:sz="4" w:space="0" w:color="auto"/>
              <w:right w:val="single" w:sz="4" w:space="0" w:color="auto"/>
            </w:tcBorders>
            <w:shd w:val="clear" w:color="auto" w:fill="auto"/>
            <w:noWrap/>
            <w:vAlign w:val="bottom"/>
            <w:hideMark/>
          </w:tcPr>
          <w:p w:rsidR="00055E6C" w:rsidRPr="002A1DEC" w:rsidRDefault="00055E6C" w:rsidP="006D0874">
            <w:pPr>
              <w:spacing w:before="0" w:after="0"/>
              <w:jc w:val="right"/>
              <w:rPr>
                <w:rFonts w:ascii="Calibri" w:eastAsia="Times New Roman" w:hAnsi="Calibri" w:cs="Times New Roman"/>
                <w:color w:val="000000"/>
                <w:lang w:eastAsia="ca-ES"/>
              </w:rPr>
            </w:pPr>
            <w:r w:rsidRPr="002A1DEC">
              <w:rPr>
                <w:rFonts w:ascii="Calibri" w:eastAsia="Times New Roman" w:hAnsi="Calibri" w:cs="Times New Roman"/>
                <w:color w:val="000000"/>
                <w:lang w:eastAsia="ca-ES"/>
              </w:rPr>
              <w:t>43.741,50 €</w:t>
            </w:r>
          </w:p>
        </w:tc>
        <w:tc>
          <w:tcPr>
            <w:tcW w:w="1017" w:type="dxa"/>
            <w:tcBorders>
              <w:top w:val="nil"/>
              <w:left w:val="nil"/>
              <w:bottom w:val="single" w:sz="4" w:space="0" w:color="auto"/>
              <w:right w:val="single" w:sz="4" w:space="0" w:color="auto"/>
            </w:tcBorders>
            <w:shd w:val="clear" w:color="auto" w:fill="auto"/>
            <w:noWrap/>
            <w:vAlign w:val="bottom"/>
            <w:hideMark/>
          </w:tcPr>
          <w:p w:rsidR="00055E6C" w:rsidRPr="002A1DEC" w:rsidRDefault="00055E6C" w:rsidP="006D0874">
            <w:pPr>
              <w:spacing w:before="0" w:after="0"/>
              <w:jc w:val="center"/>
              <w:rPr>
                <w:rFonts w:ascii="Calibri" w:eastAsia="Times New Roman" w:hAnsi="Calibri" w:cs="Times New Roman"/>
                <w:color w:val="000000"/>
                <w:lang w:eastAsia="ca-ES"/>
              </w:rPr>
            </w:pPr>
            <w:r w:rsidRPr="002A1DEC">
              <w:rPr>
                <w:rFonts w:ascii="Calibri" w:eastAsia="Times New Roman" w:hAnsi="Calibri" w:cs="Times New Roman"/>
                <w:color w:val="000000"/>
                <w:lang w:eastAsia="ca-ES"/>
              </w:rPr>
              <w:t>9,31%</w:t>
            </w:r>
          </w:p>
        </w:tc>
      </w:tr>
      <w:tr w:rsidR="00055E6C" w:rsidRPr="002A1DEC" w:rsidTr="006D0874">
        <w:trPr>
          <w:trHeight w:val="300"/>
          <w:jc w:val="center"/>
        </w:trPr>
        <w:tc>
          <w:tcPr>
            <w:tcW w:w="580" w:type="dxa"/>
            <w:tcBorders>
              <w:top w:val="nil"/>
              <w:left w:val="single" w:sz="4" w:space="0" w:color="auto"/>
              <w:bottom w:val="single" w:sz="4" w:space="0" w:color="auto"/>
              <w:right w:val="single" w:sz="4" w:space="0" w:color="auto"/>
            </w:tcBorders>
            <w:shd w:val="clear" w:color="auto" w:fill="95B3D7" w:themeFill="accent1" w:themeFillTint="99"/>
            <w:noWrap/>
            <w:vAlign w:val="bottom"/>
            <w:hideMark/>
          </w:tcPr>
          <w:p w:rsidR="00055E6C" w:rsidRPr="002A1DEC" w:rsidRDefault="00055E6C" w:rsidP="006D0874">
            <w:pPr>
              <w:spacing w:before="0" w:after="0"/>
              <w:jc w:val="right"/>
              <w:rPr>
                <w:rFonts w:ascii="Calibri" w:eastAsia="Times New Roman" w:hAnsi="Calibri" w:cs="Times New Roman"/>
                <w:color w:val="000000"/>
                <w:lang w:eastAsia="ca-ES"/>
              </w:rPr>
            </w:pPr>
            <w:r w:rsidRPr="002A1DEC">
              <w:rPr>
                <w:rFonts w:ascii="Calibri" w:eastAsia="Times New Roman" w:hAnsi="Calibri" w:cs="Times New Roman"/>
                <w:color w:val="000000"/>
                <w:lang w:eastAsia="ca-ES"/>
              </w:rPr>
              <w:t>2014</w:t>
            </w:r>
          </w:p>
        </w:tc>
        <w:tc>
          <w:tcPr>
            <w:tcW w:w="1480" w:type="dxa"/>
            <w:tcBorders>
              <w:top w:val="nil"/>
              <w:left w:val="nil"/>
              <w:bottom w:val="single" w:sz="4" w:space="0" w:color="auto"/>
              <w:right w:val="single" w:sz="4" w:space="0" w:color="auto"/>
            </w:tcBorders>
            <w:shd w:val="clear" w:color="auto" w:fill="auto"/>
            <w:noWrap/>
            <w:vAlign w:val="bottom"/>
            <w:hideMark/>
          </w:tcPr>
          <w:p w:rsidR="00055E6C" w:rsidRPr="002A1DEC" w:rsidRDefault="00055E6C" w:rsidP="006D0874">
            <w:pPr>
              <w:spacing w:before="0" w:after="0"/>
              <w:jc w:val="right"/>
              <w:rPr>
                <w:rFonts w:ascii="Calibri" w:eastAsia="Times New Roman" w:hAnsi="Calibri" w:cs="Times New Roman"/>
                <w:color w:val="000000"/>
                <w:lang w:eastAsia="ca-ES"/>
              </w:rPr>
            </w:pPr>
            <w:r w:rsidRPr="002A1DEC">
              <w:rPr>
                <w:rFonts w:ascii="Calibri" w:eastAsia="Times New Roman" w:hAnsi="Calibri" w:cs="Times New Roman"/>
                <w:color w:val="000000"/>
                <w:lang w:eastAsia="ca-ES"/>
              </w:rPr>
              <w:t>5.386.860,47 €</w:t>
            </w:r>
          </w:p>
        </w:tc>
        <w:tc>
          <w:tcPr>
            <w:tcW w:w="1480" w:type="dxa"/>
            <w:tcBorders>
              <w:top w:val="nil"/>
              <w:left w:val="nil"/>
              <w:bottom w:val="single" w:sz="4" w:space="0" w:color="auto"/>
              <w:right w:val="single" w:sz="4" w:space="0" w:color="auto"/>
            </w:tcBorders>
            <w:shd w:val="clear" w:color="auto" w:fill="auto"/>
            <w:noWrap/>
            <w:vAlign w:val="bottom"/>
            <w:hideMark/>
          </w:tcPr>
          <w:p w:rsidR="00055E6C" w:rsidRPr="002A1DEC" w:rsidRDefault="00055E6C" w:rsidP="006D0874">
            <w:pPr>
              <w:spacing w:before="0" w:after="0"/>
              <w:jc w:val="right"/>
              <w:rPr>
                <w:rFonts w:ascii="Calibri" w:eastAsia="Times New Roman" w:hAnsi="Calibri" w:cs="Times New Roman"/>
                <w:color w:val="000000"/>
                <w:lang w:eastAsia="ca-ES"/>
              </w:rPr>
            </w:pPr>
            <w:r w:rsidRPr="002A1DEC">
              <w:rPr>
                <w:rFonts w:ascii="Calibri" w:eastAsia="Times New Roman" w:hAnsi="Calibri" w:cs="Times New Roman"/>
                <w:color w:val="000000"/>
                <w:lang w:eastAsia="ca-ES"/>
              </w:rPr>
              <w:t>551.461,90 €</w:t>
            </w:r>
          </w:p>
        </w:tc>
        <w:tc>
          <w:tcPr>
            <w:tcW w:w="1300" w:type="dxa"/>
            <w:tcBorders>
              <w:top w:val="nil"/>
              <w:left w:val="nil"/>
              <w:bottom w:val="single" w:sz="4" w:space="0" w:color="auto"/>
              <w:right w:val="single" w:sz="4" w:space="0" w:color="auto"/>
            </w:tcBorders>
            <w:shd w:val="clear" w:color="auto" w:fill="auto"/>
            <w:noWrap/>
            <w:vAlign w:val="bottom"/>
            <w:hideMark/>
          </w:tcPr>
          <w:p w:rsidR="00055E6C" w:rsidRPr="002A1DEC" w:rsidRDefault="00055E6C" w:rsidP="006D0874">
            <w:pPr>
              <w:spacing w:before="0" w:after="0"/>
              <w:jc w:val="center"/>
              <w:rPr>
                <w:rFonts w:ascii="Calibri" w:eastAsia="Times New Roman" w:hAnsi="Calibri" w:cs="Times New Roman"/>
                <w:color w:val="000000"/>
                <w:lang w:eastAsia="ca-ES"/>
              </w:rPr>
            </w:pPr>
            <w:r w:rsidRPr="002A1DEC">
              <w:rPr>
                <w:rFonts w:ascii="Calibri" w:eastAsia="Times New Roman" w:hAnsi="Calibri" w:cs="Times New Roman"/>
                <w:color w:val="000000"/>
                <w:lang w:eastAsia="ca-ES"/>
              </w:rPr>
              <w:t>10,24%</w:t>
            </w:r>
          </w:p>
        </w:tc>
        <w:tc>
          <w:tcPr>
            <w:tcW w:w="1763" w:type="dxa"/>
            <w:tcBorders>
              <w:top w:val="nil"/>
              <w:left w:val="nil"/>
              <w:bottom w:val="single" w:sz="4" w:space="0" w:color="auto"/>
              <w:right w:val="single" w:sz="4" w:space="0" w:color="auto"/>
            </w:tcBorders>
            <w:shd w:val="clear" w:color="auto" w:fill="auto"/>
            <w:noWrap/>
            <w:vAlign w:val="bottom"/>
            <w:hideMark/>
          </w:tcPr>
          <w:p w:rsidR="00055E6C" w:rsidRPr="002A1DEC" w:rsidRDefault="00055E6C" w:rsidP="006D0874">
            <w:pPr>
              <w:spacing w:before="0" w:after="0"/>
              <w:jc w:val="right"/>
              <w:rPr>
                <w:rFonts w:ascii="Calibri" w:eastAsia="Times New Roman" w:hAnsi="Calibri" w:cs="Times New Roman"/>
                <w:color w:val="000000"/>
                <w:lang w:eastAsia="ca-ES"/>
              </w:rPr>
            </w:pPr>
            <w:r w:rsidRPr="002A1DEC">
              <w:rPr>
                <w:rFonts w:ascii="Calibri" w:eastAsia="Times New Roman" w:hAnsi="Calibri" w:cs="Times New Roman"/>
                <w:color w:val="000000"/>
                <w:lang w:eastAsia="ca-ES"/>
              </w:rPr>
              <w:t>286.630,85 €</w:t>
            </w:r>
          </w:p>
        </w:tc>
        <w:tc>
          <w:tcPr>
            <w:tcW w:w="1017" w:type="dxa"/>
            <w:tcBorders>
              <w:top w:val="nil"/>
              <w:left w:val="nil"/>
              <w:bottom w:val="single" w:sz="4" w:space="0" w:color="auto"/>
              <w:right w:val="single" w:sz="4" w:space="0" w:color="auto"/>
            </w:tcBorders>
            <w:shd w:val="clear" w:color="auto" w:fill="auto"/>
            <w:noWrap/>
            <w:vAlign w:val="bottom"/>
            <w:hideMark/>
          </w:tcPr>
          <w:p w:rsidR="00055E6C" w:rsidRPr="002A1DEC" w:rsidRDefault="00055E6C" w:rsidP="006D0874">
            <w:pPr>
              <w:spacing w:before="0" w:after="0"/>
              <w:jc w:val="center"/>
              <w:rPr>
                <w:rFonts w:ascii="Calibri" w:eastAsia="Times New Roman" w:hAnsi="Calibri" w:cs="Times New Roman"/>
                <w:color w:val="000000"/>
                <w:lang w:eastAsia="ca-ES"/>
              </w:rPr>
            </w:pPr>
            <w:r w:rsidRPr="002A1DEC">
              <w:rPr>
                <w:rFonts w:ascii="Calibri" w:eastAsia="Times New Roman" w:hAnsi="Calibri" w:cs="Times New Roman"/>
                <w:color w:val="000000"/>
                <w:lang w:eastAsia="ca-ES"/>
              </w:rPr>
              <w:t>51,98%</w:t>
            </w:r>
          </w:p>
        </w:tc>
      </w:tr>
      <w:tr w:rsidR="00055E6C" w:rsidRPr="002A1DEC" w:rsidTr="006D0874">
        <w:trPr>
          <w:trHeight w:val="300"/>
          <w:jc w:val="center"/>
        </w:trPr>
        <w:tc>
          <w:tcPr>
            <w:tcW w:w="580" w:type="dxa"/>
            <w:tcBorders>
              <w:top w:val="nil"/>
              <w:left w:val="single" w:sz="4" w:space="0" w:color="auto"/>
              <w:bottom w:val="single" w:sz="4" w:space="0" w:color="auto"/>
              <w:right w:val="single" w:sz="4" w:space="0" w:color="auto"/>
            </w:tcBorders>
            <w:shd w:val="clear" w:color="auto" w:fill="95B3D7" w:themeFill="accent1" w:themeFillTint="99"/>
            <w:noWrap/>
            <w:vAlign w:val="bottom"/>
            <w:hideMark/>
          </w:tcPr>
          <w:p w:rsidR="00055E6C" w:rsidRPr="002A1DEC" w:rsidRDefault="00055E6C" w:rsidP="006D0874">
            <w:pPr>
              <w:spacing w:before="0" w:after="0"/>
              <w:jc w:val="right"/>
              <w:rPr>
                <w:rFonts w:ascii="Calibri" w:eastAsia="Times New Roman" w:hAnsi="Calibri" w:cs="Times New Roman"/>
                <w:color w:val="000000"/>
                <w:lang w:eastAsia="ca-ES"/>
              </w:rPr>
            </w:pPr>
            <w:r w:rsidRPr="002A1DEC">
              <w:rPr>
                <w:rFonts w:ascii="Calibri" w:eastAsia="Times New Roman" w:hAnsi="Calibri" w:cs="Times New Roman"/>
                <w:color w:val="000000"/>
                <w:lang w:eastAsia="ca-ES"/>
              </w:rPr>
              <w:t>2015</w:t>
            </w:r>
          </w:p>
        </w:tc>
        <w:tc>
          <w:tcPr>
            <w:tcW w:w="1480" w:type="dxa"/>
            <w:tcBorders>
              <w:top w:val="nil"/>
              <w:left w:val="nil"/>
              <w:bottom w:val="single" w:sz="4" w:space="0" w:color="auto"/>
              <w:right w:val="single" w:sz="4" w:space="0" w:color="auto"/>
            </w:tcBorders>
            <w:shd w:val="clear" w:color="auto" w:fill="auto"/>
            <w:noWrap/>
            <w:vAlign w:val="bottom"/>
            <w:hideMark/>
          </w:tcPr>
          <w:p w:rsidR="00055E6C" w:rsidRPr="002A1DEC" w:rsidRDefault="00055E6C" w:rsidP="006D0874">
            <w:pPr>
              <w:spacing w:before="0" w:after="0"/>
              <w:jc w:val="right"/>
              <w:rPr>
                <w:rFonts w:ascii="Calibri" w:eastAsia="Times New Roman" w:hAnsi="Calibri" w:cs="Times New Roman"/>
                <w:color w:val="000000"/>
                <w:lang w:eastAsia="ca-ES"/>
              </w:rPr>
            </w:pPr>
            <w:r w:rsidRPr="002A1DEC">
              <w:rPr>
                <w:rFonts w:ascii="Calibri" w:eastAsia="Times New Roman" w:hAnsi="Calibri" w:cs="Times New Roman"/>
                <w:color w:val="000000"/>
                <w:lang w:eastAsia="ca-ES"/>
              </w:rPr>
              <w:t>5.901.253,86 €</w:t>
            </w:r>
          </w:p>
        </w:tc>
        <w:tc>
          <w:tcPr>
            <w:tcW w:w="1480" w:type="dxa"/>
            <w:tcBorders>
              <w:top w:val="nil"/>
              <w:left w:val="nil"/>
              <w:bottom w:val="single" w:sz="4" w:space="0" w:color="auto"/>
              <w:right w:val="single" w:sz="4" w:space="0" w:color="auto"/>
            </w:tcBorders>
            <w:shd w:val="clear" w:color="auto" w:fill="auto"/>
            <w:noWrap/>
            <w:vAlign w:val="bottom"/>
            <w:hideMark/>
          </w:tcPr>
          <w:p w:rsidR="00055E6C" w:rsidRPr="002A1DEC" w:rsidRDefault="00055E6C" w:rsidP="006D0874">
            <w:pPr>
              <w:spacing w:before="0" w:after="0"/>
              <w:jc w:val="right"/>
              <w:rPr>
                <w:rFonts w:ascii="Calibri" w:eastAsia="Times New Roman" w:hAnsi="Calibri" w:cs="Times New Roman"/>
                <w:color w:val="000000"/>
                <w:lang w:eastAsia="ca-ES"/>
              </w:rPr>
            </w:pPr>
            <w:r w:rsidRPr="002A1DEC">
              <w:rPr>
                <w:rFonts w:ascii="Calibri" w:eastAsia="Times New Roman" w:hAnsi="Calibri" w:cs="Times New Roman"/>
                <w:color w:val="000000"/>
                <w:lang w:eastAsia="ca-ES"/>
              </w:rPr>
              <w:t>1.097.857,13 €</w:t>
            </w:r>
          </w:p>
        </w:tc>
        <w:tc>
          <w:tcPr>
            <w:tcW w:w="1300" w:type="dxa"/>
            <w:tcBorders>
              <w:top w:val="nil"/>
              <w:left w:val="nil"/>
              <w:bottom w:val="single" w:sz="4" w:space="0" w:color="auto"/>
              <w:right w:val="single" w:sz="4" w:space="0" w:color="auto"/>
            </w:tcBorders>
            <w:shd w:val="clear" w:color="auto" w:fill="auto"/>
            <w:noWrap/>
            <w:vAlign w:val="bottom"/>
            <w:hideMark/>
          </w:tcPr>
          <w:p w:rsidR="00055E6C" w:rsidRPr="002A1DEC" w:rsidRDefault="00055E6C" w:rsidP="006D0874">
            <w:pPr>
              <w:spacing w:before="0" w:after="0"/>
              <w:jc w:val="center"/>
              <w:rPr>
                <w:rFonts w:ascii="Calibri" w:eastAsia="Times New Roman" w:hAnsi="Calibri" w:cs="Times New Roman"/>
                <w:color w:val="000000"/>
                <w:lang w:eastAsia="ca-ES"/>
              </w:rPr>
            </w:pPr>
            <w:r w:rsidRPr="002A1DEC">
              <w:rPr>
                <w:rFonts w:ascii="Calibri" w:eastAsia="Times New Roman" w:hAnsi="Calibri" w:cs="Times New Roman"/>
                <w:color w:val="000000"/>
                <w:lang w:eastAsia="ca-ES"/>
              </w:rPr>
              <w:t>18,60%</w:t>
            </w:r>
          </w:p>
        </w:tc>
        <w:tc>
          <w:tcPr>
            <w:tcW w:w="1763" w:type="dxa"/>
            <w:tcBorders>
              <w:top w:val="nil"/>
              <w:left w:val="nil"/>
              <w:bottom w:val="single" w:sz="4" w:space="0" w:color="auto"/>
              <w:right w:val="single" w:sz="4" w:space="0" w:color="auto"/>
            </w:tcBorders>
            <w:shd w:val="clear" w:color="auto" w:fill="auto"/>
            <w:noWrap/>
            <w:vAlign w:val="bottom"/>
            <w:hideMark/>
          </w:tcPr>
          <w:p w:rsidR="00055E6C" w:rsidRPr="002A1DEC" w:rsidRDefault="00055E6C" w:rsidP="006D0874">
            <w:pPr>
              <w:spacing w:before="0" w:after="0"/>
              <w:jc w:val="right"/>
              <w:rPr>
                <w:rFonts w:ascii="Calibri" w:eastAsia="Times New Roman" w:hAnsi="Calibri" w:cs="Times New Roman"/>
                <w:color w:val="000000"/>
                <w:lang w:eastAsia="ca-ES"/>
              </w:rPr>
            </w:pPr>
            <w:r w:rsidRPr="002A1DEC">
              <w:rPr>
                <w:rFonts w:ascii="Calibri" w:eastAsia="Times New Roman" w:hAnsi="Calibri" w:cs="Times New Roman"/>
                <w:color w:val="000000"/>
                <w:lang w:eastAsia="ca-ES"/>
              </w:rPr>
              <w:t>619.456,93 €</w:t>
            </w:r>
          </w:p>
        </w:tc>
        <w:tc>
          <w:tcPr>
            <w:tcW w:w="1017" w:type="dxa"/>
            <w:tcBorders>
              <w:top w:val="nil"/>
              <w:left w:val="nil"/>
              <w:bottom w:val="single" w:sz="4" w:space="0" w:color="auto"/>
              <w:right w:val="single" w:sz="4" w:space="0" w:color="auto"/>
            </w:tcBorders>
            <w:shd w:val="clear" w:color="auto" w:fill="auto"/>
            <w:noWrap/>
            <w:vAlign w:val="bottom"/>
            <w:hideMark/>
          </w:tcPr>
          <w:p w:rsidR="00055E6C" w:rsidRPr="002A1DEC" w:rsidRDefault="00055E6C" w:rsidP="006D0874">
            <w:pPr>
              <w:spacing w:before="0" w:after="0"/>
              <w:jc w:val="center"/>
              <w:rPr>
                <w:rFonts w:ascii="Calibri" w:eastAsia="Times New Roman" w:hAnsi="Calibri" w:cs="Times New Roman"/>
                <w:color w:val="000000"/>
                <w:lang w:eastAsia="ca-ES"/>
              </w:rPr>
            </w:pPr>
            <w:r w:rsidRPr="002A1DEC">
              <w:rPr>
                <w:rFonts w:ascii="Calibri" w:eastAsia="Times New Roman" w:hAnsi="Calibri" w:cs="Times New Roman"/>
                <w:color w:val="000000"/>
                <w:lang w:eastAsia="ca-ES"/>
              </w:rPr>
              <w:t>56,42%</w:t>
            </w:r>
          </w:p>
        </w:tc>
      </w:tr>
      <w:tr w:rsidR="00055E6C" w:rsidRPr="002A1DEC" w:rsidTr="006D0874">
        <w:trPr>
          <w:trHeight w:val="300"/>
          <w:jc w:val="center"/>
        </w:trPr>
        <w:tc>
          <w:tcPr>
            <w:tcW w:w="580" w:type="dxa"/>
            <w:tcBorders>
              <w:top w:val="nil"/>
              <w:left w:val="single" w:sz="4" w:space="0" w:color="auto"/>
              <w:bottom w:val="single" w:sz="4" w:space="0" w:color="auto"/>
              <w:right w:val="single" w:sz="4" w:space="0" w:color="auto"/>
            </w:tcBorders>
            <w:shd w:val="clear" w:color="auto" w:fill="95B3D7" w:themeFill="accent1" w:themeFillTint="99"/>
            <w:noWrap/>
            <w:vAlign w:val="bottom"/>
            <w:hideMark/>
          </w:tcPr>
          <w:p w:rsidR="00055E6C" w:rsidRPr="002A1DEC" w:rsidRDefault="00055E6C" w:rsidP="006D0874">
            <w:pPr>
              <w:spacing w:before="0" w:after="0"/>
              <w:jc w:val="right"/>
              <w:rPr>
                <w:rFonts w:ascii="Calibri" w:eastAsia="Times New Roman" w:hAnsi="Calibri" w:cs="Times New Roman"/>
                <w:color w:val="000000"/>
                <w:lang w:eastAsia="ca-ES"/>
              </w:rPr>
            </w:pPr>
            <w:r w:rsidRPr="002A1DEC">
              <w:rPr>
                <w:rFonts w:ascii="Calibri" w:eastAsia="Times New Roman" w:hAnsi="Calibri" w:cs="Times New Roman"/>
                <w:color w:val="000000"/>
                <w:lang w:eastAsia="ca-ES"/>
              </w:rPr>
              <w:t>2016</w:t>
            </w:r>
          </w:p>
        </w:tc>
        <w:tc>
          <w:tcPr>
            <w:tcW w:w="1480" w:type="dxa"/>
            <w:tcBorders>
              <w:top w:val="nil"/>
              <w:left w:val="nil"/>
              <w:bottom w:val="single" w:sz="4" w:space="0" w:color="auto"/>
              <w:right w:val="single" w:sz="4" w:space="0" w:color="auto"/>
            </w:tcBorders>
            <w:shd w:val="clear" w:color="auto" w:fill="auto"/>
            <w:noWrap/>
            <w:vAlign w:val="bottom"/>
            <w:hideMark/>
          </w:tcPr>
          <w:p w:rsidR="00055E6C" w:rsidRPr="002A1DEC" w:rsidRDefault="00055E6C" w:rsidP="006D0874">
            <w:pPr>
              <w:spacing w:before="0" w:after="0"/>
              <w:jc w:val="right"/>
              <w:rPr>
                <w:rFonts w:ascii="Calibri" w:eastAsia="Times New Roman" w:hAnsi="Calibri" w:cs="Times New Roman"/>
                <w:color w:val="000000"/>
                <w:lang w:eastAsia="ca-ES"/>
              </w:rPr>
            </w:pPr>
            <w:r w:rsidRPr="002A1DEC">
              <w:rPr>
                <w:rFonts w:ascii="Calibri" w:eastAsia="Times New Roman" w:hAnsi="Calibri" w:cs="Times New Roman"/>
                <w:color w:val="000000"/>
                <w:lang w:eastAsia="ca-ES"/>
              </w:rPr>
              <w:t>5.735.958,40 €</w:t>
            </w:r>
          </w:p>
        </w:tc>
        <w:tc>
          <w:tcPr>
            <w:tcW w:w="1480" w:type="dxa"/>
            <w:tcBorders>
              <w:top w:val="nil"/>
              <w:left w:val="nil"/>
              <w:bottom w:val="single" w:sz="4" w:space="0" w:color="auto"/>
              <w:right w:val="single" w:sz="4" w:space="0" w:color="auto"/>
            </w:tcBorders>
            <w:shd w:val="clear" w:color="auto" w:fill="auto"/>
            <w:noWrap/>
            <w:vAlign w:val="bottom"/>
            <w:hideMark/>
          </w:tcPr>
          <w:p w:rsidR="00055E6C" w:rsidRPr="002A1DEC" w:rsidRDefault="00055E6C" w:rsidP="006D0874">
            <w:pPr>
              <w:spacing w:before="0" w:after="0"/>
              <w:jc w:val="right"/>
              <w:rPr>
                <w:rFonts w:ascii="Calibri" w:eastAsia="Times New Roman" w:hAnsi="Calibri" w:cs="Times New Roman"/>
                <w:color w:val="000000"/>
                <w:lang w:eastAsia="ca-ES"/>
              </w:rPr>
            </w:pPr>
            <w:r w:rsidRPr="002A1DEC">
              <w:rPr>
                <w:rFonts w:ascii="Calibri" w:eastAsia="Times New Roman" w:hAnsi="Calibri" w:cs="Times New Roman"/>
                <w:color w:val="000000"/>
                <w:lang w:eastAsia="ca-ES"/>
              </w:rPr>
              <w:t>823.786,00 €</w:t>
            </w:r>
          </w:p>
        </w:tc>
        <w:tc>
          <w:tcPr>
            <w:tcW w:w="1300" w:type="dxa"/>
            <w:tcBorders>
              <w:top w:val="nil"/>
              <w:left w:val="nil"/>
              <w:bottom w:val="single" w:sz="4" w:space="0" w:color="auto"/>
              <w:right w:val="single" w:sz="4" w:space="0" w:color="auto"/>
            </w:tcBorders>
            <w:shd w:val="clear" w:color="auto" w:fill="auto"/>
            <w:noWrap/>
            <w:vAlign w:val="bottom"/>
            <w:hideMark/>
          </w:tcPr>
          <w:p w:rsidR="00055E6C" w:rsidRPr="002A1DEC" w:rsidRDefault="00055E6C" w:rsidP="006D0874">
            <w:pPr>
              <w:spacing w:before="0" w:after="0"/>
              <w:jc w:val="center"/>
              <w:rPr>
                <w:rFonts w:ascii="Calibri" w:eastAsia="Times New Roman" w:hAnsi="Calibri" w:cs="Times New Roman"/>
                <w:color w:val="000000"/>
                <w:lang w:eastAsia="ca-ES"/>
              </w:rPr>
            </w:pPr>
            <w:r w:rsidRPr="002A1DEC">
              <w:rPr>
                <w:rFonts w:ascii="Calibri" w:eastAsia="Times New Roman" w:hAnsi="Calibri" w:cs="Times New Roman"/>
                <w:color w:val="000000"/>
                <w:lang w:eastAsia="ca-ES"/>
              </w:rPr>
              <w:t>14,36%</w:t>
            </w:r>
          </w:p>
        </w:tc>
        <w:tc>
          <w:tcPr>
            <w:tcW w:w="1763" w:type="dxa"/>
            <w:tcBorders>
              <w:top w:val="nil"/>
              <w:left w:val="nil"/>
              <w:bottom w:val="single" w:sz="4" w:space="0" w:color="auto"/>
              <w:right w:val="single" w:sz="4" w:space="0" w:color="auto"/>
            </w:tcBorders>
            <w:shd w:val="clear" w:color="auto" w:fill="auto"/>
            <w:noWrap/>
            <w:vAlign w:val="bottom"/>
            <w:hideMark/>
          </w:tcPr>
          <w:p w:rsidR="00055E6C" w:rsidRPr="002A1DEC" w:rsidRDefault="00055E6C" w:rsidP="006D0874">
            <w:pPr>
              <w:spacing w:before="0" w:after="0"/>
              <w:jc w:val="right"/>
              <w:rPr>
                <w:rFonts w:ascii="Calibri" w:eastAsia="Times New Roman" w:hAnsi="Calibri" w:cs="Times New Roman"/>
                <w:color w:val="000000"/>
                <w:lang w:eastAsia="ca-ES"/>
              </w:rPr>
            </w:pPr>
            <w:r w:rsidRPr="002A1DEC">
              <w:rPr>
                <w:rFonts w:ascii="Calibri" w:eastAsia="Times New Roman" w:hAnsi="Calibri" w:cs="Times New Roman"/>
                <w:color w:val="000000"/>
                <w:lang w:eastAsia="ca-ES"/>
              </w:rPr>
              <w:t>316.197,15 €</w:t>
            </w:r>
          </w:p>
        </w:tc>
        <w:tc>
          <w:tcPr>
            <w:tcW w:w="1017" w:type="dxa"/>
            <w:tcBorders>
              <w:top w:val="nil"/>
              <w:left w:val="nil"/>
              <w:bottom w:val="single" w:sz="4" w:space="0" w:color="auto"/>
              <w:right w:val="single" w:sz="4" w:space="0" w:color="auto"/>
            </w:tcBorders>
            <w:shd w:val="clear" w:color="auto" w:fill="auto"/>
            <w:noWrap/>
            <w:vAlign w:val="bottom"/>
            <w:hideMark/>
          </w:tcPr>
          <w:p w:rsidR="00055E6C" w:rsidRPr="002A1DEC" w:rsidRDefault="00055E6C" w:rsidP="006D0874">
            <w:pPr>
              <w:spacing w:before="0" w:after="0"/>
              <w:jc w:val="center"/>
              <w:rPr>
                <w:rFonts w:ascii="Calibri" w:eastAsia="Times New Roman" w:hAnsi="Calibri" w:cs="Times New Roman"/>
                <w:color w:val="000000"/>
                <w:lang w:eastAsia="ca-ES"/>
              </w:rPr>
            </w:pPr>
            <w:r w:rsidRPr="002A1DEC">
              <w:rPr>
                <w:rFonts w:ascii="Calibri" w:eastAsia="Times New Roman" w:hAnsi="Calibri" w:cs="Times New Roman"/>
                <w:color w:val="000000"/>
                <w:lang w:eastAsia="ca-ES"/>
              </w:rPr>
              <w:t>38,38%</w:t>
            </w:r>
          </w:p>
        </w:tc>
      </w:tr>
    </w:tbl>
    <w:p w:rsidR="00055E6C" w:rsidRDefault="009A1F67" w:rsidP="00BB551F">
      <w:pPr>
        <w:pStyle w:val="Llegenda"/>
        <w:jc w:val="center"/>
      </w:pPr>
      <w:bookmarkStart w:id="614" w:name="_Toc465293864"/>
      <w:r>
        <w:t>Gràfic</w:t>
      </w:r>
      <w:r w:rsidR="00055E6C">
        <w:t xml:space="preserve"> </w:t>
      </w:r>
      <w:r w:rsidR="00DB496B">
        <w:fldChar w:fldCharType="begin"/>
      </w:r>
      <w:r w:rsidR="00DB496B">
        <w:instrText xml:space="preserve"> SEQ Il·lustració \* ARABIC </w:instrText>
      </w:r>
      <w:r w:rsidR="00DB496B">
        <w:fldChar w:fldCharType="separate"/>
      </w:r>
      <w:r w:rsidR="00C952DF">
        <w:rPr>
          <w:noProof/>
        </w:rPr>
        <w:t>57</w:t>
      </w:r>
      <w:r w:rsidR="00DB496B">
        <w:rPr>
          <w:noProof/>
        </w:rPr>
        <w:fldChar w:fldCharType="end"/>
      </w:r>
      <w:r w:rsidR="00055E6C">
        <w:t xml:space="preserve"> Despesa TIC anual en l’àmbit de l’execució penal</w:t>
      </w:r>
      <w:bookmarkEnd w:id="614"/>
    </w:p>
    <w:p w:rsidR="00055E6C" w:rsidRDefault="00055E6C" w:rsidP="006D0874"/>
    <w:p w:rsidR="00055E6C" w:rsidRDefault="00055E6C" w:rsidP="0070401F">
      <w:pPr>
        <w:pStyle w:val="Ttol2"/>
      </w:pPr>
      <w:bookmarkStart w:id="615" w:name="_Toc463470057"/>
      <w:bookmarkStart w:id="616" w:name="_Toc464685746"/>
      <w:bookmarkStart w:id="617" w:name="_Toc465293484"/>
      <w:r>
        <w:t xml:space="preserve">Reduint distàncies: </w:t>
      </w:r>
      <w:r w:rsidRPr="005B4C56">
        <w:t>l’impuls</w:t>
      </w:r>
      <w:r>
        <w:t xml:space="preserve"> de les </w:t>
      </w:r>
      <w:r w:rsidRPr="00803DEF">
        <w:t>videoconferències</w:t>
      </w:r>
      <w:bookmarkEnd w:id="615"/>
      <w:bookmarkEnd w:id="616"/>
      <w:bookmarkEnd w:id="617"/>
    </w:p>
    <w:p w:rsidR="00055E6C" w:rsidRPr="004251D0" w:rsidRDefault="00055E6C" w:rsidP="006D0874">
      <w:r>
        <w:t xml:space="preserve">La Llei orgànica 1/1979, de 26 de setembre, general penitenciària, recull una sèrie de drets </w:t>
      </w:r>
      <w:r w:rsidRPr="004251D0">
        <w:t>dels interns del</w:t>
      </w:r>
      <w:r>
        <w:t>s c</w:t>
      </w:r>
      <w:r w:rsidRPr="004251D0">
        <w:t xml:space="preserve">entres penitenciaris a rebre informació, comunicar-se, i mantenir les relacions personals amb institucions, organismes, professionals, persones i familiars aliens als centres penitenciaris. Sovint, l’exercici d’aquest dret comporta la necessitat de desplaçaments als centres penitenciaris per part dels professionals encarregats de la seva defensa, o dels seus familiars i, d’altres vegades, el desplaçament del </w:t>
      </w:r>
      <w:r>
        <w:t>mateix</w:t>
      </w:r>
      <w:r w:rsidRPr="004251D0">
        <w:t xml:space="preserve"> intern per participar en diligències judicials o policials. Aquests desplaçaments impliquen una despesa per a qui s’ha de desplaçar, siguin advocats, famílies o a la </w:t>
      </w:r>
      <w:r>
        <w:t>mateixa A</w:t>
      </w:r>
      <w:r w:rsidRPr="004251D0">
        <w:t xml:space="preserve">dministració, responsable de custodiar l’intern en els seus moviments fora del centre. A més, quan és l’intern qui s’ha de moure fora del centre, es produeix sempre un risc en la seguretat. </w:t>
      </w:r>
    </w:p>
    <w:p w:rsidR="00055E6C" w:rsidRDefault="00055E6C" w:rsidP="006D0874">
      <w:r w:rsidRPr="004251D0">
        <w:t>És freqüent que la distància faci inviable les comunicacions entre els interns i les seves</w:t>
      </w:r>
      <w:r>
        <w:t xml:space="preserve"> famílies, cosa que representa la impossibilitat de mantenir relacions visuals amb els éssers estimats i minva l’exercici del dret a la comunicació, amb la conseqüent afectació emocional, afectiva i psicològica tant de l’intern com dels seus pares, fills o parella.</w:t>
      </w:r>
    </w:p>
    <w:p w:rsidR="00055E6C" w:rsidRDefault="00055E6C" w:rsidP="006D0874">
      <w:r>
        <w:t xml:space="preserve">Atès que el Departament de Justícia de la Generalitat de Catalunya considera prioritari el foment i l’ús generalitzat de les noves tecnologies per a la millora i optimització del </w:t>
      </w:r>
      <w:r>
        <w:lastRenderedPageBreak/>
        <w:t>desenvolupament de les seves funcions i, alhora, per a la qualitat del servei públic que presta, la videoconferència és una de les tecnologies identificades que pot permetre resoldre alguns problemes i assolir els objectius d’eficiència i eficàcia, per això se n’estén l’ús en diferents àmbits de l’execució penal.</w:t>
      </w:r>
    </w:p>
    <w:p w:rsidR="00055E6C" w:rsidRDefault="00055E6C" w:rsidP="006D0874">
      <w:r>
        <w:t>Les videoconferències van ser operatives durant l’any 2004, acomplint així la Llei orgànica 6/1985, d’1 de juliol, del poder judicial que estableix, en el seu article 229, que quan ho decideixi el jutge o tribunal, les actuacions judicials poden dur-se a terme a través de videoconferència.</w:t>
      </w:r>
    </w:p>
    <w:p w:rsidR="00055E6C" w:rsidRDefault="00055E6C" w:rsidP="006D0874">
      <w:r>
        <w:t>Quant a l’assistència lletrada, el mes de maig de 2014, es va signar un acord marc de col·laboració en matèria tecnològica entre el Departament de Justícia i el Consell dels  Il·lustres Col·legis d’Advocats de Catalunya, gràcies al qual la implantació de la comunicació mitjançant videoconferència entre els lletrats i les persones internes es va convertir en un tema prioritari.</w:t>
      </w:r>
    </w:p>
    <w:p w:rsidR="00055E6C" w:rsidRDefault="00055E6C" w:rsidP="006D0874">
      <w:r>
        <w:t>Entre finals de 2014 i principis de 2105, es va fer una anàlisi exhaustiva de la viabilitat i desplegament de la videoconferència en diferents casos d’ús de l’àmbit de l’execució penal (diligències judicials, notificacions dels òrgans judicials, assistència lletrada, comunicació amb famílies i assistència sanitària), mitjançant un projecte de consultoria amb l’empresa Telefònica que, a partir d’una anàlisi inicial dels requeriments i condicionants organitzatius, tecnològics, de seguretat de la informació i d’instal·lació, va permetre tenir una primera aproximació sobre com es podria utilitzar la videoconferència en cada cas.</w:t>
      </w:r>
    </w:p>
    <w:p w:rsidR="00055E6C" w:rsidRDefault="00055E6C" w:rsidP="006D0874">
      <w:r>
        <w:t>El dia 23 de setembre de 2015, va entrar en funcionament el projecte pilot de VCO entre l’Il·lustre Col·legi d’Advocats de Barcelona (ICAB) i el CP Quatre Camins, l’anàlisi del qual va concloure la necessitat d’ampliar les vies de comunicació i millorar el contingut en la comunicació del servei entre els lletrats,  necessitat de revisar els procediments i circuits per minimitzar els temps de sol·licitud i de resposta administrativa, necessitat de crear una aplicació d’agenda,  necessitat d’establir vies senzilles i ràpides per a la resolució d’incidències i, finalment, necessitat d’ampliar el servei a altres centres penitenciaris</w:t>
      </w:r>
    </w:p>
    <w:p w:rsidR="00055E6C" w:rsidRDefault="00055E6C" w:rsidP="006D0874">
      <w:r>
        <w:t>Actualment (mes de setembre de 2016), es compta amb un projecte extensiu de videoconferències en diversos casos d’ús, que ha de desplegar-se entre els anys 2016 i 2017.</w:t>
      </w:r>
    </w:p>
    <w:p w:rsidR="00055E6C" w:rsidRDefault="00055E6C" w:rsidP="0070401F">
      <w:pPr>
        <w:pStyle w:val="Ttol3"/>
      </w:pPr>
      <w:bookmarkStart w:id="618" w:name="_Toc463470058"/>
      <w:bookmarkStart w:id="619" w:name="_Toc464685747"/>
      <w:bookmarkStart w:id="620" w:name="_Toc465293485"/>
      <w:r w:rsidRPr="005B4C56">
        <w:t>Comunicacions</w:t>
      </w:r>
      <w:r>
        <w:t xml:space="preserve"> amb advocats</w:t>
      </w:r>
      <w:bookmarkEnd w:id="618"/>
      <w:bookmarkEnd w:id="619"/>
      <w:bookmarkEnd w:id="620"/>
    </w:p>
    <w:p w:rsidR="00055E6C" w:rsidRDefault="00055E6C" w:rsidP="006D0874">
      <w:r>
        <w:t>Representen un volum de 36.983 visites presencials anuals. S’ha previst el desplegament entre 6 centres penitenciaris (CP Quatre Camins, CP Brians 1, CP Lledoners, CP Puig de les Basses, CP d’Homes de Barcelona, CP Mas d’Enric) i 9 col·legis d’advocats (Il·lustre Col·legi d’Advocats de Barcelona, Il·lustre Col·legi d’Advocats del Vallès Oriental, Il·lustre Col·legi d’Advocats de Sant Feliu de Llobregat, Il·lustre Col·legi d’Advocats de Girona, Il·lustre Col·legi d’Advocats de Tarragona, Il·lustre Col·legi d’Advocats de Reus, Il·lustre Col·legi d’Advocats de Figueres, Il·lustre Col·legi d’Advocats de Lleida) en una relació de tots amb tots. En aquests moments, estan acabant les proves de comunicació entre les seus i s’està treballant en els protocols.</w:t>
      </w:r>
    </w:p>
    <w:p w:rsidR="00055E6C" w:rsidRDefault="00055E6C" w:rsidP="0070401F">
      <w:pPr>
        <w:pStyle w:val="Ttol3"/>
      </w:pPr>
      <w:bookmarkStart w:id="621" w:name="_Toc463470059"/>
      <w:bookmarkStart w:id="622" w:name="_Toc464685748"/>
      <w:bookmarkStart w:id="623" w:name="_Toc465293486"/>
      <w:r w:rsidRPr="005B4C56">
        <w:t>Comunicacions</w:t>
      </w:r>
      <w:r>
        <w:t xml:space="preserve"> amb familiars</w:t>
      </w:r>
      <w:bookmarkEnd w:id="621"/>
      <w:bookmarkEnd w:id="622"/>
      <w:bookmarkEnd w:id="623"/>
    </w:p>
    <w:p w:rsidR="00055E6C" w:rsidRDefault="00055E6C" w:rsidP="006D0874">
      <w:r>
        <w:t>Actualment, hi ha 1.634 persones internades que no han comunicat amb les seves famílies en els últims 6 mesos. La prioritat és la comunicació entre els progenitors encarcerats i els seus fills en països estrangers, per a la qual cosa s’està treballant amb les ONG Niños s</w:t>
      </w:r>
      <w:r w:rsidRPr="004251D0">
        <w:t>in Barreras i Aldees SOS. També ja s’ha</w:t>
      </w:r>
      <w:r>
        <w:t>n</w:t>
      </w:r>
      <w:r w:rsidRPr="004251D0">
        <w:t xml:space="preserve"> establert</w:t>
      </w:r>
      <w:r>
        <w:t xml:space="preserve"> els primers contactes amb els c</w:t>
      </w:r>
      <w:r w:rsidRPr="004251D0">
        <w:t>ònsols de Romania i Colòmbia</w:t>
      </w:r>
      <w:r>
        <w:t xml:space="preserve"> per escometre les comunicacions de les persones internes amb familiars, siguin menors de edat o adults.</w:t>
      </w:r>
    </w:p>
    <w:p w:rsidR="00055E6C" w:rsidRDefault="00055E6C" w:rsidP="0070401F">
      <w:pPr>
        <w:pStyle w:val="Ttol3"/>
      </w:pPr>
      <w:bookmarkStart w:id="624" w:name="_Toc463470060"/>
      <w:bookmarkStart w:id="625" w:name="_Toc464685749"/>
      <w:bookmarkStart w:id="626" w:name="_Toc465293487"/>
      <w:r w:rsidRPr="005B4C56">
        <w:lastRenderedPageBreak/>
        <w:t>Diligències</w:t>
      </w:r>
      <w:r>
        <w:t xml:space="preserve"> judicials</w:t>
      </w:r>
      <w:bookmarkEnd w:id="624"/>
      <w:bookmarkEnd w:id="625"/>
      <w:bookmarkEnd w:id="626"/>
    </w:p>
    <w:p w:rsidR="00055E6C" w:rsidRDefault="00055E6C" w:rsidP="006D0874">
      <w:r>
        <w:t xml:space="preserve">Representen aproximadament 15.000 sortides anuals d’interns per desplaçar-se a un jutjat per atendre una petició de compareixença emesa per un jutge i efectuar una actuació judicial. Aquestes sortides requereixen la custòdia en tot moment per part de les forces de seguretat. El Projecte 2016-2017 estableix treballar per fomentar l’ús de les VCO en les diligències judicials. </w:t>
      </w:r>
    </w:p>
    <w:p w:rsidR="00055E6C" w:rsidRDefault="00055E6C" w:rsidP="0070401F">
      <w:pPr>
        <w:pStyle w:val="Ttol3"/>
      </w:pPr>
      <w:bookmarkStart w:id="627" w:name="_Toc463470061"/>
      <w:bookmarkStart w:id="628" w:name="_Toc464685750"/>
      <w:bookmarkStart w:id="629" w:name="_Toc465293488"/>
      <w:r w:rsidRPr="005B4C56">
        <w:t>Testimonis</w:t>
      </w:r>
      <w:r>
        <w:t xml:space="preserve"> de funcionaris</w:t>
      </w:r>
      <w:bookmarkEnd w:id="627"/>
      <w:bookmarkEnd w:id="628"/>
      <w:bookmarkEnd w:id="629"/>
    </w:p>
    <w:p w:rsidR="00055E6C" w:rsidRDefault="00055E6C" w:rsidP="006D0874">
      <w:r>
        <w:t>Té la finalitat de reduir l’assistència presencial quan els funcionaris penitenciaris són cridats com a testimonis en assumptes relacionats amb incidències penitenciàries. El Projecte 2016-2017 inclou incentivar les VCO per reduir les molèsties que suposa per als funcionaris (els quals han de desplaçar-se i coincidir en el mateix espai amb els interns i les seves famílies) i la despesa pública que representa el cost dels desplaçaments i l’absència del lloc de treball.</w:t>
      </w:r>
    </w:p>
    <w:p w:rsidR="00055E6C" w:rsidRDefault="00055E6C" w:rsidP="0070401F">
      <w:pPr>
        <w:pStyle w:val="Ttol3"/>
      </w:pPr>
      <w:bookmarkStart w:id="630" w:name="_Toc463470062"/>
      <w:bookmarkStart w:id="631" w:name="_Toc464685751"/>
      <w:bookmarkStart w:id="632" w:name="_Toc465293489"/>
      <w:r>
        <w:t xml:space="preserve">Notificacions i </w:t>
      </w:r>
      <w:r w:rsidRPr="005B4C56">
        <w:t>comunicacions</w:t>
      </w:r>
      <w:r>
        <w:t xml:space="preserve"> judicials segures</w:t>
      </w:r>
      <w:bookmarkEnd w:id="630"/>
      <w:bookmarkEnd w:id="631"/>
      <w:bookmarkEnd w:id="632"/>
    </w:p>
    <w:p w:rsidR="00055E6C" w:rsidRDefault="00055E6C" w:rsidP="006D0874">
      <w:r>
        <w:t>S’estimen en unes 24.300 comunicacions anuals entre els òrgans judicials i els interns. Aquestes comunicacions impliquen que un agent judicial es presenta al centre penitenciari en què l’intern estigui ingressat i li lliura personalment la documentació, tot custodiant la documentació i posteriorment la signatura de recepció de l’intern. Està previst en el projecte començar el lliurament telemàtic de la documentació mitjançant el suport de la VCO i la tramesa prèvia de la documentació mitjançant una plataforma segura al CP Puig de les Bases, CP Lledoners i CP Mas d’Enric.</w:t>
      </w:r>
    </w:p>
    <w:p w:rsidR="00055E6C" w:rsidRDefault="00055E6C" w:rsidP="0070401F">
      <w:pPr>
        <w:pStyle w:val="Ttol3"/>
      </w:pPr>
      <w:bookmarkStart w:id="633" w:name="_Toc463470063"/>
      <w:bookmarkStart w:id="634" w:name="_Toc464685752"/>
      <w:bookmarkStart w:id="635" w:name="_Toc465293490"/>
      <w:r>
        <w:t xml:space="preserve">Els sistemes </w:t>
      </w:r>
      <w:r w:rsidRPr="005B4C56">
        <w:t>d’informació</w:t>
      </w:r>
      <w:r>
        <w:t xml:space="preserve"> al servei de les videoconferències</w:t>
      </w:r>
      <w:bookmarkEnd w:id="633"/>
      <w:bookmarkEnd w:id="634"/>
      <w:bookmarkEnd w:id="635"/>
    </w:p>
    <w:p w:rsidR="00055E6C" w:rsidRPr="004251D0" w:rsidRDefault="00055E6C" w:rsidP="006D0874">
      <w:r>
        <w:t xml:space="preserve">Aquest projecte d’impuls de l’ús de les videoconferències en centres penitenciaris, amb els beneficis que se n’obtindran, tant econòmics com en termes d’avantatges per a les persones, és un clar exemple de l’ús de les tecnologies per a la modernització de la gestió de l’execució penal. En aquest sentit, convé indicar que no únicament la tecnologia entesa com a aparells de videoconferències i línies de comunicacions és clau per a dur a terme el projecte, sinó que els sistemes d’informació es posen al servei de la iniciativa per donar-li suport. Així, en el marc d’aquest projecte es desenvoluparà i implantarà un sistema d’informació per a gestionar l’agenda de les sales de videoconferència vinculada amb la disponibilitat dels interns, i també es posaran al dia els sistemes d’informació penitenciària per actualitzar els registres de comunicacions dels interns, així com tota aquella informació necessària que hi estigui relacionada. </w:t>
      </w:r>
    </w:p>
    <w:p w:rsidR="00E930B2" w:rsidRPr="00622E3C" w:rsidRDefault="00E930B2" w:rsidP="00E930B2"/>
    <w:p w:rsidR="00E930B2" w:rsidRDefault="00E930B2" w:rsidP="00244AA3"/>
    <w:p w:rsidR="00E930B2" w:rsidRDefault="00E930B2" w:rsidP="00244AA3"/>
    <w:p w:rsidR="00F33156" w:rsidRPr="003011C5" w:rsidRDefault="00F33156" w:rsidP="00F546E2">
      <w:r w:rsidRPr="003011C5">
        <w:br w:type="page"/>
      </w:r>
    </w:p>
    <w:p w:rsidR="00F33156" w:rsidRDefault="00F33156" w:rsidP="0070401F">
      <w:pPr>
        <w:pStyle w:val="Ttol1"/>
      </w:pPr>
      <w:bookmarkStart w:id="636" w:name="_Toc464202399"/>
      <w:bookmarkStart w:id="637" w:name="_Toc464685753"/>
      <w:bookmarkStart w:id="638" w:name="_Toc465293491"/>
      <w:r w:rsidRPr="003011C5">
        <w:lastRenderedPageBreak/>
        <w:t>La participació i la transparència</w:t>
      </w:r>
      <w:bookmarkEnd w:id="636"/>
      <w:bookmarkEnd w:id="637"/>
      <w:bookmarkEnd w:id="638"/>
    </w:p>
    <w:p w:rsidR="00F33156" w:rsidRPr="00F33156" w:rsidRDefault="00F33156" w:rsidP="00F33156"/>
    <w:p w:rsidR="00F33156" w:rsidRPr="003011C5" w:rsidRDefault="00F33156" w:rsidP="0070401F">
      <w:pPr>
        <w:pStyle w:val="Ttol2"/>
      </w:pPr>
      <w:bookmarkStart w:id="639" w:name="_Toc464202402"/>
      <w:bookmarkStart w:id="640" w:name="_Toc464685754"/>
      <w:bookmarkStart w:id="641" w:name="_Toc465293492"/>
      <w:r w:rsidRPr="003011C5">
        <w:t xml:space="preserve">La participació com a fonament del model </w:t>
      </w:r>
      <w:r w:rsidR="00D25C70">
        <w:t>d’execució penal</w:t>
      </w:r>
      <w:bookmarkEnd w:id="639"/>
      <w:bookmarkEnd w:id="640"/>
      <w:bookmarkEnd w:id="641"/>
    </w:p>
    <w:p w:rsidR="00F33156" w:rsidRPr="003011C5" w:rsidRDefault="00F33156" w:rsidP="00A41348">
      <w:r w:rsidRPr="003011C5">
        <w:t xml:space="preserve">Les persones usuàries dels serveis d’execució penal són aquelles que han comès </w:t>
      </w:r>
      <w:r>
        <w:rPr>
          <w:rFonts w:cs="Arial"/>
        </w:rPr>
        <w:t>–</w:t>
      </w:r>
      <w:r w:rsidRPr="003011C5">
        <w:t>o presumptament se’ls</w:t>
      </w:r>
      <w:r>
        <w:t xml:space="preserve"> atribueix</w:t>
      </w:r>
      <w:r>
        <w:rPr>
          <w:rFonts w:cs="Arial"/>
        </w:rPr>
        <w:t>–</w:t>
      </w:r>
      <w:r w:rsidRPr="003011C5">
        <w:t xml:space="preserve"> un acte il·lícit que deriva en el compliment d’una pena ferma o preventiva, establerta per un òrgan judicial. Per tant, un cop finalitzada la condemna, aquestes persones ha</w:t>
      </w:r>
      <w:r>
        <w:t>ur</w:t>
      </w:r>
      <w:r w:rsidRPr="003011C5">
        <w:t xml:space="preserve">an de reincorporar-se </w:t>
      </w:r>
      <w:r>
        <w:t>a la</w:t>
      </w:r>
      <w:r w:rsidRPr="003011C5">
        <w:t xml:space="preserve"> societat</w:t>
      </w:r>
      <w:r>
        <w:t>,</w:t>
      </w:r>
      <w:r w:rsidRPr="003011C5">
        <w:t xml:space="preserve"> i l’efectivitat del sistema es mesurarà </w:t>
      </w:r>
      <w:r>
        <w:t>per</w:t>
      </w:r>
      <w:r w:rsidRPr="003011C5">
        <w:t xml:space="preserve"> la capacitat d’aquest</w:t>
      </w:r>
      <w:r>
        <w:t>es</w:t>
      </w:r>
      <w:r w:rsidRPr="003011C5">
        <w:t xml:space="preserve"> person</w:t>
      </w:r>
      <w:r>
        <w:t>es</w:t>
      </w:r>
      <w:r w:rsidRPr="003011C5">
        <w:t xml:space="preserve"> per reinserir-se de ma</w:t>
      </w:r>
      <w:r>
        <w:t>nera</w:t>
      </w:r>
      <w:r w:rsidRPr="003011C5">
        <w:t xml:space="preserve"> satisfactòria i no tornar a cometre un acte il·lícit.</w:t>
      </w:r>
    </w:p>
    <w:p w:rsidR="00F33156" w:rsidRPr="003011C5" w:rsidRDefault="00F33156" w:rsidP="00A41348">
      <w:r w:rsidRPr="003011C5">
        <w:t>Es pot afirmar</w:t>
      </w:r>
      <w:r w:rsidR="00D25C70">
        <w:t xml:space="preserve"> que les funcions més especialitzades</w:t>
      </w:r>
      <w:r w:rsidRPr="003011C5">
        <w:t xml:space="preserve"> del sistema són les que desenvolupen els cossos i forces de seguretat, </w:t>
      </w:r>
      <w:r>
        <w:t>e</w:t>
      </w:r>
      <w:r w:rsidRPr="003011C5">
        <w:t xml:space="preserve">l sistema judicial o els </w:t>
      </w:r>
      <w:r w:rsidR="00D25C70">
        <w:t>propis professionals del sistema d’execució penal.</w:t>
      </w:r>
      <w:r w:rsidRPr="003011C5">
        <w:t xml:space="preserve"> Però aconseguir l’objectiu de la rehabilitació i la reinserció de les persones requereix </w:t>
      </w:r>
      <w:r>
        <w:t xml:space="preserve">el concurs </w:t>
      </w:r>
      <w:r w:rsidRPr="003011C5">
        <w:t>de molts altres elements</w:t>
      </w:r>
      <w:r>
        <w:t xml:space="preserve">, que </w:t>
      </w:r>
      <w:r w:rsidRPr="003011C5">
        <w:t xml:space="preserve">s’associen al procés de retorn en societat de la persona afectada. Per tant, l’èxit de les polítiques d’execució penal requereix la participació de més actors, tant d’altres institucions, com de la societat civil, </w:t>
      </w:r>
      <w:r>
        <w:t>en la qual</w:t>
      </w:r>
      <w:r w:rsidRPr="003011C5">
        <w:t xml:space="preserve"> destaca el paper del tercer sector social.</w:t>
      </w:r>
    </w:p>
    <w:p w:rsidR="00F33156" w:rsidRPr="003011C5" w:rsidRDefault="00F33156" w:rsidP="00A41348">
      <w:r w:rsidRPr="003011C5">
        <w:t xml:space="preserve">És per aquest motiu que les polítiques d’execució penal s’encabeixen en el conjunt de polítiques socials d’un país i es desenvolupen en coordinació amb les polítiques de salut, educació, serveis socials, habitatge i inserció laboral, entre d’altres. </w:t>
      </w:r>
      <w:r>
        <w:t>E</w:t>
      </w:r>
      <w:r w:rsidRPr="003011C5">
        <w:t xml:space="preserve">l sistema penitenciari català ja va incorporar </w:t>
      </w:r>
      <w:r>
        <w:t xml:space="preserve">aquesta idea </w:t>
      </w:r>
      <w:r w:rsidRPr="003011C5">
        <w:t>tan bon punt es va materialitzar el traspàs de competència en serveis penitenciaris, amb la creació de la Comissió d'Assistència Social Penitenciària</w:t>
      </w:r>
      <w:r w:rsidRPr="003011C5">
        <w:rPr>
          <w:rStyle w:val="Refernciadenotaapeudepgina"/>
        </w:rPr>
        <w:footnoteReference w:id="13"/>
      </w:r>
      <w:r w:rsidRPr="003011C5">
        <w:t xml:space="preserve"> l’any 1983.</w:t>
      </w:r>
    </w:p>
    <w:p w:rsidR="00F33156" w:rsidRPr="003011C5" w:rsidRDefault="00F33156" w:rsidP="00A41348">
      <w:r w:rsidRPr="003011C5">
        <w:t>Aquest marc de treball va permetre desenvolupar un sistema penitenciari propi, que comptava amb l’inestimable suport dels voluntaris i les entitats col·laboradores, els quals creien fermament en el paper integrador i de reinserció que podien transmetre a les persones recluses. A mesura que el model de treball es consolidava</w:t>
      </w:r>
      <w:r>
        <w:t>,</w:t>
      </w:r>
      <w:r w:rsidRPr="003011C5">
        <w:t xml:space="preserve"> es va anar detectant la necessitat de definir i implementar eines formals de coordinació, cooperació i participació. En aquest context van sorgir diverses iniciatives</w:t>
      </w:r>
      <w:r>
        <w:t>,</w:t>
      </w:r>
      <w:r w:rsidRPr="003011C5">
        <w:t xml:space="preserve"> entre les qu</w:t>
      </w:r>
      <w:r>
        <w:t>als</w:t>
      </w:r>
      <w:r w:rsidRPr="003011C5">
        <w:t xml:space="preserve"> destaquen la Taula de Participació Social i la Comissió </w:t>
      </w:r>
      <w:r>
        <w:t>i</w:t>
      </w:r>
      <w:r w:rsidRPr="003011C5">
        <w:t xml:space="preserve">nterinstitucional per a la </w:t>
      </w:r>
      <w:r>
        <w:t>r</w:t>
      </w:r>
      <w:r w:rsidRPr="003011C5">
        <w:t xml:space="preserve">einserció </w:t>
      </w:r>
      <w:r>
        <w:t>s</w:t>
      </w:r>
      <w:r w:rsidRPr="003011C5">
        <w:t>ocial.</w:t>
      </w:r>
    </w:p>
    <w:p w:rsidR="00F33156" w:rsidRPr="003011C5" w:rsidRDefault="00F33156" w:rsidP="00A41348"/>
    <w:p w:rsidR="00F33156" w:rsidRPr="003011C5" w:rsidRDefault="00F33156" w:rsidP="0070401F">
      <w:pPr>
        <w:pStyle w:val="Ttol3"/>
      </w:pPr>
      <w:bookmarkStart w:id="642" w:name="_Toc464202403"/>
      <w:bookmarkStart w:id="643" w:name="_Toc464685755"/>
      <w:bookmarkStart w:id="644" w:name="_Toc465293493"/>
      <w:r w:rsidRPr="003011C5">
        <w:t xml:space="preserve">Les </w:t>
      </w:r>
      <w:r w:rsidRPr="00F33156">
        <w:t>entitats</w:t>
      </w:r>
      <w:r w:rsidRPr="003011C5">
        <w:t xml:space="preserve"> i el voluntariat social</w:t>
      </w:r>
      <w:bookmarkEnd w:id="642"/>
      <w:bookmarkEnd w:id="643"/>
      <w:bookmarkEnd w:id="644"/>
    </w:p>
    <w:p w:rsidR="00F33156" w:rsidRPr="003011C5" w:rsidRDefault="00F33156" w:rsidP="00A41348">
      <w:r w:rsidRPr="003011C5">
        <w:t>Les entitats socials de Catalunya han desenvolupat històricament una acció de suport a les persones preses i</w:t>
      </w:r>
      <w:r>
        <w:t xml:space="preserve"> </w:t>
      </w:r>
      <w:r w:rsidRPr="003011C5">
        <w:t>ex</w:t>
      </w:r>
      <w:r w:rsidR="00490403">
        <w:t>-</w:t>
      </w:r>
      <w:r w:rsidRPr="003011C5">
        <w:t xml:space="preserve">preses a Catalunya, fins i tot </w:t>
      </w:r>
      <w:r>
        <w:t>abans del</w:t>
      </w:r>
      <w:r w:rsidRPr="003011C5">
        <w:t xml:space="preserve"> traspàs de competències de l’Estat espanyol al Govern català. Principalment han desenvolupat activitats i programes de rehabilitació i reinserció, aprofit</w:t>
      </w:r>
      <w:r>
        <w:t>ant</w:t>
      </w:r>
      <w:r w:rsidRPr="003011C5">
        <w:t xml:space="preserve"> el coneixement que tenen aquestes entitats de l’entorn social, </w:t>
      </w:r>
      <w:r>
        <w:t>i també han</w:t>
      </w:r>
      <w:r w:rsidRPr="003011C5">
        <w:t xml:space="preserve"> exerci</w:t>
      </w:r>
      <w:r>
        <w:t>t</w:t>
      </w:r>
      <w:r w:rsidRPr="003011C5">
        <w:t xml:space="preserve"> un paper catalitzador </w:t>
      </w:r>
      <w:r>
        <w:t>en</w:t>
      </w:r>
      <w:r w:rsidRPr="003011C5">
        <w:t xml:space="preserve"> la inclusió social de les persones més desafavorides.</w:t>
      </w:r>
      <w:r w:rsidR="00D25C70">
        <w:t xml:space="preserve"> Les entitats del tercer sector fa temps que reivindiquen que no se les consideri només un complement dels sistema, sinó com un element més integrant del sistema.  </w:t>
      </w:r>
    </w:p>
    <w:p w:rsidR="00F33156" w:rsidRPr="003011C5" w:rsidRDefault="00F33156" w:rsidP="00A41348">
      <w:r w:rsidRPr="003011C5">
        <w:t>Així, per donar reconeixement a l’acció voluntària, l’any 2001 es va elaborar la Circular 1/2001</w:t>
      </w:r>
      <w:r>
        <w:t>,</w:t>
      </w:r>
      <w:r w:rsidRPr="003011C5">
        <w:t xml:space="preserve"> que regulava la gestió del voluntariat </w:t>
      </w:r>
      <w:r>
        <w:t>a</w:t>
      </w:r>
      <w:r w:rsidRPr="003011C5">
        <w:t>ls centres penitenciaris de Catalunya, encara vigent. Posteriorment</w:t>
      </w:r>
      <w:r>
        <w:t>,</w:t>
      </w:r>
      <w:r w:rsidRPr="003011C5">
        <w:t xml:space="preserve"> l’any 2003, com a conclusions del II Congrés del </w:t>
      </w:r>
      <w:r>
        <w:t>V</w:t>
      </w:r>
      <w:r w:rsidRPr="003011C5">
        <w:t>oluntariat en l’</w:t>
      </w:r>
      <w:r>
        <w:t>À</w:t>
      </w:r>
      <w:r w:rsidRPr="003011C5">
        <w:t xml:space="preserve">mbit </w:t>
      </w:r>
      <w:r>
        <w:lastRenderedPageBreak/>
        <w:t>P</w:t>
      </w:r>
      <w:r w:rsidRPr="003011C5">
        <w:t xml:space="preserve">enitenciari, va sorgir la proposta de crear un espai de trobada i de treball cooperatiu estable entre </w:t>
      </w:r>
      <w:r>
        <w:t>l’A</w:t>
      </w:r>
      <w:r w:rsidRPr="003011C5">
        <w:t xml:space="preserve">dministració pública i </w:t>
      </w:r>
      <w:r>
        <w:t xml:space="preserve">les </w:t>
      </w:r>
      <w:r w:rsidRPr="003011C5">
        <w:t xml:space="preserve">entitats col·laboradores, que s’anomenaria la Taula de Participació Social (TPS). La TPS en l’àmbit penal i penitenciari es va crear l’any 2005, per </w:t>
      </w:r>
      <w:r>
        <w:t>una r</w:t>
      </w:r>
      <w:r w:rsidRPr="003011C5">
        <w:t>esolució del conseller, i l’any 2006 s</w:t>
      </w:r>
      <w:r>
        <w:t>e’n</w:t>
      </w:r>
      <w:r w:rsidRPr="003011C5">
        <w:t xml:space="preserve"> van establir les bases en el Reglament d’organització i funcionament dels serveis d’execució penal a Catalunya</w:t>
      </w:r>
      <w:r w:rsidRPr="003011C5">
        <w:rPr>
          <w:rStyle w:val="Refernciadenotaapeudepgina"/>
        </w:rPr>
        <w:footnoteReference w:id="14"/>
      </w:r>
      <w:r w:rsidRPr="003011C5">
        <w:t xml:space="preserve">. El </w:t>
      </w:r>
      <w:r>
        <w:t>R</w:t>
      </w:r>
      <w:r w:rsidRPr="003011C5">
        <w:t>eglament va incorporar l’opció de creació d’òrgans de participació de segon nivell</w:t>
      </w:r>
      <w:r>
        <w:t>,</w:t>
      </w:r>
      <w:r w:rsidRPr="003011C5">
        <w:t xml:space="preserve"> que actuarien en l’àmbit dels centres educatius, </w:t>
      </w:r>
      <w:r>
        <w:t xml:space="preserve">els </w:t>
      </w:r>
      <w:r w:rsidRPr="003011C5">
        <w:t>centres penitenciaris i en la resta d’equipaments i recursos vinculats a l’execució penal.</w:t>
      </w:r>
    </w:p>
    <w:p w:rsidR="00F33156" w:rsidRPr="003011C5" w:rsidRDefault="00F33156" w:rsidP="00A41348">
      <w:r w:rsidRPr="003011C5">
        <w:t>En la primera Comissió Permanent de la TPS ja es van definir els elements bàsics d’aquest instrument, entre els quals destaca:</w:t>
      </w:r>
    </w:p>
    <w:p w:rsidR="00F33156" w:rsidRPr="003011C5" w:rsidRDefault="00F33156" w:rsidP="00F33156">
      <w:pPr>
        <w:pStyle w:val="Pargrafdellista"/>
        <w:numPr>
          <w:ilvl w:val="0"/>
          <w:numId w:val="35"/>
        </w:numPr>
      </w:pPr>
      <w:r w:rsidRPr="003011C5">
        <w:t>La TPS seria el màxim rang organitzatiu, en el conjunt de taules que es constituïssin, i actuaria com a òrgan consultiu i de relació entre els actors que treballen en processos de reinserció social a Catalunya.</w:t>
      </w:r>
    </w:p>
    <w:p w:rsidR="00F33156" w:rsidRPr="003011C5" w:rsidRDefault="00F33156" w:rsidP="00F33156">
      <w:pPr>
        <w:pStyle w:val="Pargrafdellista"/>
        <w:numPr>
          <w:ilvl w:val="0"/>
          <w:numId w:val="35"/>
        </w:numPr>
      </w:pPr>
      <w:r w:rsidRPr="003011C5">
        <w:t xml:space="preserve">A més de la participació del Departament de Justícia, es convidaria </w:t>
      </w:r>
      <w:r>
        <w:t>e</w:t>
      </w:r>
      <w:r w:rsidRPr="003011C5">
        <w:t>l Departament competent en matèria de benestar social com a responsable en matèria d’ordenació del voluntariat a Catalunya.</w:t>
      </w:r>
    </w:p>
    <w:p w:rsidR="00F33156" w:rsidRPr="003011C5" w:rsidRDefault="00F33156" w:rsidP="00F33156">
      <w:pPr>
        <w:pStyle w:val="Pargrafdellista"/>
        <w:numPr>
          <w:ilvl w:val="0"/>
          <w:numId w:val="35"/>
        </w:numPr>
      </w:pPr>
      <w:r w:rsidRPr="003011C5">
        <w:t>El model de la TPS es traslladaria a la resta d’equipaments d’execució penal amb la constitució de taules específiques.</w:t>
      </w:r>
    </w:p>
    <w:p w:rsidR="00F33156" w:rsidRPr="003011C5" w:rsidRDefault="00F33156" w:rsidP="00A41348"/>
    <w:p w:rsidR="00F33156" w:rsidRPr="003011C5" w:rsidRDefault="00F33156" w:rsidP="0070401F">
      <w:pPr>
        <w:pStyle w:val="Ttol4"/>
      </w:pPr>
      <w:r w:rsidRPr="00F33156">
        <w:t>Organització</w:t>
      </w:r>
      <w:r w:rsidRPr="003011C5">
        <w:t xml:space="preserve"> interna de la TPS</w:t>
      </w:r>
    </w:p>
    <w:p w:rsidR="00F33156" w:rsidRPr="003011C5" w:rsidRDefault="00F33156" w:rsidP="00A41348">
      <w:r w:rsidRPr="003011C5">
        <w:t>La Taula de Participació Social funciona en plenari, comissió permanent i comissió d’enllaç</w:t>
      </w:r>
      <w:r w:rsidRPr="003011C5">
        <w:rPr>
          <w:rStyle w:val="Refernciadenotaapeudepgina"/>
        </w:rPr>
        <w:footnoteReference w:id="15"/>
      </w:r>
      <w:r w:rsidRPr="003011C5">
        <w:t xml:space="preserve">. </w:t>
      </w:r>
    </w:p>
    <w:p w:rsidR="00F33156" w:rsidRPr="003011C5" w:rsidRDefault="00F33156" w:rsidP="00A41348">
      <w:r>
        <w:rPr>
          <w:b/>
        </w:rPr>
        <w:t>El Pl</w:t>
      </w:r>
      <w:r w:rsidRPr="003011C5">
        <w:rPr>
          <w:b/>
        </w:rPr>
        <w:t>enari</w:t>
      </w:r>
      <w:r w:rsidRPr="00CD3E1F">
        <w:t>:</w:t>
      </w:r>
      <w:r w:rsidRPr="003011C5">
        <w:rPr>
          <w:b/>
        </w:rPr>
        <w:t xml:space="preserve"> </w:t>
      </w:r>
      <w:r>
        <w:rPr>
          <w:b/>
        </w:rPr>
        <w:t>é</w:t>
      </w:r>
      <w:r w:rsidRPr="003011C5">
        <w:t>s l’òrgan decisori per excel·lència. Hi participen tots els representants de les administracions i es convo</w:t>
      </w:r>
      <w:r>
        <w:t>ca</w:t>
      </w:r>
      <w:r w:rsidRPr="003011C5">
        <w:t xml:space="preserve"> totes les entitats col·laboradores i de voluntariat. Presideixen les persones titulars de la Direcció General de Serveis Penitenciaris (DGSP) i de la Direcció General d’Execució Penal a la Comunitat i </w:t>
      </w:r>
      <w:r>
        <w:t xml:space="preserve">de </w:t>
      </w:r>
      <w:r w:rsidRPr="003011C5">
        <w:t>Justícia Juvenil (DGEPCJJ). Es reuneix de manera ordinària dos cops l’any, el mesos de juny i de desembre. En aquestes sessions s’informa dels temes d’interès comú per als representants de la Taula i de la feina conjunta que s’està fent a les comissions. Entre les funcions destacades que exerceix</w:t>
      </w:r>
      <w:r>
        <w:t>,</w:t>
      </w:r>
      <w:r w:rsidRPr="003011C5">
        <w:t xml:space="preserve"> consten:</w:t>
      </w:r>
    </w:p>
    <w:p w:rsidR="00F33156" w:rsidRPr="003011C5" w:rsidRDefault="00F33156" w:rsidP="00F33156">
      <w:pPr>
        <w:pStyle w:val="Pargrafdellista"/>
        <w:numPr>
          <w:ilvl w:val="0"/>
          <w:numId w:val="36"/>
        </w:numPr>
      </w:pPr>
      <w:r w:rsidRPr="003011C5">
        <w:t>Renovar la part social de la TPS.</w:t>
      </w:r>
    </w:p>
    <w:p w:rsidR="00F33156" w:rsidRPr="003011C5" w:rsidRDefault="00F33156" w:rsidP="00F33156">
      <w:pPr>
        <w:pStyle w:val="Pargrafdellista"/>
        <w:numPr>
          <w:ilvl w:val="0"/>
          <w:numId w:val="36"/>
        </w:numPr>
      </w:pPr>
      <w:r w:rsidRPr="003011C5">
        <w:t>Aprovar modificacions de la normativa interna.</w:t>
      </w:r>
    </w:p>
    <w:p w:rsidR="00F33156" w:rsidRPr="003011C5" w:rsidRDefault="00F33156" w:rsidP="00A41348">
      <w:r w:rsidRPr="003011C5">
        <w:rPr>
          <w:b/>
        </w:rPr>
        <w:t xml:space="preserve">La Comissió </w:t>
      </w:r>
      <w:r>
        <w:rPr>
          <w:b/>
        </w:rPr>
        <w:t>P</w:t>
      </w:r>
      <w:r w:rsidRPr="003011C5">
        <w:rPr>
          <w:b/>
        </w:rPr>
        <w:t>ermanent</w:t>
      </w:r>
      <w:r w:rsidRPr="00CD3E1F">
        <w:t>:</w:t>
      </w:r>
      <w:r w:rsidRPr="003011C5">
        <w:t xml:space="preserve"> </w:t>
      </w:r>
      <w:r>
        <w:t>s</w:t>
      </w:r>
      <w:r w:rsidRPr="003011C5">
        <w:t>’organitza en grups de treball segons els objectius i necessitats detectades en la TPS. Es reuneix en sessions ordinàries un cop cada trimestre. Les reunions de la Comissió Permanent l</w:t>
      </w:r>
      <w:r>
        <w:t>es</w:t>
      </w:r>
      <w:r w:rsidRPr="003011C5">
        <w:t xml:space="preserve"> presideixen les persones titulars de la DGSP i la DGEPCJJ. Hi participen com a vocals per part de l’</w:t>
      </w:r>
      <w:r>
        <w:t>A</w:t>
      </w:r>
      <w:r w:rsidRPr="003011C5">
        <w:t xml:space="preserve">dministració els càrrecs de comandament competents en matèria penitenciària i de voluntariat, i per part de les entitats </w:t>
      </w:r>
      <w:r w:rsidRPr="004400C8">
        <w:t>sis representants de les entitats col·laboradores i 3 d’entitats de voluntariat.</w:t>
      </w:r>
      <w:r>
        <w:t xml:space="preserve"> </w:t>
      </w:r>
    </w:p>
    <w:p w:rsidR="00F33156" w:rsidRPr="003011C5" w:rsidRDefault="00F33156" w:rsidP="00A41348">
      <w:r w:rsidRPr="003011C5">
        <w:rPr>
          <w:b/>
        </w:rPr>
        <w:t>La Comissió d'</w:t>
      </w:r>
      <w:r>
        <w:rPr>
          <w:b/>
        </w:rPr>
        <w:t>E</w:t>
      </w:r>
      <w:r w:rsidRPr="003011C5">
        <w:rPr>
          <w:b/>
        </w:rPr>
        <w:t>nllaç</w:t>
      </w:r>
      <w:r w:rsidRPr="00CD3E1F">
        <w:t>:</w:t>
      </w:r>
      <w:r w:rsidRPr="003011C5">
        <w:t xml:space="preserve"> </w:t>
      </w:r>
      <w:r>
        <w:t>é</w:t>
      </w:r>
      <w:r w:rsidRPr="003011C5">
        <w:t>s un grup de treball amb tasques de representativitat i d’interlocució entre la part social de la TPS i la part de l'</w:t>
      </w:r>
      <w:r>
        <w:t>A</w:t>
      </w:r>
      <w:r w:rsidRPr="003011C5">
        <w:t xml:space="preserve">dministració pública. Té la funció de millorar la interlocució entre les parts i facilitar el funcionament i </w:t>
      </w:r>
      <w:r>
        <w:t>l’</w:t>
      </w:r>
      <w:r w:rsidRPr="003011C5">
        <w:t>organització de la comissió permanent. Es reuneix en sessions ordinàries un cop al trimestre. Està forma</w:t>
      </w:r>
      <w:r>
        <w:t>da</w:t>
      </w:r>
      <w:r w:rsidRPr="003011C5">
        <w:t xml:space="preserve"> per les persones titulars de la Subdirecció General de Programes de Rehabilitació i Sanitat i de la </w:t>
      </w:r>
      <w:r w:rsidRPr="003011C5">
        <w:lastRenderedPageBreak/>
        <w:t xml:space="preserve">Subdirecció Generat de Reparació i Execució Penal a la Comunitat i tres vocals de la part social, a determinar per </w:t>
      </w:r>
      <w:r>
        <w:t xml:space="preserve">ella </w:t>
      </w:r>
      <w:r w:rsidRPr="003011C5">
        <w:t xml:space="preserve">la </w:t>
      </w:r>
      <w:r>
        <w:t>mateixa</w:t>
      </w:r>
      <w:r w:rsidRPr="003011C5">
        <w:t>.</w:t>
      </w:r>
    </w:p>
    <w:p w:rsidR="00F33156" w:rsidRPr="003011C5" w:rsidRDefault="00F33156" w:rsidP="00A41348"/>
    <w:p w:rsidR="00F33156" w:rsidRPr="003011C5" w:rsidRDefault="00F33156" w:rsidP="0070401F">
      <w:pPr>
        <w:pStyle w:val="Ttol4"/>
      </w:pPr>
      <w:r>
        <w:t xml:space="preserve">Les </w:t>
      </w:r>
      <w:r w:rsidRPr="00F33156">
        <w:t>actuacions</w:t>
      </w:r>
      <w:r w:rsidRPr="003011C5">
        <w:t xml:space="preserve"> de la TPS i el reconeixement de l’acció voluntària</w:t>
      </w:r>
    </w:p>
    <w:p w:rsidR="00F33156" w:rsidRPr="003011C5" w:rsidRDefault="00F33156" w:rsidP="00A41348">
      <w:r w:rsidRPr="003011C5">
        <w:t>Amb la constitució de</w:t>
      </w:r>
      <w:r>
        <w:t xml:space="preserve"> </w:t>
      </w:r>
      <w:r w:rsidRPr="003011C5">
        <w:t>l</w:t>
      </w:r>
      <w:r>
        <w:t>a</w:t>
      </w:r>
      <w:r w:rsidRPr="003011C5">
        <w:t xml:space="preserve"> TPS</w:t>
      </w:r>
      <w:r>
        <w:t>,</w:t>
      </w:r>
      <w:r w:rsidRPr="003011C5">
        <w:t xml:space="preserve"> i especialment mitjançant la feina dels seus grups de treball</w:t>
      </w:r>
      <w:r>
        <w:t>,</w:t>
      </w:r>
      <w:r w:rsidRPr="003011C5">
        <w:t xml:space="preserve"> s’han portat a terme actuacions de diversa índole amb un objectiu comú: millorar els processos de reinserció i rehabilitació en l’entorn penitenciari, mitjançant el treball cooperatiu.</w:t>
      </w:r>
    </w:p>
    <w:p w:rsidR="00F33156" w:rsidRPr="003011C5" w:rsidRDefault="00F33156" w:rsidP="00A41348">
      <w:r w:rsidRPr="003011C5">
        <w:t xml:space="preserve">En destaquen les mesures relacionades amb la formació de voluntaris, el disseny d’estàndards de servei, l’elaboració d’un mapa d’activitats, les campanyes de difusió, la celebració de jornades i el suport </w:t>
      </w:r>
      <w:r>
        <w:t>a</w:t>
      </w:r>
      <w:r w:rsidRPr="003011C5">
        <w:t xml:space="preserve">l desenvolupament de taules als centres penitenciaris de Catalunya </w:t>
      </w:r>
      <w:r>
        <w:t>en què</w:t>
      </w:r>
      <w:r w:rsidRPr="003011C5">
        <w:t xml:space="preserve"> s’involucressin entitats del territori.</w:t>
      </w:r>
    </w:p>
    <w:p w:rsidR="00F33156" w:rsidRPr="003011C5" w:rsidRDefault="00F33156" w:rsidP="00A41348">
      <w:r w:rsidRPr="003011C5">
        <w:t xml:space="preserve">Una de les tasques més reeixides de la TPS va ser l’elaboració del Pla de col·laboració de les entitats socials de Catalunya amb el Departament de Justícia per al desplegament d’accions de voluntariat en l’àmbit de l’execució penal. El </w:t>
      </w:r>
      <w:r>
        <w:t>P</w:t>
      </w:r>
      <w:r w:rsidRPr="003011C5">
        <w:t xml:space="preserve">la recull els estàndards de la Circular 1/2001 i té encaix amb la regulació actual sobre el voluntariat, </w:t>
      </w:r>
      <w:r>
        <w:t xml:space="preserve">que </w:t>
      </w:r>
      <w:r w:rsidRPr="003011C5">
        <w:t>actualitz</w:t>
      </w:r>
      <w:r>
        <w:t>a</w:t>
      </w:r>
      <w:r w:rsidRPr="003011C5">
        <w:t xml:space="preserve"> els conceptes de què és una entitat de voluntariat</w:t>
      </w:r>
      <w:r>
        <w:t xml:space="preserve"> i</w:t>
      </w:r>
      <w:r w:rsidRPr="003011C5">
        <w:t xml:space="preserve"> un programa i com es defineixen els destinataris de l’acció voluntària. Es constata, un cop més, que l’acció de voluntariat en l’execució penal aporta uns serveis d’un alt valor afegit a la qualitat de vida de les persones ateses.</w:t>
      </w:r>
    </w:p>
    <w:p w:rsidR="00F33156" w:rsidRPr="003011C5" w:rsidRDefault="00F33156" w:rsidP="00A41348"/>
    <w:p w:rsidR="00F33156" w:rsidRPr="003011C5" w:rsidRDefault="00F33156" w:rsidP="0070401F">
      <w:pPr>
        <w:pStyle w:val="Ttol3"/>
      </w:pPr>
      <w:bookmarkStart w:id="645" w:name="_Toc464202404"/>
      <w:bookmarkStart w:id="646" w:name="_Toc464685756"/>
      <w:bookmarkStart w:id="647" w:name="_Toc465293494"/>
      <w:r w:rsidRPr="003011C5">
        <w:t xml:space="preserve">La </w:t>
      </w:r>
      <w:r w:rsidRPr="00F33156">
        <w:t>coordinació</w:t>
      </w:r>
      <w:r w:rsidRPr="003011C5">
        <w:t xml:space="preserve"> interadministrativa</w:t>
      </w:r>
      <w:bookmarkEnd w:id="645"/>
      <w:bookmarkEnd w:id="646"/>
      <w:bookmarkEnd w:id="647"/>
    </w:p>
    <w:p w:rsidR="00F33156" w:rsidRPr="003011C5" w:rsidRDefault="00F33156" w:rsidP="00A41348">
      <w:r w:rsidRPr="003011C5">
        <w:t>L’assoliment de la reinserció de les persones menors, joves i adultes sotmeses a una mesura d’execució penal és una tasca compartida i un compromís de tota la societat. L’Administració pública, en tots els seus nivells, ha d’actuar com a element catalitzador de tot aquest procés i, alhora</w:t>
      </w:r>
      <w:r>
        <w:t>,</w:t>
      </w:r>
      <w:r w:rsidRPr="003011C5">
        <w:t xml:space="preserve"> ha d’aconseguir, amb el desplegament de les seves polítiques, la complicitat dels agents socials.</w:t>
      </w:r>
    </w:p>
    <w:p w:rsidR="00F33156" w:rsidRPr="003011C5" w:rsidRDefault="00F33156" w:rsidP="00A41348">
      <w:r w:rsidRPr="003011C5">
        <w:t>L’any 2004 el Departament de Justícia va establir com a objectiu prioritari potenciar els processos de reinserció social amb una millora de la coordinació i la integració de més representants institucionals.</w:t>
      </w:r>
    </w:p>
    <w:p w:rsidR="00F33156" w:rsidRPr="003011C5" w:rsidRDefault="00F33156" w:rsidP="00A41348">
      <w:r w:rsidRPr="003011C5">
        <w:t xml:space="preserve">L’any 2005 es va crear la Comissió </w:t>
      </w:r>
      <w:r>
        <w:t>i</w:t>
      </w:r>
      <w:r w:rsidRPr="003011C5">
        <w:t xml:space="preserve">nterinstitucional per a la </w:t>
      </w:r>
      <w:r>
        <w:t>r</w:t>
      </w:r>
      <w:r w:rsidRPr="003011C5">
        <w:t>einserció</w:t>
      </w:r>
      <w:r>
        <w:t xml:space="preserve"> s</w:t>
      </w:r>
      <w:r w:rsidRPr="003011C5">
        <w:t>ocial (CIRSO)</w:t>
      </w:r>
      <w:r w:rsidRPr="003011C5">
        <w:rPr>
          <w:rStyle w:val="Refernciadenotaapeudepgina"/>
        </w:rPr>
        <w:footnoteReference w:id="16"/>
      </w:r>
      <w:r w:rsidRPr="003011C5">
        <w:t xml:space="preserve">, com un òrgan col·legiat que neix amb l’objectiu d’intensificar el nivell de coordinació de les diverses actuacions que es duen a terme per potenciar els processos de reinserció social de persones menors, joves i adultes subjectes a penes o mesures penals i, alhora, </w:t>
      </w:r>
      <w:r>
        <w:t>d’</w:t>
      </w:r>
      <w:r w:rsidRPr="003011C5">
        <w:t>implicar els representants d’altres organismes i entitats en la planificació i execució de polítiques actives en aquest camp.</w:t>
      </w:r>
    </w:p>
    <w:p w:rsidR="00F33156" w:rsidRPr="003011C5" w:rsidRDefault="00D25C70" w:rsidP="00A41348">
      <w:r>
        <w:t>La</w:t>
      </w:r>
      <w:r w:rsidR="00F33156" w:rsidRPr="003011C5">
        <w:t xml:space="preserve"> CIRSO està integrat per diferents departaments de la Generalitat, representants de l’</w:t>
      </w:r>
      <w:r w:rsidR="00F33156">
        <w:t>A</w:t>
      </w:r>
      <w:r w:rsidR="00F33156" w:rsidRPr="003011C5">
        <w:t>dministració de l’Estat i de la local. Complementa les funcions i les activitats de la TPS. Entre els seus eixos de treball estratègics destaquen:</w:t>
      </w:r>
    </w:p>
    <w:p w:rsidR="00F33156" w:rsidRPr="003011C5" w:rsidRDefault="00F33156" w:rsidP="00F33156">
      <w:pPr>
        <w:pStyle w:val="Pargrafdellista"/>
        <w:numPr>
          <w:ilvl w:val="0"/>
          <w:numId w:val="37"/>
        </w:numPr>
      </w:pPr>
      <w:r w:rsidRPr="003011C5">
        <w:t xml:space="preserve">El reforç d’iniciatives basades en polítiques actives </w:t>
      </w:r>
      <w:r>
        <w:t>en</w:t>
      </w:r>
      <w:r w:rsidRPr="003011C5">
        <w:t xml:space="preserve">vers les dones, </w:t>
      </w:r>
      <w:r>
        <w:t xml:space="preserve">els </w:t>
      </w:r>
      <w:r w:rsidRPr="003011C5">
        <w:t xml:space="preserve">joves i </w:t>
      </w:r>
      <w:r>
        <w:t xml:space="preserve">els </w:t>
      </w:r>
      <w:r w:rsidRPr="003011C5">
        <w:t>immigrants, o qualsevol altra col·lectiu desafavorit o en risc d’exclusió social.</w:t>
      </w:r>
    </w:p>
    <w:p w:rsidR="00F33156" w:rsidRPr="003011C5" w:rsidRDefault="00F33156" w:rsidP="00F33156">
      <w:pPr>
        <w:pStyle w:val="Pargrafdellista"/>
        <w:numPr>
          <w:ilvl w:val="0"/>
          <w:numId w:val="37"/>
        </w:numPr>
      </w:pPr>
      <w:r w:rsidRPr="003011C5">
        <w:lastRenderedPageBreak/>
        <w:t xml:space="preserve">L’impuls de l’execució penal </w:t>
      </w:r>
      <w:r>
        <w:t>a</w:t>
      </w:r>
      <w:r w:rsidRPr="003011C5">
        <w:t xml:space="preserve"> la comunitat, amb l’ús del medi obert i les mesures penals alternatives.</w:t>
      </w:r>
    </w:p>
    <w:p w:rsidR="00F33156" w:rsidRPr="003011C5" w:rsidRDefault="00F33156" w:rsidP="00F33156">
      <w:pPr>
        <w:pStyle w:val="Pargrafdellista"/>
        <w:numPr>
          <w:ilvl w:val="0"/>
          <w:numId w:val="37"/>
        </w:numPr>
      </w:pPr>
      <w:r w:rsidRPr="003011C5">
        <w:t>La sensibilització de l’opinió pública i de les seves institucions sobre la necessitat d’implicar-se en les funcions rehabilitadores i la importància d’intercanviar experiències i informació.</w:t>
      </w:r>
    </w:p>
    <w:p w:rsidR="00F33156" w:rsidRPr="003011C5" w:rsidRDefault="00F33156" w:rsidP="00F33156">
      <w:pPr>
        <w:pStyle w:val="Pargrafdellista"/>
        <w:numPr>
          <w:ilvl w:val="0"/>
          <w:numId w:val="37"/>
        </w:numPr>
      </w:pPr>
      <w:r w:rsidRPr="003011C5">
        <w:t>Implicar totes les institucions en l’increment de l’oferta ocupacional i d’activitats per a l’execució de mesures penals alternatives a la presó.</w:t>
      </w:r>
    </w:p>
    <w:p w:rsidR="00F33156" w:rsidRPr="003011C5" w:rsidRDefault="00F33156" w:rsidP="00F33156">
      <w:pPr>
        <w:pStyle w:val="Pargrafdellista"/>
        <w:numPr>
          <w:ilvl w:val="0"/>
          <w:numId w:val="37"/>
        </w:numPr>
      </w:pPr>
      <w:r w:rsidRPr="003011C5">
        <w:t xml:space="preserve">Obrir el sistema penitenciari a la societat civil per superar i destruir tòpics, recels, pors o qualsevol </w:t>
      </w:r>
      <w:r>
        <w:t>tipus</w:t>
      </w:r>
      <w:r w:rsidRPr="003011C5">
        <w:t xml:space="preserve"> d’animadversions.</w:t>
      </w:r>
    </w:p>
    <w:p w:rsidR="00F33156" w:rsidRPr="003011C5" w:rsidRDefault="00F33156">
      <w:pPr>
        <w:spacing w:before="0"/>
        <w:jc w:val="left"/>
        <w:rPr>
          <w:rFonts w:eastAsiaTheme="majorEastAsia" w:cstheme="majorBidi"/>
          <w:b/>
          <w:color w:val="1F497D" w:themeColor="text2"/>
          <w:sz w:val="24"/>
          <w:szCs w:val="26"/>
        </w:rPr>
      </w:pPr>
    </w:p>
    <w:p w:rsidR="00F33156" w:rsidRPr="003011C5" w:rsidRDefault="00F33156" w:rsidP="0070401F">
      <w:pPr>
        <w:pStyle w:val="Ttol2"/>
      </w:pPr>
      <w:bookmarkStart w:id="648" w:name="_Toc464202405"/>
      <w:bookmarkStart w:id="649" w:name="_Toc464685757"/>
      <w:bookmarkStart w:id="650" w:name="_Toc465293495"/>
      <w:r w:rsidRPr="003011C5">
        <w:t xml:space="preserve">La </w:t>
      </w:r>
      <w:r w:rsidRPr="00F33156">
        <w:t>transparència</w:t>
      </w:r>
      <w:r w:rsidRPr="003011C5">
        <w:t xml:space="preserve"> del sistema </w:t>
      </w:r>
      <w:r w:rsidR="00D25C70">
        <w:t>D’EXECUCIÓ PENAL</w:t>
      </w:r>
      <w:bookmarkEnd w:id="648"/>
      <w:bookmarkEnd w:id="649"/>
      <w:bookmarkEnd w:id="650"/>
    </w:p>
    <w:p w:rsidR="00F33156" w:rsidRPr="003011C5" w:rsidRDefault="00F33156" w:rsidP="00A41348">
      <w:r w:rsidRPr="003011C5">
        <w:t>La societat ha evolucionat molt en els darrers anys</w:t>
      </w:r>
      <w:r>
        <w:t>.</w:t>
      </w:r>
      <w:r w:rsidRPr="003011C5">
        <w:t xml:space="preserve"> </w:t>
      </w:r>
      <w:r>
        <w:t>U</w:t>
      </w:r>
      <w:r w:rsidRPr="003011C5">
        <w:t>n dels grans avenços ha estat la facilitat en l’accés a la informació i la comunicació. La xarxa és avui un espai on s'emmagatzemen milions de dades i coneixements, i es donen les condicions idònies per poder explicar com es desenvolupen les polítiques de l’</w:t>
      </w:r>
      <w:r>
        <w:t>A</w:t>
      </w:r>
      <w:r w:rsidRPr="003011C5">
        <w:t xml:space="preserve">dministració pública. Això s’ha transformat </w:t>
      </w:r>
      <w:r>
        <w:t>en</w:t>
      </w:r>
      <w:r w:rsidRPr="003011C5">
        <w:t xml:space="preserve"> una pressió social creixent </w:t>
      </w:r>
      <w:r>
        <w:t xml:space="preserve">perquè hi hagi més </w:t>
      </w:r>
      <w:r w:rsidRPr="003011C5">
        <w:t>transparència a tots els nivells, especialment en les institucions públiques.</w:t>
      </w:r>
    </w:p>
    <w:p w:rsidR="00F33156" w:rsidRPr="003011C5" w:rsidRDefault="00F33156" w:rsidP="00A41348">
      <w:r w:rsidRPr="003011C5">
        <w:t>La Llei 19/2014, del 29 de desembre, de transparència, accés a la informació pública i bon govern estableix les bases per construir una societat més informada, capaç de participar de ma</w:t>
      </w:r>
      <w:r>
        <w:t>nera</w:t>
      </w:r>
      <w:r w:rsidRPr="003011C5">
        <w:t xml:space="preserve"> més intensa i eficaç en el debat i el disseny de les polítiques públiques. En aquest sentit</w:t>
      </w:r>
      <w:r>
        <w:t>,</w:t>
      </w:r>
      <w:r w:rsidRPr="003011C5">
        <w:t xml:space="preserve"> el Departament de Justícia ha treballat proactiva</w:t>
      </w:r>
      <w:r>
        <w:t>ment</w:t>
      </w:r>
      <w:r w:rsidRPr="003011C5">
        <w:t xml:space="preserve"> facilitant l’accés a les dades i</w:t>
      </w:r>
      <w:r>
        <w:t xml:space="preserve"> els</w:t>
      </w:r>
      <w:r w:rsidRPr="003011C5">
        <w:t xml:space="preserve"> indicadors del sistema, alhora que ha posat a disposició dels ciutadans la informació relacionada amb la col·laboració amb d’altres entitats i voluntaris, </w:t>
      </w:r>
      <w:r>
        <w:t>i també</w:t>
      </w:r>
      <w:r w:rsidRPr="003011C5">
        <w:t xml:space="preserve"> la participació d’altres institucions.</w:t>
      </w:r>
    </w:p>
    <w:p w:rsidR="00F33156" w:rsidRPr="003011C5" w:rsidRDefault="00F33156" w:rsidP="00A41348">
      <w:r w:rsidRPr="003011C5">
        <w:t>L’exercici de la transparència, en s</w:t>
      </w:r>
      <w:r>
        <w:t>i</w:t>
      </w:r>
      <w:r w:rsidRPr="003011C5">
        <w:t xml:space="preserve"> mateix, és un instrument d’avaluació del sistema. Aquesta avaluació també es pot efectuar amb instruments de supervisió i control a través d’organismes i institucions. En el cas del sistema penitenciari, que es caracteritza per aplicar mesures de restricció a la llibertat individual, la supervisió i control s’ha exercit des de les institucions nacionals i internacionals amb especial èmfasi a partir de l’any 1987, moment en què Espanya va ratificar la Convenció contra la tortura i altres maltractaments o penes cruels, inhumanes o degradants, aprovada a Nova York l’any 1984.</w:t>
      </w:r>
    </w:p>
    <w:p w:rsidR="00F33156" w:rsidRPr="003011C5" w:rsidRDefault="00F33156" w:rsidP="00A41348">
      <w:r w:rsidRPr="003011C5">
        <w:t>Per tal d’avaluar el grau de transparència del sistema penitenciari, caldria analitzar-ne la percepció ciutadana. La Generalitat de Catalunya, a través del Centre d’Estudis d’Opinió, va dissenyar l’enquesta Òmnibus com una eina dels departaments per obtenir informació demoscòpica sobre la situació actual i l’impacte de les polítiques que es duen a terme. L’enquesta prové de l’anterior Baròmetre d'</w:t>
      </w:r>
      <w:r>
        <w:t>O</w:t>
      </w:r>
      <w:r w:rsidRPr="003011C5">
        <w:t xml:space="preserve">pinió </w:t>
      </w:r>
      <w:r>
        <w:t>P</w:t>
      </w:r>
      <w:r w:rsidRPr="003011C5">
        <w:t>olítica, i en matèria d’execució penal es disposa de dades des de l’any 2007.</w:t>
      </w:r>
    </w:p>
    <w:p w:rsidR="00F33156" w:rsidRPr="003011C5" w:rsidRDefault="00F33156" w:rsidP="00A41348">
      <w:r w:rsidRPr="003011C5">
        <w:t xml:space="preserve">Tot seguit, amb l’objectiu d’analitzar el grau de confiança que genera el sistema penitenciari català, es tractarà del paper que desenvolupen els òrgans de supervisió i control nacionals i internacionals, així com de la percepció ciutadana respecte de les polítiques d’execució penal. Cal entendre aquestes qüestions com un sistema de reforç del nivell de confiança amb les institucions, tant per part de la ciutadania com per part de les entitats col·laboradores i </w:t>
      </w:r>
      <w:r>
        <w:t xml:space="preserve">els </w:t>
      </w:r>
      <w:r w:rsidRPr="003011C5">
        <w:t xml:space="preserve">voluntaris, </w:t>
      </w:r>
      <w:r>
        <w:t>i també</w:t>
      </w:r>
      <w:r w:rsidRPr="003011C5">
        <w:t xml:space="preserve"> </w:t>
      </w:r>
      <w:r>
        <w:t xml:space="preserve">com </w:t>
      </w:r>
      <w:r w:rsidRPr="003011C5">
        <w:t>un increment de la transparència.</w:t>
      </w:r>
    </w:p>
    <w:p w:rsidR="00F33156" w:rsidRPr="003011C5" w:rsidRDefault="00F33156" w:rsidP="00A41348"/>
    <w:p w:rsidR="00F33156" w:rsidRPr="003011C5" w:rsidRDefault="00F33156" w:rsidP="0070401F">
      <w:pPr>
        <w:pStyle w:val="Ttol3"/>
      </w:pPr>
      <w:bookmarkStart w:id="651" w:name="_Toc464202406"/>
      <w:bookmarkStart w:id="652" w:name="_Toc464685758"/>
      <w:bookmarkStart w:id="653" w:name="_Toc465293496"/>
      <w:r w:rsidRPr="003011C5">
        <w:lastRenderedPageBreak/>
        <w:t>Òrgans de supervisió i control</w:t>
      </w:r>
      <w:bookmarkEnd w:id="651"/>
      <w:bookmarkEnd w:id="652"/>
      <w:bookmarkEnd w:id="653"/>
    </w:p>
    <w:p w:rsidR="00F33156" w:rsidRPr="003011C5" w:rsidRDefault="00F33156" w:rsidP="00A41348">
      <w:r w:rsidRPr="003011C5">
        <w:t xml:space="preserve">La supervisió i control del sistema penitenciari pretén garantir el compliment dels drets humans considerats bàsics i que s’han d’aplicar, sense excepció, a tot ésser humà. Són els recollits en la Declaració </w:t>
      </w:r>
      <w:r>
        <w:t>u</w:t>
      </w:r>
      <w:r w:rsidRPr="003011C5">
        <w:t xml:space="preserve">niversal dels </w:t>
      </w:r>
      <w:r>
        <w:t>d</w:t>
      </w:r>
      <w:r w:rsidRPr="003011C5">
        <w:t>rets Humans, aprovada l’any 1948 per l'Assemblea General de les Nacions Unides, que posteriorment</w:t>
      </w:r>
      <w:r>
        <w:t>,</w:t>
      </w:r>
      <w:r w:rsidRPr="003011C5">
        <w:t xml:space="preserve"> l'any 1966</w:t>
      </w:r>
      <w:r>
        <w:t>,</w:t>
      </w:r>
      <w:r w:rsidRPr="003011C5">
        <w:t xml:space="preserve"> complementa la Carta </w:t>
      </w:r>
      <w:r>
        <w:t>i</w:t>
      </w:r>
      <w:r w:rsidRPr="003011C5">
        <w:t xml:space="preserve">nternacional de </w:t>
      </w:r>
      <w:r>
        <w:t>d</w:t>
      </w:r>
      <w:r w:rsidRPr="003011C5">
        <w:t xml:space="preserve">rets </w:t>
      </w:r>
      <w:r>
        <w:t>h</w:t>
      </w:r>
      <w:r w:rsidRPr="003011C5">
        <w:t>umans i que finalment es va convertir en llei internacional l’any 1976.</w:t>
      </w:r>
    </w:p>
    <w:p w:rsidR="00F33156" w:rsidRPr="003011C5" w:rsidRDefault="00F33156" w:rsidP="00A41348">
      <w:r w:rsidRPr="003011C5">
        <w:t xml:space="preserve">En l’actualitat existeixen </w:t>
      </w:r>
      <w:r>
        <w:t>prou</w:t>
      </w:r>
      <w:r w:rsidRPr="003011C5">
        <w:t xml:space="preserve"> òrgans i mecanismes oficials pe</w:t>
      </w:r>
      <w:r>
        <w:t>r a</w:t>
      </w:r>
      <w:r w:rsidRPr="003011C5">
        <w:t>l control dels drets humans al sistema penitenciari català</w:t>
      </w:r>
      <w:r>
        <w:t xml:space="preserve">. Tots </w:t>
      </w:r>
      <w:r w:rsidRPr="003011C5">
        <w:t>deriven de les iniciatives desenvolupades des de l</w:t>
      </w:r>
      <w:r>
        <w:t>es</w:t>
      </w:r>
      <w:r w:rsidRPr="003011C5">
        <w:t xml:space="preserve"> Nacions Unides i es poden classificar com </w:t>
      </w:r>
      <w:r>
        <w:t xml:space="preserve">a </w:t>
      </w:r>
      <w:r w:rsidRPr="003011C5">
        <w:t xml:space="preserve">organismes internacionals </w:t>
      </w:r>
      <w:r>
        <w:t>i</w:t>
      </w:r>
      <w:r w:rsidRPr="003011C5">
        <w:t xml:space="preserve"> </w:t>
      </w:r>
      <w:r>
        <w:t xml:space="preserve">organismes </w:t>
      </w:r>
      <w:r w:rsidRPr="003011C5">
        <w:t>nacionals.</w:t>
      </w:r>
    </w:p>
    <w:p w:rsidR="00F33156" w:rsidRPr="003011C5" w:rsidRDefault="00F33156" w:rsidP="00A41348">
      <w:r w:rsidRPr="003011C5">
        <w:t xml:space="preserve">Ara bé, cal tenir en compte que l’activitat d’aquests organismes és autònoma i independent, amb diferents nivells d’intensitat en l’exercici de la supervisió i </w:t>
      </w:r>
      <w:r>
        <w:t xml:space="preserve">el </w:t>
      </w:r>
      <w:r w:rsidRPr="003011C5">
        <w:t>control</w:t>
      </w:r>
      <w:r>
        <w:t>,</w:t>
      </w:r>
      <w:r w:rsidRPr="003011C5">
        <w:t xml:space="preserve"> i que sovint actuen davant d’uns mateixos fets sense traspassar-se informació ni consensuar les conclusions.</w:t>
      </w:r>
    </w:p>
    <w:p w:rsidR="00F33156" w:rsidRPr="003011C5" w:rsidRDefault="00F33156" w:rsidP="00A41348">
      <w:r>
        <w:t>E</w:t>
      </w:r>
      <w:r w:rsidRPr="003011C5">
        <w:t>l Departament de Justícia vetlla per oferir el màxim nivell de col</w:t>
      </w:r>
      <w:r>
        <w:t>·</w:t>
      </w:r>
      <w:r w:rsidRPr="003011C5">
        <w:t>laboració amb l’activitat d’aquests organismes i insta a la plena contrastació dels fets investigats. També promou la difusió de les diferents actuacions d’aquests organismes, amb l’objectiu d’afavorir la transparència del sistema.</w:t>
      </w:r>
    </w:p>
    <w:p w:rsidR="00F33156" w:rsidRPr="003011C5" w:rsidRDefault="00F33156" w:rsidP="00A41348"/>
    <w:p w:rsidR="00F33156" w:rsidRPr="003011C5" w:rsidRDefault="00F33156" w:rsidP="0070401F">
      <w:pPr>
        <w:pStyle w:val="Ttol4"/>
      </w:pPr>
      <w:r w:rsidRPr="003011C5">
        <w:t xml:space="preserve">Organismes </w:t>
      </w:r>
      <w:r w:rsidRPr="00F33156">
        <w:t>internacionals</w:t>
      </w:r>
    </w:p>
    <w:p w:rsidR="00F33156" w:rsidRPr="003011C5" w:rsidRDefault="00F33156" w:rsidP="00A41348">
      <w:r w:rsidRPr="003011C5">
        <w:t>Els organismes internacionals que vetllen pel compliment dels drets humans que incideixen a Catalunya són les Nacions Unides, a través de la Comissió de Drets Humans, i el Consell Europeu, a través del Comitè Europeu per a la Prevenció de la Tortura i de les Penes o Tractaments Inhumans o Degradants.</w:t>
      </w:r>
    </w:p>
    <w:p w:rsidR="00F33156" w:rsidRPr="003011C5" w:rsidRDefault="00F33156" w:rsidP="00A41348">
      <w:r w:rsidRPr="003011C5">
        <w:t>La relació amb aquests organismes està centralitzada</w:t>
      </w:r>
      <w:r>
        <w:t>;</w:t>
      </w:r>
      <w:r w:rsidRPr="003011C5">
        <w:t xml:space="preserve"> per tant</w:t>
      </w:r>
      <w:r>
        <w:t>,</w:t>
      </w:r>
      <w:r w:rsidRPr="003011C5">
        <w:t xml:space="preserve"> Catalunya hi participa a requeriment del Govern central.</w:t>
      </w:r>
    </w:p>
    <w:p w:rsidR="00F33156" w:rsidRPr="003011C5" w:rsidRDefault="00F33156" w:rsidP="00A41348">
      <w:r w:rsidRPr="003011C5">
        <w:t>En el marc de les Nacions Unides destaquen els següents instruments:</w:t>
      </w:r>
    </w:p>
    <w:p w:rsidR="00F33156" w:rsidRPr="003011C5" w:rsidRDefault="00F33156" w:rsidP="00F33156">
      <w:pPr>
        <w:pStyle w:val="Pargrafdellista"/>
        <w:numPr>
          <w:ilvl w:val="0"/>
          <w:numId w:val="38"/>
        </w:numPr>
      </w:pPr>
      <w:r w:rsidRPr="003011C5">
        <w:rPr>
          <w:b/>
        </w:rPr>
        <w:t>Comissió de Drets Humans</w:t>
      </w:r>
      <w:r w:rsidRPr="00FE2063">
        <w:t>:</w:t>
      </w:r>
      <w:r w:rsidRPr="003011C5">
        <w:t xml:space="preserve"> és l’òrgan principal de les Nacions Unides en matèria de drets humans. </w:t>
      </w:r>
      <w:r>
        <w:t xml:space="preserve">La formen </w:t>
      </w:r>
      <w:r w:rsidRPr="003011C5">
        <w:t>cinquanta–tres estats membres elegits per un mandat de tres anys pel Consell Econòmic i Social. La comissió es reuneix a Ginebra cada any i</w:t>
      </w:r>
      <w:r>
        <w:t>,</w:t>
      </w:r>
      <w:r w:rsidRPr="003011C5">
        <w:t xml:space="preserve"> entre </w:t>
      </w:r>
      <w:r>
        <w:t>d’</w:t>
      </w:r>
      <w:r w:rsidRPr="003011C5">
        <w:t>altres funcions, pot iniciar missions d’investigació</w:t>
      </w:r>
      <w:r>
        <w:t xml:space="preserve"> i</w:t>
      </w:r>
      <w:r w:rsidRPr="003011C5">
        <w:t xml:space="preserve"> preparar esborranys de convencions i declaracions per </w:t>
      </w:r>
      <w:r>
        <w:t xml:space="preserve">presentar-los a </w:t>
      </w:r>
      <w:r w:rsidRPr="003011C5">
        <w:t>l’aprovació dels òrgans superiors de</w:t>
      </w:r>
      <w:r>
        <w:t xml:space="preserve"> les </w:t>
      </w:r>
      <w:r w:rsidRPr="003011C5">
        <w:t xml:space="preserve"> Nacions Unides. La Comissió ha adoptat resolucions relatives a la tortura i a d’altres penes o tractaments cruels, inhumans o degradants.</w:t>
      </w:r>
    </w:p>
    <w:p w:rsidR="00F33156" w:rsidRPr="003011C5" w:rsidRDefault="00F33156" w:rsidP="00A41348">
      <w:pPr>
        <w:pStyle w:val="Pargrafdellista"/>
        <w:ind w:left="720"/>
      </w:pPr>
    </w:p>
    <w:p w:rsidR="00F33156" w:rsidRPr="003011C5" w:rsidRDefault="00F33156" w:rsidP="00F33156">
      <w:pPr>
        <w:pStyle w:val="Pargrafdellista"/>
        <w:numPr>
          <w:ilvl w:val="0"/>
          <w:numId w:val="38"/>
        </w:numPr>
      </w:pPr>
      <w:r w:rsidRPr="003011C5">
        <w:rPr>
          <w:b/>
        </w:rPr>
        <w:t>Comitè de Drets Humans</w:t>
      </w:r>
      <w:r w:rsidRPr="00301324">
        <w:t>:</w:t>
      </w:r>
      <w:r w:rsidRPr="003011C5">
        <w:t xml:space="preserve"> es va establir de conformitat amb l’article 28 del Pacte internacional sobre drets civils i polítics amb la funció de vigilar l’aplicació </w:t>
      </w:r>
      <w:r>
        <w:t xml:space="preserve">que fan </w:t>
      </w:r>
      <w:r w:rsidRPr="003011C5">
        <w:t>del Pacte</w:t>
      </w:r>
      <w:r w:rsidRPr="00301324">
        <w:t xml:space="preserve"> </w:t>
      </w:r>
      <w:r>
        <w:t>els estats parts</w:t>
      </w:r>
      <w:r w:rsidRPr="003011C5">
        <w:t xml:space="preserve">. El Comitè </w:t>
      </w:r>
      <w:r>
        <w:t>el formen</w:t>
      </w:r>
      <w:r w:rsidRPr="003011C5">
        <w:t xml:space="preserve"> divuit experts independents que han de ser persones de gran integritat moral i de reconeguda competència en matèria de drets humans. Els estats parts del Pacte han de lliurar informes cada cinc anys sobre les mesures que han adoptat per fer efectius els drets reconeguts en el Pacte i sobre els avenços que hi ha hagut quan</w:t>
      </w:r>
      <w:r>
        <w:t>t</w:t>
      </w:r>
      <w:r w:rsidRPr="003011C5">
        <w:t xml:space="preserve"> al gaudi dels drets. El Comitè estudia els informes aportats, adopta conclusions, resumeix els principals motius de preocupació i formula a l’estat part les recomanacions i els suggeriments adequats.</w:t>
      </w:r>
    </w:p>
    <w:p w:rsidR="00F33156" w:rsidRPr="003011C5" w:rsidRDefault="00F33156" w:rsidP="00A41348">
      <w:pPr>
        <w:pStyle w:val="Pargrafdellista"/>
        <w:ind w:left="720"/>
      </w:pPr>
    </w:p>
    <w:p w:rsidR="00F33156" w:rsidRPr="003011C5" w:rsidRDefault="00F33156" w:rsidP="00F33156">
      <w:pPr>
        <w:pStyle w:val="Pargrafdellista"/>
        <w:numPr>
          <w:ilvl w:val="0"/>
          <w:numId w:val="38"/>
        </w:numPr>
      </w:pPr>
      <w:r w:rsidRPr="003011C5">
        <w:rPr>
          <w:b/>
        </w:rPr>
        <w:t>Comitè contra la Tortura</w:t>
      </w:r>
      <w:r w:rsidRPr="00301324">
        <w:t>:</w:t>
      </w:r>
      <w:r w:rsidRPr="003011C5">
        <w:t xml:space="preserve"> supervisa l’aplicació de la Convenció contra la tortura i altres penes o tractaments cruels, inhumans o degradants. Consta de deu experts elegits per la seva </w:t>
      </w:r>
      <w:r>
        <w:rPr>
          <w:rFonts w:cs="Arial"/>
        </w:rPr>
        <w:t>«</w:t>
      </w:r>
      <w:r w:rsidRPr="003011C5">
        <w:t>gran integritat moral i reconeguda competència en matèria de drets humans</w:t>
      </w:r>
      <w:r>
        <w:rPr>
          <w:rFonts w:cs="Arial"/>
        </w:rPr>
        <w:t>»</w:t>
      </w:r>
      <w:r>
        <w:t>.</w:t>
      </w:r>
      <w:r w:rsidRPr="003011C5">
        <w:t xml:space="preserve"> Els </w:t>
      </w:r>
      <w:r w:rsidRPr="003011C5">
        <w:lastRenderedPageBreak/>
        <w:t xml:space="preserve">estats han de lliurar informes relatius als seus compromisos amb la Convenció. El Comitè els examina, reporta comentaris generals i recomanacions i inclou aquesta informació a l’informe anual. El Comitè pot portar a terme investigacions confidencials, a partir d’informacions fiables i </w:t>
      </w:r>
      <w:r>
        <w:t>en cas d</w:t>
      </w:r>
      <w:r w:rsidRPr="003011C5">
        <w:t xml:space="preserve">e pràctica sistemàtica de </w:t>
      </w:r>
      <w:r>
        <w:t xml:space="preserve">la </w:t>
      </w:r>
      <w:r w:rsidRPr="003011C5">
        <w:t xml:space="preserve">tortura en un estat part. El Comitè pot ser reconegut pels estats part com a competent per investigar queixes de persones sotmeses a la seva jurisdicció relatives a suposades violacions de les disposicions de la Convenció contra la </w:t>
      </w:r>
      <w:r>
        <w:t>t</w:t>
      </w:r>
      <w:r w:rsidRPr="003011C5">
        <w:t>ortura.</w:t>
      </w:r>
    </w:p>
    <w:p w:rsidR="00F33156" w:rsidRPr="003011C5" w:rsidRDefault="00F33156" w:rsidP="00A41348">
      <w:pPr>
        <w:pStyle w:val="Pargrafdellista"/>
        <w:ind w:left="720"/>
      </w:pPr>
    </w:p>
    <w:p w:rsidR="00F33156" w:rsidRPr="003011C5" w:rsidRDefault="00F33156" w:rsidP="00F33156">
      <w:pPr>
        <w:pStyle w:val="Pargrafdellista"/>
        <w:numPr>
          <w:ilvl w:val="0"/>
          <w:numId w:val="38"/>
        </w:numPr>
      </w:pPr>
      <w:r w:rsidRPr="003011C5">
        <w:rPr>
          <w:b/>
        </w:rPr>
        <w:t>Relator especial sobre la tortura</w:t>
      </w:r>
      <w:r w:rsidRPr="00301324">
        <w:t>:</w:t>
      </w:r>
      <w:r w:rsidRPr="003011C5">
        <w:t xml:space="preserve"> </w:t>
      </w:r>
      <w:r>
        <w:t>l</w:t>
      </w:r>
      <w:r w:rsidRPr="003011C5">
        <w:t>a Comissió de Drets Humans va acordar l’any 1985 nomenar un relator especial sobre la tortura. El relator s’encarrega de cercar i rebre informació creïble i fidedigna sobre qüestions relatives a la tortura i de respondre-hi. El relator sol·licita als estats informació sobre les mesures legislatives i administratives que han adoptat per prevenir la tortura, la reparació en el cas que s’hagi produït algun cas de tortura i que s</w:t>
      </w:r>
      <w:r>
        <w:t>e n’</w:t>
      </w:r>
      <w:r w:rsidRPr="003011C5">
        <w:t>informi.</w:t>
      </w:r>
      <w:r>
        <w:t xml:space="preserve"> E</w:t>
      </w:r>
      <w:r w:rsidRPr="003011C5">
        <w:t xml:space="preserve">l relator </w:t>
      </w:r>
      <w:r>
        <w:t xml:space="preserve">també rep </w:t>
      </w:r>
      <w:r w:rsidRPr="003011C5">
        <w:t>sol·licituds d’intervenció immediata, que trasllada als governs interessats</w:t>
      </w:r>
      <w:r>
        <w:t>,</w:t>
      </w:r>
      <w:r w:rsidRPr="003011C5">
        <w:t xml:space="preserve"> per garantir la protecció del dret de la persona a la integritat física i mental. A més, rep representa</w:t>
      </w:r>
      <w:r>
        <w:t>n</w:t>
      </w:r>
      <w:r w:rsidRPr="003011C5">
        <w:t>ts dels governs i fa visites a determina</w:t>
      </w:r>
      <w:r>
        <w:t>de</w:t>
      </w:r>
      <w:r w:rsidRPr="003011C5">
        <w:t xml:space="preserve">s parts del món. El relator presenta a la Comissió de Drets Humans i a </w:t>
      </w:r>
      <w:r w:rsidRPr="004400C8">
        <w:t>l’Assemblea General informes que descriuen les mesures que han adoptat d’acord amb el seu mandat i</w:t>
      </w:r>
      <w:r w:rsidRPr="003011C5">
        <w:t xml:space="preserve"> reiteren la importància que té una investigació ràpida de les al·legacions de tortures</w:t>
      </w:r>
      <w:r>
        <w:t>.</w:t>
      </w:r>
    </w:p>
    <w:p w:rsidR="00F33156" w:rsidRPr="003011C5" w:rsidRDefault="00F33156" w:rsidP="00A41348">
      <w:pPr>
        <w:pStyle w:val="Pargrafdellista"/>
        <w:ind w:left="360"/>
      </w:pPr>
    </w:p>
    <w:p w:rsidR="00F33156" w:rsidRDefault="00F33156" w:rsidP="00A41348">
      <w:r w:rsidRPr="003011C5">
        <w:t xml:space="preserve">Respecte del Consell d’Europa, l’any 1987 va adoptar el Conveni europeu per a la prevenció de la tortura i de les penes o tractaments inhumans o degradants, que va entrar en vigor l’1 de febrer de 1989. Aquest conveni complementa el mecanisme judicial del Conveni europeu de drets humans amb un mecanisme preventiu i no pretén establir normes substancials. El Conveni va establir el Comitè Europeu per a la Prevenció de la Tortura i de les Penes o Tractaments Inhumans o </w:t>
      </w:r>
      <w:r>
        <w:t>D</w:t>
      </w:r>
      <w:r w:rsidRPr="003011C5">
        <w:t>egradants, constituït per un representant de cada estat membre. Els membres elegits per al Comitè han de ser persones de gran prestigi moral, imparcials, independents i en condicions de du</w:t>
      </w:r>
      <w:r>
        <w:t>r</w:t>
      </w:r>
      <w:r w:rsidRPr="003011C5">
        <w:t xml:space="preserve"> a terme missions sobre el terreny. El Comitè porta a terme visites als estats membres del Consell d’Europa, </w:t>
      </w:r>
      <w:r>
        <w:t xml:space="preserve">i </w:t>
      </w:r>
      <w:r w:rsidRPr="003011C5">
        <w:t xml:space="preserve">posteriorment </w:t>
      </w:r>
      <w:r>
        <w:t xml:space="preserve">elabora </w:t>
      </w:r>
      <w:r w:rsidRPr="003011C5">
        <w:t xml:space="preserve">un informe </w:t>
      </w:r>
      <w:r>
        <w:t>valoratiu de la seva visita</w:t>
      </w:r>
      <w:r w:rsidRPr="003011C5">
        <w:t xml:space="preserve">, formula les recomanacions concretes i demana </w:t>
      </w:r>
      <w:r>
        <w:t xml:space="preserve">resposta sobre les apreciacions del seu informe. </w:t>
      </w:r>
    </w:p>
    <w:p w:rsidR="00F33156" w:rsidRPr="003011C5" w:rsidRDefault="00F33156" w:rsidP="00A41348"/>
    <w:p w:rsidR="00F33156" w:rsidRPr="003011C5" w:rsidRDefault="00F33156" w:rsidP="0070401F">
      <w:pPr>
        <w:pStyle w:val="Ttol4"/>
      </w:pPr>
      <w:r w:rsidRPr="00F33156">
        <w:t>Organismes</w:t>
      </w:r>
      <w:r w:rsidRPr="003011C5">
        <w:t xml:space="preserve"> nacionals</w:t>
      </w:r>
    </w:p>
    <w:p w:rsidR="00F33156" w:rsidRPr="003011C5" w:rsidRDefault="00F33156" w:rsidP="00A41348">
      <w:r w:rsidRPr="003011C5">
        <w:t>En l’àmbit nacional el sistema també disposa d’instruments de supervisió i control, alguns dels quals s’han constituït a instàncies dels organismes internacionals anteriors. Els dos òrgans principals que vetllen per la defensa dels drets fonamentals i les llibertats públiques són el Defensor del Poble en l’àmbit estatal i el Síndic de Greuges en l’àmbit català.</w:t>
      </w:r>
    </w:p>
    <w:p w:rsidR="00F33156" w:rsidRPr="003011C5" w:rsidRDefault="00F33156" w:rsidP="00A41348">
      <w:r w:rsidRPr="003011C5">
        <w:t>En matèria d’execució penal, els òrgans que incideixen en el desenvolupament de la política són:</w:t>
      </w:r>
    </w:p>
    <w:p w:rsidR="00F33156" w:rsidRPr="003011C5" w:rsidRDefault="00F33156" w:rsidP="00507FE7">
      <w:pPr>
        <w:numPr>
          <w:ilvl w:val="0"/>
          <w:numId w:val="39"/>
        </w:numPr>
        <w:contextualSpacing/>
      </w:pPr>
      <w:r w:rsidRPr="003011C5">
        <w:rPr>
          <w:b/>
        </w:rPr>
        <w:t>Defensor del Poble</w:t>
      </w:r>
      <w:r w:rsidRPr="002E0E84">
        <w:t>:</w:t>
      </w:r>
      <w:r w:rsidRPr="003011C5">
        <w:t xml:space="preserve"> </w:t>
      </w:r>
      <w:r>
        <w:t>v</w:t>
      </w:r>
      <w:r w:rsidRPr="003011C5">
        <w:t xml:space="preserve">etlla per la prevenció de la tortura als llocs de privació de llibertat. Amb l’entrada en vigor l’any 2006 del Protocol facultatiu de la Convenció de Nacions Unides contra la tortura </w:t>
      </w:r>
      <w:r>
        <w:t>i</w:t>
      </w:r>
      <w:r w:rsidRPr="003011C5">
        <w:t xml:space="preserve"> altres tractes o penes cruels, inhumans o degradants, el 2009 les Corts Generals li van atribuir la condició de </w:t>
      </w:r>
      <w:r>
        <w:rPr>
          <w:rFonts w:cs="Arial"/>
        </w:rPr>
        <w:t>«</w:t>
      </w:r>
      <w:r>
        <w:t>m</w:t>
      </w:r>
      <w:r w:rsidRPr="003011C5">
        <w:t>ecanisme nacional de prevenció de la tortura</w:t>
      </w:r>
      <w:r>
        <w:rPr>
          <w:rFonts w:cs="Arial"/>
        </w:rPr>
        <w:t>»</w:t>
      </w:r>
      <w:r w:rsidRPr="002E0E84">
        <w:t>.</w:t>
      </w:r>
      <w:r w:rsidRPr="003011C5">
        <w:t xml:space="preserve"> </w:t>
      </w:r>
      <w:r>
        <w:t>Aquesta</w:t>
      </w:r>
      <w:r w:rsidRPr="003011C5">
        <w:t xml:space="preserve"> funció la desenvolupa mitjançant l’establiment d’una sèrie de visites periòdiques a càrrec del Subcomitè per a la </w:t>
      </w:r>
      <w:r>
        <w:t>P</w:t>
      </w:r>
      <w:r w:rsidRPr="003011C5">
        <w:t>revenció de la Tortura, amb seu a Ginebra. Es va constituir com una unitat independent dins l’estructura orgànica del Defensor del Poble.</w:t>
      </w:r>
    </w:p>
    <w:p w:rsidR="00F33156" w:rsidRPr="003011C5" w:rsidRDefault="00F33156" w:rsidP="00A41348">
      <w:pPr>
        <w:ind w:left="720"/>
        <w:contextualSpacing/>
      </w:pPr>
    </w:p>
    <w:p w:rsidR="00F33156" w:rsidRPr="003011C5" w:rsidRDefault="00F33156" w:rsidP="00507FE7">
      <w:pPr>
        <w:numPr>
          <w:ilvl w:val="0"/>
          <w:numId w:val="39"/>
        </w:numPr>
        <w:contextualSpacing/>
      </w:pPr>
      <w:r w:rsidRPr="003011C5">
        <w:rPr>
          <w:b/>
        </w:rPr>
        <w:lastRenderedPageBreak/>
        <w:t>Síndic de Greuges</w:t>
      </w:r>
      <w:r w:rsidRPr="002E0E84">
        <w:t>:</w:t>
      </w:r>
      <w:r w:rsidRPr="003011C5">
        <w:t xml:space="preserve"> </w:t>
      </w:r>
      <w:r>
        <w:t>e</w:t>
      </w:r>
      <w:r w:rsidRPr="003011C5">
        <w:t>n exercici de les funcions atribuïdes per l’Estatut d’</w:t>
      </w:r>
      <w:r>
        <w:t>a</w:t>
      </w:r>
      <w:r w:rsidRPr="003011C5">
        <w:t xml:space="preserve">utonomia, el 2015 se li va atribuir la condició de </w:t>
      </w:r>
      <w:r>
        <w:rPr>
          <w:rFonts w:cs="Arial"/>
        </w:rPr>
        <w:t>«</w:t>
      </w:r>
      <w:r>
        <w:t>m</w:t>
      </w:r>
      <w:r w:rsidRPr="003011C5">
        <w:t>ecanisme català de prevenció de la tortura</w:t>
      </w:r>
      <w:r>
        <w:rPr>
          <w:rFonts w:cs="Arial"/>
        </w:rPr>
        <w:t>»</w:t>
      </w:r>
      <w:r w:rsidRPr="003011C5">
        <w:t>. La funció es desenvolupa d’una manera similar a la del Defensor del Poble, en aquells espais de Catalunya on hi ha privació de llibertat.</w:t>
      </w:r>
    </w:p>
    <w:p w:rsidR="00F33156" w:rsidRPr="003011C5" w:rsidRDefault="00F33156" w:rsidP="00A41348">
      <w:pPr>
        <w:pStyle w:val="Pargrafdellista"/>
      </w:pPr>
    </w:p>
    <w:p w:rsidR="00F33156" w:rsidRPr="003011C5" w:rsidRDefault="00F33156" w:rsidP="00507FE7">
      <w:pPr>
        <w:numPr>
          <w:ilvl w:val="0"/>
          <w:numId w:val="39"/>
        </w:numPr>
        <w:contextualSpacing/>
      </w:pPr>
      <w:r w:rsidRPr="003011C5">
        <w:rPr>
          <w:b/>
        </w:rPr>
        <w:t>Parlament de Catalunya</w:t>
      </w:r>
      <w:r w:rsidRPr="002E0E84">
        <w:t>:</w:t>
      </w:r>
      <w:r w:rsidRPr="003011C5">
        <w:rPr>
          <w:b/>
        </w:rPr>
        <w:t xml:space="preserve"> </w:t>
      </w:r>
      <w:r>
        <w:t>ex</w:t>
      </w:r>
      <w:r w:rsidRPr="003011C5">
        <w:t xml:space="preserve">erceix un control mitjançant la constitució de comissions, on els grups parlamentaris demanen al </w:t>
      </w:r>
      <w:r>
        <w:t>co</w:t>
      </w:r>
      <w:r w:rsidRPr="003011C5">
        <w:t>nseller de Justícia periòdicament explicacions sobre el desenvolupament de les seves polítiques. En l’actualitat hi ha cons</w:t>
      </w:r>
      <w:r>
        <w:t>t</w:t>
      </w:r>
      <w:r w:rsidRPr="003011C5">
        <w:t>ituïdes dues comissions legislatives: la Comissió de Justícia i la Comissió del Síndic de Greuges.</w:t>
      </w:r>
    </w:p>
    <w:p w:rsidR="00F33156" w:rsidRPr="003011C5" w:rsidRDefault="00F33156" w:rsidP="00A41348">
      <w:pPr>
        <w:pStyle w:val="Pargrafdellista"/>
        <w:rPr>
          <w:b/>
        </w:rPr>
      </w:pPr>
    </w:p>
    <w:p w:rsidR="00F33156" w:rsidRPr="003011C5" w:rsidRDefault="00F33156" w:rsidP="00507FE7">
      <w:pPr>
        <w:numPr>
          <w:ilvl w:val="0"/>
          <w:numId w:val="39"/>
        </w:numPr>
        <w:contextualSpacing/>
      </w:pPr>
      <w:r w:rsidRPr="003011C5">
        <w:rPr>
          <w:b/>
        </w:rPr>
        <w:t xml:space="preserve">Jutjat de </w:t>
      </w:r>
      <w:r>
        <w:rPr>
          <w:b/>
        </w:rPr>
        <w:t>v</w:t>
      </w:r>
      <w:r w:rsidRPr="003011C5">
        <w:rPr>
          <w:b/>
        </w:rPr>
        <w:t xml:space="preserve">igilància </w:t>
      </w:r>
      <w:r>
        <w:rPr>
          <w:b/>
        </w:rPr>
        <w:t>p</w:t>
      </w:r>
      <w:r w:rsidRPr="003011C5">
        <w:rPr>
          <w:b/>
        </w:rPr>
        <w:t>enitenciària</w:t>
      </w:r>
      <w:r w:rsidRPr="002E0E84">
        <w:t>:</w:t>
      </w:r>
      <w:r w:rsidRPr="003011C5">
        <w:t xml:space="preserve"> </w:t>
      </w:r>
      <w:r>
        <w:t>ò</w:t>
      </w:r>
      <w:r w:rsidRPr="003011C5">
        <w:t>rgan constituït des de la restitució de la democràcia a l’Estat espanyol. Vetlla pel compliment dels drets de les persones penades davant de possibles decisions arbitràries de l’Administració. Té atribucions per fer complir la pena imposada, resoldre els recursos referents a les modificacions legals i corregir els abusos i desviacions que es puguin produir en el compliment dels preceptes del règim penitenciari.</w:t>
      </w:r>
    </w:p>
    <w:p w:rsidR="00F33156" w:rsidRPr="003011C5" w:rsidRDefault="00F33156" w:rsidP="00A41348"/>
    <w:p w:rsidR="00F33156" w:rsidRPr="003011C5" w:rsidRDefault="00F33156" w:rsidP="00A41348"/>
    <w:p w:rsidR="00F33156" w:rsidRPr="003011C5" w:rsidRDefault="00F33156" w:rsidP="0070401F">
      <w:pPr>
        <w:pStyle w:val="Ttol3"/>
      </w:pPr>
      <w:bookmarkStart w:id="654" w:name="_Toc464202407"/>
      <w:bookmarkStart w:id="655" w:name="_Toc464685759"/>
      <w:bookmarkStart w:id="656" w:name="_Toc465293497"/>
      <w:r w:rsidRPr="003011C5">
        <w:t>La percepció ciutadana</w:t>
      </w:r>
      <w:bookmarkEnd w:id="654"/>
      <w:bookmarkEnd w:id="655"/>
      <w:bookmarkEnd w:id="656"/>
    </w:p>
    <w:p w:rsidR="00F33156" w:rsidRPr="003011C5" w:rsidRDefault="00F33156" w:rsidP="00A41348">
      <w:r w:rsidRPr="003011C5">
        <w:t>La política d’execució penal s’engloba en el conjunt de polítiques socials d’un país, però a diferència de les seves polítiques veïnes</w:t>
      </w:r>
      <w:r>
        <w:t>,</w:t>
      </w:r>
      <w:r w:rsidRPr="003011C5">
        <w:t xml:space="preserve"> com l’educació o la salut, genera algunes controvèrsies en la ciutadania. D’una banda, l’execució penal ha de garantir que es compleixen plenament les mesures penals, en l’entorn on determini el jutge i sota mesures de seguretat i control. D’altra</w:t>
      </w:r>
      <w:r>
        <w:t xml:space="preserve"> banda</w:t>
      </w:r>
      <w:r w:rsidRPr="003011C5">
        <w:t xml:space="preserve"> </w:t>
      </w:r>
      <w:r>
        <w:rPr>
          <w:rFonts w:cs="Arial"/>
        </w:rPr>
        <w:t>–</w:t>
      </w:r>
      <w:r w:rsidRPr="003011C5">
        <w:t>i això no succeeix en totes les societats</w:t>
      </w:r>
      <w:r>
        <w:rPr>
          <w:rFonts w:cs="Arial"/>
        </w:rPr>
        <w:t>–</w:t>
      </w:r>
      <w:r>
        <w:t>,</w:t>
      </w:r>
      <w:r w:rsidRPr="003011C5">
        <w:t xml:space="preserve"> se li assigna una funció rehabilitadora envers la persona penada que li permeti la reinserció social. La primera funció vetlla per una cohesió social a curt termini apartant la persona penada de la societat</w:t>
      </w:r>
      <w:r>
        <w:t>;</w:t>
      </w:r>
      <w:r w:rsidRPr="003011C5">
        <w:t xml:space="preserve"> la segona contribueix a la cohesió social</w:t>
      </w:r>
      <w:r w:rsidRPr="006D321A">
        <w:t xml:space="preserve"> </w:t>
      </w:r>
      <w:r w:rsidRPr="003011C5">
        <w:t>a llarg termin</w:t>
      </w:r>
      <w:r>
        <w:t>i</w:t>
      </w:r>
      <w:r w:rsidRPr="003011C5">
        <w:t xml:space="preserve"> treballant per</w:t>
      </w:r>
      <w:r>
        <w:t>q</w:t>
      </w:r>
      <w:r w:rsidRPr="003011C5">
        <w:t>u</w:t>
      </w:r>
      <w:r>
        <w:t>è</w:t>
      </w:r>
      <w:r w:rsidRPr="003011C5">
        <w:t xml:space="preserve"> la persona s’integri en la societat i no torni a delinquir.</w:t>
      </w:r>
      <w:r w:rsidRPr="006D321A">
        <w:t xml:space="preserve"> </w:t>
      </w:r>
    </w:p>
    <w:p w:rsidR="00F33156" w:rsidRPr="003011C5" w:rsidRDefault="00F33156" w:rsidP="00A41348">
      <w:r w:rsidRPr="003011C5">
        <w:t>La percepció dels ciutadans està mediatitzada per les pròpies vivències, les experiències dels amics i familiars i</w:t>
      </w:r>
      <w:r>
        <w:t>,</w:t>
      </w:r>
      <w:r w:rsidRPr="003011C5">
        <w:t xml:space="preserve"> de ma</w:t>
      </w:r>
      <w:r>
        <w:t>nera</w:t>
      </w:r>
      <w:r w:rsidRPr="003011C5">
        <w:t xml:space="preserve"> important</w:t>
      </w:r>
      <w:r>
        <w:t>,</w:t>
      </w:r>
      <w:r w:rsidRPr="003011C5">
        <w:t xml:space="preserve"> per les notícies que es publiquen a través dels mitjans de comunicació i el tractament que </w:t>
      </w:r>
      <w:r>
        <w:t xml:space="preserve">en </w:t>
      </w:r>
      <w:r w:rsidRPr="003011C5">
        <w:t>fa</w:t>
      </w:r>
      <w:r>
        <w:t>n</w:t>
      </w:r>
      <w:r w:rsidRPr="003011C5">
        <w:t xml:space="preserve"> </w:t>
      </w:r>
      <w:r>
        <w:t xml:space="preserve">i per </w:t>
      </w:r>
      <w:r w:rsidRPr="003011C5">
        <w:t xml:space="preserve">l’augment de la preocupació i la por que </w:t>
      </w:r>
      <w:r>
        <w:t xml:space="preserve">es </w:t>
      </w:r>
      <w:r w:rsidRPr="003011C5">
        <w:t xml:space="preserve">genera. </w:t>
      </w:r>
    </w:p>
    <w:p w:rsidR="00F33156" w:rsidRPr="003011C5" w:rsidRDefault="00F33156" w:rsidP="00A41348">
      <w:r w:rsidRPr="003011C5">
        <w:t>Durant els darrers anys s’ha elaborat un seguit de sonde</w:t>
      </w:r>
      <w:r>
        <w:t>ig</w:t>
      </w:r>
      <w:r w:rsidRPr="003011C5">
        <w:t xml:space="preserve">s per copsar l’opinió ciutadana sobre els aspectes més rellevants de l’execució penal a Catalunya. </w:t>
      </w:r>
      <w:r>
        <w:t>Les dades</w:t>
      </w:r>
      <w:r w:rsidRPr="003011C5">
        <w:t xml:space="preserve"> s’han obtingut amb les enquestes òmnibus del Centre d’Estudis d’Opinió, l</w:t>
      </w:r>
      <w:r>
        <w:t>es</w:t>
      </w:r>
      <w:r w:rsidRPr="003011C5">
        <w:t xml:space="preserve"> qual</w:t>
      </w:r>
      <w:r>
        <w:t>s</w:t>
      </w:r>
      <w:r w:rsidRPr="003011C5">
        <w:t xml:space="preserve"> pretenen conèixer les necessitats, les expectatives i les principals prioritats dels ciutadans en temes de polítiques públiques. Al</w:t>
      </w:r>
      <w:r>
        <w:t>hora</w:t>
      </w:r>
      <w:r w:rsidRPr="003011C5">
        <w:t>, persegueix aconseguir una valoració de l’actuació del</w:t>
      </w:r>
      <w:r>
        <w:t xml:space="preserve"> G</w:t>
      </w:r>
      <w:r w:rsidRPr="003011C5">
        <w:t xml:space="preserve">overn de la Generalitat, tant </w:t>
      </w:r>
      <w:r>
        <w:t>en</w:t>
      </w:r>
      <w:r w:rsidRPr="003011C5">
        <w:t xml:space="preserve"> general com específic</w:t>
      </w:r>
      <w:r>
        <w:t xml:space="preserve">ament en </w:t>
      </w:r>
      <w:r w:rsidRPr="003011C5">
        <w:t xml:space="preserve">els diferents àmbits de gestió, entre els quals s’inclou </w:t>
      </w:r>
      <w:r>
        <w:t xml:space="preserve">el de </w:t>
      </w:r>
      <w:r w:rsidRPr="003011C5">
        <w:t>les polítiques socials.</w:t>
      </w:r>
    </w:p>
    <w:p w:rsidR="00F33156" w:rsidRPr="003011C5" w:rsidRDefault="00F33156" w:rsidP="00A41348">
      <w:r w:rsidRPr="003011C5">
        <w:t>A continuació es mostr</w:t>
      </w:r>
      <w:r>
        <w:t>a</w:t>
      </w:r>
      <w:r w:rsidRPr="003011C5">
        <w:t xml:space="preserve"> </w:t>
      </w:r>
      <w:r>
        <w:t>e</w:t>
      </w:r>
      <w:r w:rsidRPr="003011C5">
        <w:t>ls principals temes sotmes</w:t>
      </w:r>
      <w:r>
        <w:t>o</w:t>
      </w:r>
      <w:r w:rsidRPr="003011C5">
        <w:t>s a consulta i els resultats més destacats.</w:t>
      </w:r>
    </w:p>
    <w:p w:rsidR="00F33156" w:rsidRPr="003011C5" w:rsidRDefault="00F33156" w:rsidP="00A41348"/>
    <w:p w:rsidR="00F33156" w:rsidRPr="003011C5" w:rsidRDefault="00F33156" w:rsidP="0070401F">
      <w:pPr>
        <w:pStyle w:val="Ttol4"/>
      </w:pPr>
      <w:r w:rsidRPr="003011C5">
        <w:lastRenderedPageBreak/>
        <w:t xml:space="preserve">Grau de </w:t>
      </w:r>
      <w:r w:rsidRPr="00F33156">
        <w:t>coneixement</w:t>
      </w:r>
      <w:r w:rsidR="00D25C70">
        <w:t xml:space="preserve"> del sistema D’EXECUCIÓ PENAL</w:t>
      </w:r>
    </w:p>
    <w:p w:rsidR="00F33156" w:rsidRDefault="00F33156" w:rsidP="00A41348">
      <w:r w:rsidRPr="003011C5">
        <w:t xml:space="preserve">Respecte del grau de coneixement, </w:t>
      </w:r>
      <w:r w:rsidRPr="004528EB">
        <w:t>s’ha preguntat  sobre l’objectiu del sistema penitenciari, la vida dels interns i els programes d’intervenció a les presons, els costos del</w:t>
      </w:r>
      <w:r>
        <w:t>s</w:t>
      </w:r>
      <w:r w:rsidRPr="004528EB">
        <w:t xml:space="preserve"> serveis de rehabilitació, les mesures penals alternatives i el coneixement de les actuacions de renovació i transformació dels equipaments penitenciaris. A continuació es presenten els resultats més destacats.</w:t>
      </w:r>
    </w:p>
    <w:p w:rsidR="00F33156" w:rsidRDefault="00F33156" w:rsidP="00A41348">
      <w:pPr>
        <w:rPr>
          <w:rFonts w:eastAsiaTheme="majorEastAsia" w:cstheme="majorBidi"/>
          <w:bCs/>
          <w:i/>
        </w:rPr>
      </w:pPr>
    </w:p>
    <w:p w:rsidR="00F33156" w:rsidRPr="003011C5" w:rsidRDefault="00F33156" w:rsidP="00A41348">
      <w:pPr>
        <w:rPr>
          <w:rFonts w:eastAsiaTheme="majorEastAsia" w:cstheme="majorBidi"/>
          <w:bCs/>
          <w:i/>
        </w:rPr>
      </w:pPr>
      <w:r w:rsidRPr="003011C5">
        <w:rPr>
          <w:rFonts w:eastAsiaTheme="majorEastAsia" w:cstheme="majorBidi"/>
          <w:bCs/>
          <w:i/>
        </w:rPr>
        <w:t>Sobre l’objectiu del sistema penitenciari</w:t>
      </w:r>
    </w:p>
    <w:p w:rsidR="00F33156" w:rsidRPr="003011C5" w:rsidRDefault="00F33156" w:rsidP="00A41348">
      <w:r w:rsidRPr="003011C5">
        <w:t xml:space="preserve">Els resultats de les consultes que es van elaborar els anys 2007 i 2013 mostren que la majoria de la població creu que el principal objectiu del sistema penitenciari és la reinserció social i laboral dels que han comès algun delicte </w:t>
      </w:r>
      <w:r>
        <w:t>(</w:t>
      </w:r>
      <w:r w:rsidR="009A1F67">
        <w:t>Gràfic</w:t>
      </w:r>
      <w:r>
        <w:t xml:space="preserve"> </w:t>
      </w:r>
      <w:r w:rsidR="00752E4C">
        <w:t>58</w:t>
      </w:r>
      <w:r>
        <w:t>).</w:t>
      </w:r>
    </w:p>
    <w:p w:rsidR="00F33156" w:rsidRDefault="00F33156" w:rsidP="00A41348">
      <w:pPr>
        <w:keepNext/>
        <w:jc w:val="center"/>
      </w:pPr>
    </w:p>
    <w:p w:rsidR="00BB551F" w:rsidRDefault="00F33156" w:rsidP="00BB551F">
      <w:pPr>
        <w:keepNext/>
        <w:jc w:val="center"/>
      </w:pPr>
      <w:r>
        <w:rPr>
          <w:noProof/>
          <w:lang w:eastAsia="ca-ES"/>
        </w:rPr>
        <w:drawing>
          <wp:inline distT="0" distB="0" distL="0" distR="0" wp14:anchorId="72DE2C7B" wp14:editId="505D6F62">
            <wp:extent cx="4724400" cy="2399225"/>
            <wp:effectExtent l="0" t="0" r="0" b="0"/>
            <wp:docPr id="42" name="Imat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726030" cy="2400053"/>
                    </a:xfrm>
                    <a:prstGeom prst="rect">
                      <a:avLst/>
                    </a:prstGeom>
                    <a:noFill/>
                    <a:ln>
                      <a:noFill/>
                    </a:ln>
                  </pic:spPr>
                </pic:pic>
              </a:graphicData>
            </a:graphic>
          </wp:inline>
        </w:drawing>
      </w:r>
    </w:p>
    <w:p w:rsidR="00F33156" w:rsidRPr="003011C5" w:rsidRDefault="009A1F67" w:rsidP="00BB551F">
      <w:pPr>
        <w:pStyle w:val="Llegenda"/>
        <w:jc w:val="center"/>
      </w:pPr>
      <w:bookmarkStart w:id="657" w:name="_Toc465293865"/>
      <w:r>
        <w:t>Gràfic</w:t>
      </w:r>
      <w:r w:rsidR="00BB551F">
        <w:t xml:space="preserve"> </w:t>
      </w:r>
      <w:r w:rsidR="00DB496B">
        <w:fldChar w:fldCharType="begin"/>
      </w:r>
      <w:r w:rsidR="00DB496B">
        <w:instrText xml:space="preserve"> SEQ Il·lustració \* ARABIC </w:instrText>
      </w:r>
      <w:r w:rsidR="00DB496B">
        <w:fldChar w:fldCharType="separate"/>
      </w:r>
      <w:r w:rsidR="00C952DF">
        <w:rPr>
          <w:noProof/>
        </w:rPr>
        <w:t>58</w:t>
      </w:r>
      <w:r w:rsidR="00DB496B">
        <w:rPr>
          <w:noProof/>
        </w:rPr>
        <w:fldChar w:fldCharType="end"/>
      </w:r>
      <w:r w:rsidR="00BB551F">
        <w:t xml:space="preserve">. </w:t>
      </w:r>
      <w:r w:rsidR="00BB551F" w:rsidRPr="00DC5802">
        <w:t>Creu que el principal objectiu del sistema penitenciari ha de ser aconseguir la reinserció social i laboral de les persones condemnades o castigar els que han infringit la llei? (2007, 2013)</w:t>
      </w:r>
      <w:bookmarkEnd w:id="657"/>
    </w:p>
    <w:p w:rsidR="00F33156" w:rsidRDefault="00F33156">
      <w:pPr>
        <w:spacing w:before="0"/>
        <w:jc w:val="left"/>
      </w:pPr>
      <w:r>
        <w:br w:type="page"/>
      </w:r>
    </w:p>
    <w:p w:rsidR="00F33156" w:rsidRPr="003011C5" w:rsidRDefault="00F33156" w:rsidP="00A41348"/>
    <w:p w:rsidR="00F33156" w:rsidRPr="003011C5" w:rsidRDefault="00F33156" w:rsidP="00A41348">
      <w:r w:rsidRPr="003011C5">
        <w:rPr>
          <w:noProof/>
          <w:lang w:eastAsia="ca-ES"/>
        </w:rPr>
        <w:drawing>
          <wp:anchor distT="0" distB="0" distL="114300" distR="114300" simplePos="0" relativeHeight="251666432" behindDoc="0" locked="0" layoutInCell="1" allowOverlap="1" wp14:anchorId="7CB8EDAB" wp14:editId="5D82B221">
            <wp:simplePos x="0" y="0"/>
            <wp:positionH relativeFrom="column">
              <wp:posOffset>2945765</wp:posOffset>
            </wp:positionH>
            <wp:positionV relativeFrom="paragraph">
              <wp:posOffset>80645</wp:posOffset>
            </wp:positionV>
            <wp:extent cx="2971800" cy="1663065"/>
            <wp:effectExtent l="0" t="0" r="0" b="0"/>
            <wp:wrapSquare wrapText="bothSides"/>
            <wp:docPr id="43" name="Imat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971800" cy="1663065"/>
                    </a:xfrm>
                    <a:prstGeom prst="rect">
                      <a:avLst/>
                    </a:prstGeom>
                    <a:noFill/>
                    <a:ln>
                      <a:noFill/>
                    </a:ln>
                  </pic:spPr>
                </pic:pic>
              </a:graphicData>
            </a:graphic>
          </wp:anchor>
        </w:drawing>
      </w:r>
    </w:p>
    <w:p w:rsidR="00F33156" w:rsidRPr="003011C5" w:rsidRDefault="00F33156" w:rsidP="00A41348">
      <w:r w:rsidRPr="003011C5">
        <w:t>L’any 2012 un 50,8</w:t>
      </w:r>
      <w:r>
        <w:t xml:space="preserve"> </w:t>
      </w:r>
      <w:r w:rsidRPr="003011C5">
        <w:t xml:space="preserve">% </w:t>
      </w:r>
      <w:r>
        <w:t xml:space="preserve">dels ciutadans </w:t>
      </w:r>
      <w:r w:rsidRPr="003011C5">
        <w:t>es va</w:t>
      </w:r>
      <w:r>
        <w:t>n</w:t>
      </w:r>
      <w:r w:rsidRPr="003011C5">
        <w:t xml:space="preserve"> mostrar d’acord </w:t>
      </w:r>
      <w:r>
        <w:t>amb</w:t>
      </w:r>
      <w:r w:rsidRPr="003011C5">
        <w:t xml:space="preserve"> </w:t>
      </w:r>
      <w:r>
        <w:t xml:space="preserve">el fet </w:t>
      </w:r>
      <w:r w:rsidRPr="003011C5">
        <w:t>que el càstig mitjançant condemnes llargues no serveix per evitar la delinqüència. A més a més, la majoria dels qu</w:t>
      </w:r>
      <w:r>
        <w:t>e</w:t>
      </w:r>
      <w:r w:rsidRPr="003011C5">
        <w:t xml:space="preserve"> van respondre l’enquesta estaven d’acord </w:t>
      </w:r>
      <w:r>
        <w:t>amb el fet que</w:t>
      </w:r>
      <w:r w:rsidRPr="003011C5">
        <w:t xml:space="preserve"> dedicar recursos a la rehabilitació és la ma</w:t>
      </w:r>
      <w:r>
        <w:t>nera</w:t>
      </w:r>
      <w:r w:rsidRPr="003011C5">
        <w:t xml:space="preserve"> més eficaç de reduir la reincidència </w:t>
      </w:r>
      <w:r>
        <w:t>(</w:t>
      </w:r>
      <w:r w:rsidR="009A1F67">
        <w:t>Gràfic</w:t>
      </w:r>
      <w:r>
        <w:t xml:space="preserve"> </w:t>
      </w:r>
      <w:r w:rsidR="00752E4C">
        <w:t>59</w:t>
      </w:r>
      <w:r>
        <w:t>).</w:t>
      </w:r>
    </w:p>
    <w:p w:rsidR="00F33156" w:rsidRPr="003011C5" w:rsidRDefault="00DB496B" w:rsidP="00A41348">
      <w:r>
        <w:rPr>
          <w:noProof/>
        </w:rPr>
        <w:pict>
          <v:shapetype id="_x0000_t202" coordsize="21600,21600" o:spt="202" path="m,l,21600r21600,l21600,xe">
            <v:stroke joinstyle="miter"/>
            <v:path gradientshapeok="t" o:connecttype="rect"/>
          </v:shapetype>
          <v:shape id="Quadre de text 1" o:spid="_x0000_s1029" type="#_x0000_t202" style="position:absolute;left:0;text-align:left;margin-left:232.2pt;margin-top:16.85pt;width:234pt;height:39.35pt;z-index:251667456;visibility:visible;mso-wrap-style:square;mso-width-percent:0;mso-wrap-distance-left:9pt;mso-wrap-distance-top:0;mso-wrap-distance-right:9pt;mso-wrap-distance-bottom:0;mso-position-horizontal-relative:text;mso-position-vertical-relative:text;mso-width-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" stroked="f">
            <v:textbox style="mso-next-textbox:#Quadre de text 1" inset="0,0,0,0">
              <w:txbxContent>
                <w:p w:rsidR="003C42C9" w:rsidRPr="00E12A8A" w:rsidRDefault="003C42C9" w:rsidP="00A41348">
                  <w:pPr>
                    <w:pStyle w:val="Llegenda"/>
                  </w:pPr>
                  <w:bookmarkStart w:id="658" w:name="_Toc465293866"/>
                  <w:r>
                    <w:t xml:space="preserve">Gràfic </w:t>
                  </w:r>
                  <w:r w:rsidR="00DB496B">
                    <w:fldChar w:fldCharType="begin"/>
                  </w:r>
                  <w:r w:rsidR="00DB496B">
                    <w:instrText xml:space="preserve"> SEQ Il·lustració \* ARABIC </w:instrText>
                  </w:r>
                  <w:r w:rsidR="00DB496B">
                    <w:fldChar w:fldCharType="separate"/>
                  </w:r>
                  <w:r>
                    <w:rPr>
                      <w:noProof/>
                    </w:rPr>
                    <w:t>59</w:t>
                  </w:r>
                  <w:r w:rsidR="00DB496B">
                    <w:rPr>
                      <w:noProof/>
                    </w:rPr>
                    <w:fldChar w:fldCharType="end"/>
                  </w:r>
                  <w:r>
                    <w:t xml:space="preserve">. </w:t>
                  </w:r>
                  <w:r w:rsidRPr="008B218B">
                    <w:t>Dedicar recursos a la rehabilitació i la reinserció dels penats és la forma més eficaç d</w:t>
                  </w:r>
                  <w:r>
                    <w:t>e reduir la reincidència (2012)</w:t>
                  </w:r>
                  <w:bookmarkEnd w:id="658"/>
                </w:p>
              </w:txbxContent>
            </v:textbox>
            <w10:wrap type="square"/>
          </v:shape>
        </w:pict>
      </w:r>
    </w:p>
    <w:p w:rsidR="00F33156" w:rsidRPr="003011C5" w:rsidRDefault="00F33156" w:rsidP="00A41348"/>
    <w:p w:rsidR="00F33156" w:rsidRPr="003011C5" w:rsidRDefault="00F33156" w:rsidP="00A41348"/>
    <w:p w:rsidR="00F33156" w:rsidRPr="003011C5" w:rsidRDefault="00F33156" w:rsidP="00A41348">
      <w:pPr>
        <w:keepNext/>
        <w:keepLines/>
        <w:spacing w:before="200" w:after="0"/>
        <w:rPr>
          <w:rFonts w:eastAsiaTheme="majorEastAsia" w:cstheme="majorBidi"/>
          <w:bCs/>
          <w:i/>
        </w:rPr>
      </w:pPr>
      <w:r w:rsidRPr="003011C5">
        <w:rPr>
          <w:rFonts w:eastAsiaTheme="majorEastAsia" w:cstheme="majorBidi"/>
          <w:bCs/>
          <w:i/>
        </w:rPr>
        <w:t>Sobre el coneixement, l’aplicació i l’efectivitat de les mesures penals alternatives</w:t>
      </w:r>
    </w:p>
    <w:p w:rsidR="00F33156" w:rsidRPr="003011C5" w:rsidRDefault="00F33156" w:rsidP="00A41348">
      <w:r w:rsidRPr="003011C5">
        <w:t>L’any 2011 aproximadament el 75</w:t>
      </w:r>
      <w:r>
        <w:t xml:space="preserve"> </w:t>
      </w:r>
      <w:r w:rsidRPr="003011C5">
        <w:t>% dels enquestats es declara coneixedor de les mesures penals alternatives.</w:t>
      </w:r>
    </w:p>
    <w:p w:rsidR="00F33156" w:rsidRPr="003011C5" w:rsidRDefault="00F33156" w:rsidP="00A41348">
      <w:r w:rsidRPr="003011C5">
        <w:t xml:space="preserve">Els resultats de les enquestes dels anys 2008, 2011 i 2015 mostren que la majoria de la població està d’acord </w:t>
      </w:r>
      <w:r>
        <w:t xml:space="preserve">amb el fet </w:t>
      </w:r>
      <w:r w:rsidRPr="003011C5">
        <w:t xml:space="preserve">que la manera més adient per reparar el dany causat per un delinqüent </w:t>
      </w:r>
      <w:r>
        <w:rPr>
          <w:rFonts w:cs="Arial"/>
        </w:rPr>
        <w:t>«</w:t>
      </w:r>
      <w:r w:rsidRPr="003011C5">
        <w:t>primari</w:t>
      </w:r>
      <w:r>
        <w:rPr>
          <w:rFonts w:cs="Arial"/>
        </w:rPr>
        <w:t>»</w:t>
      </w:r>
      <w:r w:rsidRPr="003011C5">
        <w:t xml:space="preserve"> en cas de delicte menor sigui una mesura penal alternativa (</w:t>
      </w:r>
      <w:r w:rsidR="00752E4C">
        <w:t>gràfics 60 i 61</w:t>
      </w:r>
      <w:r w:rsidRPr="003011C5">
        <w:t>).</w:t>
      </w:r>
    </w:p>
    <w:p w:rsidR="00BB551F" w:rsidRDefault="00F33156" w:rsidP="00BB551F">
      <w:pPr>
        <w:keepNext/>
        <w:jc w:val="center"/>
      </w:pPr>
      <w:r w:rsidRPr="003011C5">
        <w:rPr>
          <w:noProof/>
          <w:lang w:eastAsia="ca-ES"/>
        </w:rPr>
        <w:drawing>
          <wp:inline distT="0" distB="0" distL="0" distR="0" wp14:anchorId="25BF5AC0" wp14:editId="390937D0">
            <wp:extent cx="3395553" cy="1663200"/>
            <wp:effectExtent l="0" t="0" r="0" b="0"/>
            <wp:docPr id="44" name="Imat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3395553" cy="1663200"/>
                    </a:xfrm>
                    <a:prstGeom prst="rect">
                      <a:avLst/>
                    </a:prstGeom>
                    <a:noFill/>
                    <a:ln>
                      <a:noFill/>
                    </a:ln>
                  </pic:spPr>
                </pic:pic>
              </a:graphicData>
            </a:graphic>
          </wp:inline>
        </w:drawing>
      </w:r>
    </w:p>
    <w:p w:rsidR="00F33156" w:rsidRPr="003011C5" w:rsidRDefault="009A1F67" w:rsidP="00BB551F">
      <w:pPr>
        <w:pStyle w:val="Llegenda"/>
        <w:jc w:val="center"/>
      </w:pPr>
      <w:bookmarkStart w:id="659" w:name="_Toc465293867"/>
      <w:r>
        <w:t>Gràfic</w:t>
      </w:r>
      <w:r w:rsidR="00BB551F">
        <w:t xml:space="preserve"> </w:t>
      </w:r>
      <w:r w:rsidR="00DB496B">
        <w:fldChar w:fldCharType="begin"/>
      </w:r>
      <w:r w:rsidR="00DB496B">
        <w:instrText xml:space="preserve"> SEQ Il·lustració \* ARABIC </w:instrText>
      </w:r>
      <w:r w:rsidR="00DB496B">
        <w:fldChar w:fldCharType="separate"/>
      </w:r>
      <w:r w:rsidR="00C952DF">
        <w:rPr>
          <w:noProof/>
        </w:rPr>
        <w:t>60</w:t>
      </w:r>
      <w:r w:rsidR="00DB496B">
        <w:rPr>
          <w:noProof/>
        </w:rPr>
        <w:fldChar w:fldCharType="end"/>
      </w:r>
      <w:r w:rsidR="00BB551F">
        <w:t xml:space="preserve">. </w:t>
      </w:r>
      <w:r w:rsidR="00BB551F" w:rsidRPr="00991FC0">
        <w:t>Si un ciutadà ha comès un delicte menor per primera vegada, considera que una mesura alternativa a la presó, com els treballs en benefici de la comunitat, és més eficaç per reparar el dany causat? (2008)</w:t>
      </w:r>
      <w:bookmarkEnd w:id="659"/>
    </w:p>
    <w:p w:rsidR="00F33156" w:rsidRPr="003011C5" w:rsidRDefault="00F33156" w:rsidP="00A41348"/>
    <w:p w:rsidR="00BB551F" w:rsidRDefault="00F33156" w:rsidP="00BB551F">
      <w:pPr>
        <w:keepNext/>
        <w:jc w:val="center"/>
      </w:pPr>
      <w:r w:rsidRPr="003011C5">
        <w:rPr>
          <w:noProof/>
          <w:lang w:eastAsia="ca-ES"/>
        </w:rPr>
        <w:lastRenderedPageBreak/>
        <w:drawing>
          <wp:inline distT="0" distB="0" distL="0" distR="0" wp14:anchorId="63157325" wp14:editId="48EF363F">
            <wp:extent cx="3448050" cy="2131318"/>
            <wp:effectExtent l="0" t="0" r="0" b="2540"/>
            <wp:docPr id="45" name="Imat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3452974" cy="2134362"/>
                    </a:xfrm>
                    <a:prstGeom prst="rect">
                      <a:avLst/>
                    </a:prstGeom>
                    <a:noFill/>
                    <a:ln>
                      <a:noFill/>
                    </a:ln>
                  </pic:spPr>
                </pic:pic>
              </a:graphicData>
            </a:graphic>
          </wp:inline>
        </w:drawing>
      </w:r>
    </w:p>
    <w:p w:rsidR="00BB551F" w:rsidRDefault="009A1F67" w:rsidP="00BB551F">
      <w:pPr>
        <w:pStyle w:val="Llegenda"/>
      </w:pPr>
      <w:bookmarkStart w:id="660" w:name="_Toc465293868"/>
      <w:r>
        <w:t>Gràfic</w:t>
      </w:r>
      <w:r w:rsidR="00BB551F">
        <w:t xml:space="preserve"> </w:t>
      </w:r>
      <w:r w:rsidR="00DB496B">
        <w:fldChar w:fldCharType="begin"/>
      </w:r>
      <w:r w:rsidR="00DB496B">
        <w:instrText xml:space="preserve"> SEQ Il·lustració \* ARABIC </w:instrText>
      </w:r>
      <w:r w:rsidR="00DB496B">
        <w:fldChar w:fldCharType="separate"/>
      </w:r>
      <w:r w:rsidR="00C952DF">
        <w:rPr>
          <w:noProof/>
        </w:rPr>
        <w:t>61</w:t>
      </w:r>
      <w:r w:rsidR="00DB496B">
        <w:rPr>
          <w:noProof/>
        </w:rPr>
        <w:fldChar w:fldCharType="end"/>
      </w:r>
      <w:r w:rsidR="00BB551F">
        <w:t xml:space="preserve">. </w:t>
      </w:r>
      <w:r w:rsidR="00BB551F" w:rsidRPr="00CB77D9">
        <w:t>Per a aquelles persones que han comès delictes poc greus, li sembla bé que s'apliquin mesures penals alternatives  a l'ingrés a la presó, com ara els treballs socials en benefici de la comunitat? (2011)</w:t>
      </w:r>
      <w:bookmarkEnd w:id="660"/>
    </w:p>
    <w:p w:rsidR="00BB551F" w:rsidRPr="00BB551F" w:rsidRDefault="00BB551F" w:rsidP="00BB551F"/>
    <w:p w:rsidR="00BB551F" w:rsidRDefault="00F33156" w:rsidP="00BB551F">
      <w:pPr>
        <w:keepNext/>
        <w:jc w:val="center"/>
      </w:pPr>
      <w:r w:rsidRPr="003011C5">
        <w:rPr>
          <w:noProof/>
          <w:lang w:eastAsia="ca-ES"/>
        </w:rPr>
        <w:drawing>
          <wp:inline distT="0" distB="0" distL="0" distR="0" wp14:anchorId="0793B6B5" wp14:editId="48D4E863">
            <wp:extent cx="3781425" cy="2338975"/>
            <wp:effectExtent l="0" t="0" r="0" b="4445"/>
            <wp:docPr id="46" name="Imat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3784506" cy="2340881"/>
                    </a:xfrm>
                    <a:prstGeom prst="rect">
                      <a:avLst/>
                    </a:prstGeom>
                    <a:noFill/>
                    <a:ln>
                      <a:noFill/>
                    </a:ln>
                  </pic:spPr>
                </pic:pic>
              </a:graphicData>
            </a:graphic>
          </wp:inline>
        </w:drawing>
      </w:r>
    </w:p>
    <w:p w:rsidR="00F33156" w:rsidRPr="003011C5" w:rsidRDefault="009A1F67" w:rsidP="00BB551F">
      <w:pPr>
        <w:pStyle w:val="Llegenda"/>
        <w:jc w:val="center"/>
      </w:pPr>
      <w:bookmarkStart w:id="661" w:name="_Toc465293869"/>
      <w:r>
        <w:t>Gràfic</w:t>
      </w:r>
      <w:r w:rsidR="00BB551F">
        <w:t xml:space="preserve"> </w:t>
      </w:r>
      <w:r w:rsidR="00DB496B">
        <w:fldChar w:fldCharType="begin"/>
      </w:r>
      <w:r w:rsidR="00DB496B">
        <w:instrText xml:space="preserve"> SEQ Il·lustració \* ARABIC </w:instrText>
      </w:r>
      <w:r w:rsidR="00DB496B">
        <w:fldChar w:fldCharType="separate"/>
      </w:r>
      <w:r w:rsidR="00C952DF">
        <w:rPr>
          <w:noProof/>
        </w:rPr>
        <w:t>62</w:t>
      </w:r>
      <w:r w:rsidR="00DB496B">
        <w:rPr>
          <w:noProof/>
        </w:rPr>
        <w:fldChar w:fldCharType="end"/>
      </w:r>
      <w:r w:rsidR="00BB551F">
        <w:t xml:space="preserve">. </w:t>
      </w:r>
      <w:r w:rsidR="00BB551F" w:rsidRPr="007E639E">
        <w:t>Quina pena li sembla millor que s'apliqui a les persones que han comès un delicte lleu? (2015)</w:t>
      </w:r>
      <w:bookmarkEnd w:id="661"/>
    </w:p>
    <w:p w:rsidR="00F33156" w:rsidRPr="003011C5" w:rsidRDefault="00F33156" w:rsidP="00A41348">
      <w:pPr>
        <w:tabs>
          <w:tab w:val="left" w:pos="225"/>
        </w:tabs>
        <w:rPr>
          <w:b/>
          <w:bCs/>
          <w:color w:val="4F81BD" w:themeColor="accent1"/>
          <w:sz w:val="18"/>
          <w:szCs w:val="18"/>
        </w:rPr>
      </w:pPr>
      <w:r w:rsidRPr="003011C5">
        <w:rPr>
          <w:b/>
          <w:bCs/>
          <w:color w:val="4F81BD" w:themeColor="accent1"/>
          <w:sz w:val="18"/>
          <w:szCs w:val="18"/>
        </w:rPr>
        <w:tab/>
      </w:r>
    </w:p>
    <w:p w:rsidR="00F33156" w:rsidRPr="003011C5" w:rsidRDefault="00F33156" w:rsidP="00A41348">
      <w:r w:rsidRPr="003011C5">
        <w:t xml:space="preserve">Els anys 2010 i 2014 els enquestats estaven d’acord que les condemnes a treballs socials són la millor manera de combinar el compliment de les sentències, de potenciar la reinserció social i d'optimitzar els recursos de l'Administració </w:t>
      </w:r>
      <w:r>
        <w:t>p</w:t>
      </w:r>
      <w:r w:rsidRPr="003011C5">
        <w:t>ública.</w:t>
      </w:r>
    </w:p>
    <w:p w:rsidR="00F33156" w:rsidRPr="003011C5" w:rsidRDefault="00F33156" w:rsidP="00A41348">
      <w:r w:rsidRPr="003011C5">
        <w:t>L’any 2011, per a delictes relacionats amb el trànsit, la majoria dels enquestats creu que els treballs en benefici de la comunitat ajudarien a reduir aquest tipus de delictes.</w:t>
      </w:r>
    </w:p>
    <w:p w:rsidR="00F33156" w:rsidRPr="003011C5" w:rsidRDefault="00F33156" w:rsidP="00A41348"/>
    <w:p w:rsidR="00F33156" w:rsidRPr="003011C5" w:rsidRDefault="00F33156" w:rsidP="0070401F">
      <w:pPr>
        <w:pStyle w:val="Ttol4"/>
      </w:pPr>
      <w:r w:rsidRPr="003011C5">
        <w:t xml:space="preserve">Avaluació </w:t>
      </w:r>
      <w:r w:rsidRPr="00F33156">
        <w:t>ciutadana</w:t>
      </w:r>
      <w:r w:rsidRPr="003011C5">
        <w:t xml:space="preserve"> de les polítiques d’execució penal</w:t>
      </w:r>
    </w:p>
    <w:p w:rsidR="00F33156" w:rsidRPr="003011C5" w:rsidRDefault="00F33156" w:rsidP="00A41348">
      <w:r w:rsidRPr="003011C5">
        <w:t xml:space="preserve">Per tal d’avaluar l’efectivitat de les polítiques d’execució penal, en primer terme cal saber quins objectius assigna </w:t>
      </w:r>
      <w:r>
        <w:t>e</w:t>
      </w:r>
      <w:r w:rsidRPr="003011C5">
        <w:t xml:space="preserve">l </w:t>
      </w:r>
      <w:r>
        <w:t>ci</w:t>
      </w:r>
      <w:r w:rsidRPr="003011C5">
        <w:t>utad</w:t>
      </w:r>
      <w:r>
        <w:t>à</w:t>
      </w:r>
      <w:r w:rsidRPr="003011C5">
        <w:t xml:space="preserve"> a aquests serveis i, posteriorment, analitzar si creu que realment s’assoleixen els objectius, si </w:t>
      </w:r>
      <w:r>
        <w:t xml:space="preserve">troba que </w:t>
      </w:r>
      <w:r w:rsidRPr="003011C5">
        <w:t>les mesures són efectives.</w:t>
      </w:r>
    </w:p>
    <w:p w:rsidR="00F33156" w:rsidRPr="003011C5" w:rsidRDefault="00F33156" w:rsidP="00A41348">
      <w:r w:rsidRPr="003011C5">
        <w:t>Quant als objectius, s’ha preguntat sobre els objectius del sistema en g</w:t>
      </w:r>
      <w:r>
        <w:t>enera</w:t>
      </w:r>
      <w:r w:rsidRPr="003011C5">
        <w:t xml:space="preserve">l, el paper dels permisos com a instrument d’integració, la presó permanent revisable, els programes de </w:t>
      </w:r>
      <w:r w:rsidRPr="003011C5">
        <w:lastRenderedPageBreak/>
        <w:t>suport post</w:t>
      </w:r>
      <w:r w:rsidR="00490403">
        <w:t>-</w:t>
      </w:r>
      <w:r w:rsidRPr="003011C5">
        <w:t>sortida, l’aju</w:t>
      </w:r>
      <w:r>
        <w:t>da</w:t>
      </w:r>
      <w:r w:rsidRPr="003011C5">
        <w:t xml:space="preserve"> a les famílies dels interns i les mesures penals alternatives. Pel que fa a l’efectivitat de l’execució penal</w:t>
      </w:r>
      <w:r>
        <w:t>,</w:t>
      </w:r>
      <w:r w:rsidRPr="003011C5">
        <w:t xml:space="preserve"> s’ha tractat tant del conjunt del sistema penitenciari, com de l’internament en concret, la rehabilitació, les mesures penals alternatives i les infraestructures.</w:t>
      </w:r>
    </w:p>
    <w:p w:rsidR="00F33156" w:rsidRPr="003011C5" w:rsidRDefault="00F33156" w:rsidP="00F33156">
      <w:pPr>
        <w:pStyle w:val="Ttol5"/>
      </w:pPr>
      <w:bookmarkStart w:id="662" w:name="_Toc462910644"/>
      <w:r w:rsidRPr="003011C5">
        <w:t>Sobre la política de permisos</w:t>
      </w:r>
      <w:bookmarkEnd w:id="662"/>
    </w:p>
    <w:p w:rsidR="00F33156" w:rsidRPr="003011C5" w:rsidRDefault="00F33156" w:rsidP="00A41348">
      <w:r w:rsidRPr="003011C5">
        <w:t xml:space="preserve">Els resultats de l’enquesta de l’any 2008 mostren que </w:t>
      </w:r>
      <w:r>
        <w:t>el</w:t>
      </w:r>
      <w:r w:rsidRPr="003011C5">
        <w:t xml:space="preserve"> ciutad</w:t>
      </w:r>
      <w:r>
        <w:t>à</w:t>
      </w:r>
      <w:r w:rsidRPr="003011C5">
        <w:t xml:space="preserve"> creu que caldri</w:t>
      </w:r>
      <w:r>
        <w:t>en</w:t>
      </w:r>
      <w:r w:rsidRPr="003011C5">
        <w:t xml:space="preserve"> més sistemes de control i seguiment dels interns de permís. També mostren que no hi ha una opinió clarament definida sobre si cal continuar donant permisos abans del compliment total de la condemna.</w:t>
      </w:r>
      <w:r w:rsidRPr="003011C5">
        <w:rPr>
          <w:noProof/>
          <w:lang w:eastAsia="ca-ES"/>
        </w:rPr>
        <w:t xml:space="preserve"> </w:t>
      </w:r>
    </w:p>
    <w:p w:rsidR="00F33156" w:rsidRPr="00483C88" w:rsidRDefault="00F33156" w:rsidP="00A41348">
      <w:pPr>
        <w:keepNext/>
        <w:keepLines/>
        <w:spacing w:before="200" w:after="0"/>
        <w:rPr>
          <w:rFonts w:eastAsiaTheme="majorEastAsia" w:cstheme="majorBidi"/>
          <w:bCs/>
          <w:i/>
        </w:rPr>
      </w:pPr>
      <w:bookmarkStart w:id="663" w:name="_Toc462910645"/>
      <w:r w:rsidRPr="00483C88">
        <w:rPr>
          <w:rFonts w:eastAsiaTheme="majorEastAsia" w:cstheme="majorBidi"/>
          <w:bCs/>
          <w:i/>
        </w:rPr>
        <w:t>Sobre els nivells d’ocupació dels centres penitenciaris, i la millora de les infraestructures penitenciaries</w:t>
      </w:r>
      <w:bookmarkEnd w:id="663"/>
    </w:p>
    <w:p w:rsidR="00F33156" w:rsidRPr="003011C5" w:rsidRDefault="00F33156" w:rsidP="00A41348">
      <w:pPr>
        <w:keepNext/>
        <w:keepLines/>
        <w:spacing w:before="200" w:after="0"/>
        <w:rPr>
          <w:rFonts w:eastAsiaTheme="majorEastAsia" w:cstheme="majorBidi"/>
          <w:bCs/>
        </w:rPr>
      </w:pPr>
      <w:r w:rsidRPr="003011C5">
        <w:t>Segons l’enquesta realitzada l’any 2008, el 86</w:t>
      </w:r>
      <w:r>
        <w:t xml:space="preserve"> </w:t>
      </w:r>
      <w:r w:rsidRPr="003011C5">
        <w:t>% de la població opina que l’ocupació als centres penitenciaris ha de ser menys massificada. Malgrat això</w:t>
      </w:r>
      <w:r>
        <w:t>,</w:t>
      </w:r>
      <w:r w:rsidRPr="003011C5">
        <w:t xml:space="preserve"> amb les dades de l’any 2012</w:t>
      </w:r>
      <w:r>
        <w:t>,</w:t>
      </w:r>
      <w:r w:rsidRPr="003011C5">
        <w:t xml:space="preserve"> la majoria dels enquestats </w:t>
      </w:r>
      <w:r>
        <w:rPr>
          <w:rFonts w:cs="Arial"/>
        </w:rPr>
        <w:t>–</w:t>
      </w:r>
      <w:r w:rsidRPr="003011C5">
        <w:t>aproximadament el 70</w:t>
      </w:r>
      <w:r>
        <w:t xml:space="preserve"> </w:t>
      </w:r>
      <w:r w:rsidRPr="003011C5">
        <w:t>%</w:t>
      </w:r>
      <w:r>
        <w:rPr>
          <w:rFonts w:cs="Arial"/>
        </w:rPr>
        <w:t>–</w:t>
      </w:r>
      <w:r w:rsidRPr="003011C5">
        <w:t>, no estan preocupats o no tenen prou informació sobre la qualitat de vida als centres penitenciaris</w:t>
      </w:r>
      <w:r w:rsidRPr="003011C5">
        <w:rPr>
          <w:rFonts w:eastAsiaTheme="majorEastAsia" w:cstheme="majorBidi"/>
          <w:bCs/>
        </w:rPr>
        <w:t>.</w:t>
      </w:r>
    </w:p>
    <w:p w:rsidR="00F33156" w:rsidRPr="003011C5" w:rsidRDefault="00F33156" w:rsidP="00A41348">
      <w:r w:rsidRPr="003011C5">
        <w:rPr>
          <w:noProof/>
          <w:lang w:eastAsia="ca-ES"/>
        </w:rPr>
        <w:drawing>
          <wp:anchor distT="0" distB="0" distL="114300" distR="114300" simplePos="0" relativeHeight="251659264" behindDoc="0" locked="0" layoutInCell="1" allowOverlap="1" wp14:anchorId="1709456E" wp14:editId="59B951E5">
            <wp:simplePos x="0" y="0"/>
            <wp:positionH relativeFrom="column">
              <wp:posOffset>3620770</wp:posOffset>
            </wp:positionH>
            <wp:positionV relativeFrom="paragraph">
              <wp:posOffset>73660</wp:posOffset>
            </wp:positionV>
            <wp:extent cx="2315210" cy="1664970"/>
            <wp:effectExtent l="0" t="0" r="0" b="0"/>
            <wp:wrapSquare wrapText="bothSides"/>
            <wp:docPr id="47" name="Imat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315210" cy="1664970"/>
                    </a:xfrm>
                    <a:prstGeom prst="rect">
                      <a:avLst/>
                    </a:prstGeom>
                    <a:noFill/>
                    <a:ln>
                      <a:noFill/>
                    </a:ln>
                  </pic:spPr>
                </pic:pic>
              </a:graphicData>
            </a:graphic>
          </wp:anchor>
        </w:drawing>
      </w:r>
    </w:p>
    <w:p w:rsidR="00F33156" w:rsidRPr="003011C5" w:rsidRDefault="00F33156" w:rsidP="00A41348">
      <w:r w:rsidRPr="003011C5">
        <w:t>L’any 2014 l’enquesta mostra que la major part del</w:t>
      </w:r>
      <w:r>
        <w:t>s</w:t>
      </w:r>
      <w:r w:rsidRPr="003011C5">
        <w:t xml:space="preserve"> ciutadan</w:t>
      </w:r>
      <w:r>
        <w:t>s</w:t>
      </w:r>
      <w:r w:rsidRPr="003011C5">
        <w:t xml:space="preserve"> desconeix les actuacions de renovació i transformació dels centres penitenciaris (</w:t>
      </w:r>
      <w:r w:rsidRPr="003011C5">
        <w:fldChar w:fldCharType="begin"/>
      </w:r>
      <w:r w:rsidRPr="003011C5">
        <w:instrText xml:space="preserve"> REF _Ref462906478 \h </w:instrText>
      </w:r>
      <w:r w:rsidRPr="003011C5">
        <w:fldChar w:fldCharType="separate"/>
      </w:r>
      <w:r w:rsidR="009A1F67">
        <w:t>Gràfic</w:t>
      </w:r>
      <w:r w:rsidR="00CC16AE">
        <w:t xml:space="preserve"> </w:t>
      </w:r>
      <w:r w:rsidR="00CC16AE">
        <w:rPr>
          <w:noProof/>
        </w:rPr>
        <w:t>63</w:t>
      </w:r>
      <w:r w:rsidRPr="003011C5">
        <w:fldChar w:fldCharType="end"/>
      </w:r>
      <w:r w:rsidRPr="003011C5">
        <w:t>).</w:t>
      </w:r>
    </w:p>
    <w:p w:rsidR="00F33156" w:rsidRDefault="00DB496B" w:rsidP="00A41348">
      <w:pPr>
        <w:rPr>
          <w:rFonts w:eastAsiaTheme="majorEastAsia" w:cstheme="majorBidi"/>
          <w:bCs/>
          <w:i/>
        </w:rPr>
      </w:pPr>
      <w:bookmarkStart w:id="664" w:name="_Toc462910646"/>
      <w:r>
        <w:pict>
          <v:shape id="Quadre de text 4" o:spid="_x0000_s1026" type="#_x0000_t202" style="position:absolute;left:0;text-align:left;margin-left:-3.3pt;margin-top:17.6pt;width:273.75pt;height:42pt;z-index:251660288;visibility:visible;mso-wrap-distance-left:9pt;mso-wrap-distance-top:0;mso-wrap-distance-right:9pt;mso-wrap-distance-bottom:0;mso-position-horizontal-relative:text;mso-position-vertical-relative:text;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" stroked="f">
            <v:textbox style="mso-next-textbox:#Quadre de text 4" inset="0,0,0,0">
              <w:txbxContent>
                <w:p w:rsidR="003C42C9" w:rsidRPr="007113A1" w:rsidRDefault="003C42C9" w:rsidP="00A41348">
                  <w:pPr>
                    <w:pStyle w:val="Llegenda"/>
                  </w:pPr>
                  <w:bookmarkStart w:id="665" w:name="_Ref462906478"/>
                  <w:bookmarkStart w:id="666" w:name="_Toc465293870"/>
                  <w:r>
                    <w:t xml:space="preserve">Gràfic </w:t>
                  </w:r>
                  <w:r w:rsidR="00DB496B">
                    <w:fldChar w:fldCharType="begin"/>
                  </w:r>
                  <w:r w:rsidR="00DB496B">
                    <w:instrText xml:space="preserve"> SEQ Il·lustració \* ARABIC </w:instrText>
                  </w:r>
                  <w:r w:rsidR="00DB496B">
                    <w:fldChar w:fldCharType="separate"/>
                  </w:r>
                  <w:r>
                    <w:rPr>
                      <w:noProof/>
                    </w:rPr>
                    <w:t>63</w:t>
                  </w:r>
                  <w:r w:rsidR="00DB496B">
                    <w:rPr>
                      <w:noProof/>
                    </w:rPr>
                    <w:fldChar w:fldCharType="end"/>
                  </w:r>
                  <w:bookmarkEnd w:id="665"/>
                  <w:r>
                    <w:t xml:space="preserve">. </w:t>
                  </w:r>
                  <w:r w:rsidRPr="00DE7A38">
                    <w:t>Té coneixement de les actuacions de renovació i transformació dels equipaments penitenciaris que està realitzant el Govern de Catalunya? (2014)</w:t>
                  </w:r>
                  <w:bookmarkEnd w:id="666"/>
                </w:p>
                <w:p w:rsidR="003C42C9" w:rsidRDefault="003C42C9" w:rsidP="00A41348"/>
              </w:txbxContent>
            </v:textbox>
            <w10:wrap type="square"/>
          </v:shape>
        </w:pict>
      </w:r>
    </w:p>
    <w:p w:rsidR="00F33156" w:rsidRPr="003011C5" w:rsidRDefault="00F33156" w:rsidP="00F33156">
      <w:pPr>
        <w:pStyle w:val="Ttol5"/>
      </w:pPr>
      <w:r w:rsidRPr="003011C5">
        <w:t>Sobre la rehabilitació dels interns</w:t>
      </w:r>
      <w:bookmarkEnd w:id="664"/>
    </w:p>
    <w:p w:rsidR="00F33156" w:rsidRPr="003011C5" w:rsidRDefault="00F33156" w:rsidP="00A41348">
      <w:r w:rsidRPr="003011C5">
        <w:t>Els resultats de l’enquesta de l’any 2008 mostren com un 66</w:t>
      </w:r>
      <w:r>
        <w:t xml:space="preserve"> </w:t>
      </w:r>
      <w:r w:rsidRPr="003011C5">
        <w:t>% de la població no creu que la presó sigui l’únic element per rehabilitar els interns.</w:t>
      </w:r>
    </w:p>
    <w:p w:rsidR="00F33156" w:rsidRPr="003011C5" w:rsidRDefault="00F33156" w:rsidP="00A41348">
      <w:r w:rsidRPr="003011C5">
        <w:rPr>
          <w:noProof/>
          <w:lang w:eastAsia="ca-ES"/>
        </w:rPr>
        <w:drawing>
          <wp:anchor distT="0" distB="0" distL="114300" distR="114300" simplePos="0" relativeHeight="251661312" behindDoc="0" locked="0" layoutInCell="1" allowOverlap="1" wp14:anchorId="35879C3A" wp14:editId="2E813556">
            <wp:simplePos x="0" y="0"/>
            <wp:positionH relativeFrom="column">
              <wp:posOffset>2928620</wp:posOffset>
            </wp:positionH>
            <wp:positionV relativeFrom="paragraph">
              <wp:posOffset>29845</wp:posOffset>
            </wp:positionV>
            <wp:extent cx="3074670" cy="1663065"/>
            <wp:effectExtent l="0" t="0" r="0" b="0"/>
            <wp:wrapSquare wrapText="bothSides"/>
            <wp:docPr id="48" name="Imat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3074670" cy="1663065"/>
                    </a:xfrm>
                    <a:prstGeom prst="rect">
                      <a:avLst/>
                    </a:prstGeom>
                    <a:noFill/>
                    <a:ln>
                      <a:noFill/>
                    </a:ln>
                  </pic:spPr>
                </pic:pic>
              </a:graphicData>
            </a:graphic>
          </wp:anchor>
        </w:drawing>
      </w:r>
      <w:r w:rsidRPr="003011C5">
        <w:t>L’any 2008 els enquestats estan d’acord majoritàriament amb els programes postsortida dels interns (</w:t>
      </w:r>
      <w:r w:rsidRPr="003011C5">
        <w:fldChar w:fldCharType="begin"/>
      </w:r>
      <w:r w:rsidRPr="003011C5">
        <w:instrText xml:space="preserve"> REF _Ref462906532 \h </w:instrText>
      </w:r>
      <w:r w:rsidRPr="003011C5">
        <w:fldChar w:fldCharType="separate"/>
      </w:r>
      <w:r w:rsidR="009A1F67">
        <w:t>Gràfic</w:t>
      </w:r>
      <w:r w:rsidR="00CC16AE">
        <w:t xml:space="preserve"> </w:t>
      </w:r>
      <w:r w:rsidR="00CC16AE">
        <w:rPr>
          <w:noProof/>
        </w:rPr>
        <w:t>64</w:t>
      </w:r>
      <w:r w:rsidRPr="003011C5">
        <w:fldChar w:fldCharType="end"/>
      </w:r>
      <w:r w:rsidRPr="003011C5">
        <w:t>).</w:t>
      </w:r>
      <w:r>
        <w:t xml:space="preserve"> </w:t>
      </w:r>
      <w:r w:rsidRPr="003011C5">
        <w:t>A més a més, un 66,8</w:t>
      </w:r>
      <w:r>
        <w:t xml:space="preserve"> </w:t>
      </w:r>
      <w:r w:rsidRPr="003011C5">
        <w:t xml:space="preserve">% dels enquestats es mostren d’acord en l’ajut professional a les seves famílies. </w:t>
      </w:r>
    </w:p>
    <w:p w:rsidR="00F33156" w:rsidRPr="003011C5" w:rsidRDefault="00DB496B" w:rsidP="00A41348">
      <w:pPr>
        <w:rPr>
          <w:noProof/>
          <w:lang w:eastAsia="ca-ES"/>
        </w:rPr>
      </w:pPr>
      <w:r>
        <w:pict>
          <v:shape id="Quadre de text 7" o:spid="_x0000_s1027" type="#_x0000_t202" style="position:absolute;left:0;text-align:left;margin-left:230.7pt;margin-top:51.5pt;width:242.1pt;height:48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" stroked="f">
            <v:textbox style="mso-next-textbox:#Quadre de text 7" inset="0,0,0,0">
              <w:txbxContent>
                <w:p w:rsidR="003C42C9" w:rsidRPr="00894305" w:rsidRDefault="003C42C9" w:rsidP="00A41348">
                  <w:pPr>
                    <w:pStyle w:val="Llegenda"/>
                  </w:pPr>
                  <w:bookmarkStart w:id="667" w:name="_Ref462906532"/>
                  <w:bookmarkStart w:id="668" w:name="_Toc465293871"/>
                  <w:r>
                    <w:t xml:space="preserve">Gràfic </w:t>
                  </w:r>
                  <w:r w:rsidR="00DB496B">
                    <w:fldChar w:fldCharType="begin"/>
                  </w:r>
                  <w:r w:rsidR="00DB496B">
                    <w:instrText xml:space="preserve"> SEQ Il·lustració \* ARABIC </w:instrText>
                  </w:r>
                  <w:r w:rsidR="00DB496B">
                    <w:fldChar w:fldCharType="separate"/>
                  </w:r>
                  <w:r>
                    <w:rPr>
                      <w:noProof/>
                    </w:rPr>
                    <w:t>64</w:t>
                  </w:r>
                  <w:r w:rsidR="00DB496B">
                    <w:rPr>
                      <w:noProof/>
                    </w:rPr>
                    <w:fldChar w:fldCharType="end"/>
                  </w:r>
                  <w:bookmarkEnd w:id="667"/>
                  <w:r>
                    <w:t>.</w:t>
                  </w:r>
                  <w:r w:rsidRPr="00A4450C">
                    <w:t xml:space="preserve"> Cal donar continuïtat a la preparació per a la sortida dels presos amb programes de suport postsortida (2008)</w:t>
                  </w:r>
                  <w:bookmarkEnd w:id="668"/>
                </w:p>
              </w:txbxContent>
            </v:textbox>
            <w10:wrap type="square"/>
          </v:shape>
        </w:pict>
      </w:r>
      <w:r w:rsidR="00F33156" w:rsidRPr="003011C5">
        <w:t>Les respostes de l’enquesta de l’any 2012 mostren que aproximadament un 37,5</w:t>
      </w:r>
      <w:r w:rsidR="00F33156">
        <w:t xml:space="preserve"> </w:t>
      </w:r>
      <w:r w:rsidR="00F33156" w:rsidRPr="003011C5">
        <w:t>% dels enquestats mostren desconeixement del cost dels serveis d’execució penal</w:t>
      </w:r>
      <w:r w:rsidR="00F33156">
        <w:t>,</w:t>
      </w:r>
      <w:r w:rsidR="00F33156" w:rsidRPr="003011C5">
        <w:t xml:space="preserve"> </w:t>
      </w:r>
      <w:r w:rsidR="00F33156">
        <w:t>mentre</w:t>
      </w:r>
      <w:r w:rsidR="00F33156" w:rsidRPr="003011C5">
        <w:t xml:space="preserve"> </w:t>
      </w:r>
      <w:r w:rsidR="00F33156">
        <w:t xml:space="preserve">que </w:t>
      </w:r>
      <w:r w:rsidR="00F33156" w:rsidRPr="003011C5">
        <w:t>un 32,7 % declara que té poca informació per valorar l’eficàcia de les polítiques de rehabilitació del sistema penitenciari.</w:t>
      </w:r>
      <w:bookmarkStart w:id="669" w:name="_Toc462910647"/>
    </w:p>
    <w:p w:rsidR="00F33156" w:rsidRPr="003011C5" w:rsidRDefault="00F33156" w:rsidP="00A41348"/>
    <w:p w:rsidR="00F33156" w:rsidRPr="003011C5" w:rsidRDefault="00F33156" w:rsidP="00F33156">
      <w:pPr>
        <w:pStyle w:val="Ttol5"/>
      </w:pPr>
      <w:r w:rsidRPr="003011C5">
        <w:rPr>
          <w:noProof/>
          <w:lang w:eastAsia="ca-ES"/>
        </w:rPr>
        <w:lastRenderedPageBreak/>
        <w:drawing>
          <wp:anchor distT="0" distB="0" distL="114300" distR="114300" simplePos="0" relativeHeight="251663360" behindDoc="0" locked="0" layoutInCell="1" allowOverlap="1" wp14:anchorId="2DE7FD09" wp14:editId="37E2FF1D">
            <wp:simplePos x="0" y="0"/>
            <wp:positionH relativeFrom="column">
              <wp:posOffset>3097530</wp:posOffset>
            </wp:positionH>
            <wp:positionV relativeFrom="paragraph">
              <wp:posOffset>239395</wp:posOffset>
            </wp:positionV>
            <wp:extent cx="3119120" cy="1663065"/>
            <wp:effectExtent l="0" t="0" r="0" b="0"/>
            <wp:wrapSquare wrapText="bothSides"/>
            <wp:docPr id="49" name="Imat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3119120" cy="1663065"/>
                    </a:xfrm>
                    <a:prstGeom prst="rect">
                      <a:avLst/>
                    </a:prstGeom>
                    <a:noFill/>
                    <a:ln>
                      <a:noFill/>
                    </a:ln>
                  </pic:spPr>
                </pic:pic>
              </a:graphicData>
            </a:graphic>
          </wp:anchor>
        </w:drawing>
      </w:r>
      <w:r w:rsidRPr="003011C5">
        <w:t>Sobre les infraestructures penitenciàries</w:t>
      </w:r>
      <w:bookmarkEnd w:id="669"/>
    </w:p>
    <w:p w:rsidR="00F33156" w:rsidRPr="003011C5" w:rsidRDefault="00F33156" w:rsidP="00A41348">
      <w:r>
        <w:t>L</w:t>
      </w:r>
      <w:r w:rsidRPr="003011C5">
        <w:t>’any 2009 es mostra com la població creu que la modernització dels centres penitenciaris és positiva (</w:t>
      </w:r>
      <w:r w:rsidRPr="003011C5">
        <w:fldChar w:fldCharType="begin"/>
      </w:r>
      <w:r w:rsidRPr="003011C5">
        <w:instrText xml:space="preserve"> REF _Ref462906710 \h </w:instrText>
      </w:r>
      <w:r w:rsidRPr="003011C5">
        <w:fldChar w:fldCharType="separate"/>
      </w:r>
      <w:r w:rsidR="009A1F67">
        <w:t>Gràfic</w:t>
      </w:r>
      <w:r w:rsidR="00CC16AE">
        <w:t xml:space="preserve"> </w:t>
      </w:r>
      <w:r w:rsidR="00CC16AE">
        <w:rPr>
          <w:noProof/>
        </w:rPr>
        <w:t>65</w:t>
      </w:r>
      <w:r w:rsidRPr="003011C5">
        <w:fldChar w:fldCharType="end"/>
      </w:r>
      <w:r w:rsidRPr="003011C5">
        <w:t>).</w:t>
      </w:r>
    </w:p>
    <w:p w:rsidR="00F33156" w:rsidRPr="003011C5" w:rsidRDefault="00DB496B" w:rsidP="00A41348">
      <w:r>
        <w:pict>
          <v:shape id="Quadre de text 11" o:spid="_x0000_s1028" type="#_x0000_t202" style="position:absolute;left:0;text-align:left;margin-left:-4pt;margin-top:43.95pt;width:245.6pt;height:41.05pt;z-index:251664384;visibility:visible;mso-wrap-style:squar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" stroked="f">
            <v:textbox style="mso-next-textbox:#Quadre de text 11;mso-fit-shape-to-text:t" inset="0,0,0,0">
              <w:txbxContent>
                <w:p w:rsidR="003C42C9" w:rsidRPr="00727E02" w:rsidRDefault="003C42C9" w:rsidP="00A41348">
                  <w:pPr>
                    <w:pStyle w:val="Llegenda"/>
                  </w:pPr>
                  <w:bookmarkStart w:id="670" w:name="_Ref462906710"/>
                  <w:bookmarkStart w:id="671" w:name="_Toc465293872"/>
                  <w:r>
                    <w:t xml:space="preserve">Gràfic </w:t>
                  </w:r>
                  <w:r w:rsidR="00DB496B">
                    <w:fldChar w:fldCharType="begin"/>
                  </w:r>
                  <w:r w:rsidR="00DB496B">
                    <w:instrText xml:space="preserve"> SEQ Il·lustració \* ARABIC </w:instrText>
                  </w:r>
                  <w:r w:rsidR="00DB496B">
                    <w:fldChar w:fldCharType="separate"/>
                  </w:r>
                  <w:r>
                    <w:rPr>
                      <w:noProof/>
                    </w:rPr>
                    <w:t>65</w:t>
                  </w:r>
                  <w:r w:rsidR="00DB496B">
                    <w:rPr>
                      <w:noProof/>
                    </w:rPr>
                    <w:fldChar w:fldCharType="end"/>
                  </w:r>
                  <w:bookmarkEnd w:id="670"/>
                  <w:r>
                    <w:t xml:space="preserve">. </w:t>
                  </w:r>
                  <w:r w:rsidRPr="00A34B69">
                    <w:t>Creu positiva i convenient la modernització i renovació dels centres penitenciaris que s'està duent a terme a Catalunya? (2009)</w:t>
                  </w:r>
                  <w:bookmarkEnd w:id="671"/>
                </w:p>
              </w:txbxContent>
            </v:textbox>
            <w10:wrap type="square"/>
          </v:shape>
        </w:pict>
      </w:r>
      <w:r w:rsidR="00F33156" w:rsidRPr="003011C5">
        <w:t xml:space="preserve">L’any 2010 l’opinió publica està a favor </w:t>
      </w:r>
      <w:r w:rsidR="00F33156">
        <w:t>(</w:t>
      </w:r>
      <w:r w:rsidR="00F33156" w:rsidRPr="003011C5">
        <w:t>6,4 sobre 10</w:t>
      </w:r>
      <w:r w:rsidR="00F33156">
        <w:t>)</w:t>
      </w:r>
      <w:r w:rsidR="00F33156" w:rsidRPr="003011C5">
        <w:t xml:space="preserve"> </w:t>
      </w:r>
      <w:r w:rsidR="00F33156">
        <w:t>que hi hagi centres penitenciaris</w:t>
      </w:r>
      <w:r w:rsidR="00F33156" w:rsidRPr="003011C5">
        <w:t xml:space="preserve"> de dimensions reduïdes.</w:t>
      </w:r>
      <w:r w:rsidR="00F33156" w:rsidRPr="003011C5">
        <w:rPr>
          <w:noProof/>
          <w:lang w:eastAsia="ca-ES"/>
        </w:rPr>
        <w:t xml:space="preserve"> </w:t>
      </w:r>
    </w:p>
    <w:p w:rsidR="00F33156" w:rsidRPr="003011C5" w:rsidRDefault="00F33156" w:rsidP="00F33156">
      <w:pPr>
        <w:pStyle w:val="Ttol5"/>
      </w:pPr>
      <w:bookmarkStart w:id="672" w:name="_Toc462910648"/>
      <w:r w:rsidRPr="003011C5">
        <w:t>Sobre l’enduriment de les penes</w:t>
      </w:r>
      <w:bookmarkEnd w:id="672"/>
    </w:p>
    <w:p w:rsidR="00F33156" w:rsidRPr="003011C5" w:rsidRDefault="00F33156" w:rsidP="00A41348">
      <w:r w:rsidRPr="003011C5">
        <w:t>Tal com mostren els resultats dels anys 2010 i 2012, aproximadament el 70</w:t>
      </w:r>
      <w:r>
        <w:t xml:space="preserve"> </w:t>
      </w:r>
      <w:r w:rsidRPr="003011C5">
        <w:t>% dels enquestats estan a favor de l’enduriment de les penes per reduir la delinqüència.</w:t>
      </w:r>
    </w:p>
    <w:p w:rsidR="00F33156" w:rsidRPr="003011C5" w:rsidRDefault="00F33156" w:rsidP="00A41348">
      <w:r w:rsidRPr="003011C5">
        <w:t>L’any 2015 la majoria dels enquestats es mostraven favorables a la pena de presó permanent revisable (</w:t>
      </w:r>
      <w:r w:rsidRPr="008B3289">
        <w:fldChar w:fldCharType="begin"/>
      </w:r>
      <w:r w:rsidRPr="008B3289">
        <w:instrText xml:space="preserve"> REF _Ref462910713 \h  \* MERGEFORMAT </w:instrText>
      </w:r>
      <w:r w:rsidRPr="008B3289">
        <w:fldChar w:fldCharType="separate"/>
      </w:r>
      <w:r w:rsidR="009A1F67">
        <w:rPr>
          <w:bCs/>
        </w:rPr>
        <w:t>Gràfic</w:t>
      </w:r>
      <w:r w:rsidR="00CC16AE" w:rsidRPr="00CC16AE">
        <w:rPr>
          <w:bCs/>
        </w:rPr>
        <w:t xml:space="preserve"> </w:t>
      </w:r>
      <w:r w:rsidR="00CC16AE" w:rsidRPr="00CC16AE">
        <w:rPr>
          <w:bCs/>
          <w:noProof/>
        </w:rPr>
        <w:t>66</w:t>
      </w:r>
      <w:r w:rsidRPr="008B3289">
        <w:fldChar w:fldCharType="end"/>
      </w:r>
      <w:r w:rsidRPr="003011C5">
        <w:t>).</w:t>
      </w:r>
    </w:p>
    <w:p w:rsidR="00F33156" w:rsidRPr="003011C5" w:rsidRDefault="00F33156" w:rsidP="00A41348">
      <w:pPr>
        <w:keepNext/>
      </w:pPr>
      <w:r w:rsidRPr="003011C5">
        <w:rPr>
          <w:noProof/>
          <w:lang w:eastAsia="ca-ES"/>
        </w:rPr>
        <w:drawing>
          <wp:inline distT="0" distB="0" distL="0" distR="0" wp14:anchorId="1A61C1E5" wp14:editId="3358372C">
            <wp:extent cx="5760085" cy="1630001"/>
            <wp:effectExtent l="0" t="0" r="0" b="8890"/>
            <wp:docPr id="50" name="Imat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5760085" cy="1630001"/>
                    </a:xfrm>
                    <a:prstGeom prst="rect">
                      <a:avLst/>
                    </a:prstGeom>
                    <a:noFill/>
                    <a:ln>
                      <a:noFill/>
                    </a:ln>
                  </pic:spPr>
                </pic:pic>
              </a:graphicData>
            </a:graphic>
          </wp:inline>
        </w:drawing>
      </w:r>
    </w:p>
    <w:p w:rsidR="00F33156" w:rsidRPr="003011C5" w:rsidRDefault="009A1F67" w:rsidP="00BB551F">
      <w:pPr>
        <w:pStyle w:val="Llegenda"/>
      </w:pPr>
      <w:bookmarkStart w:id="673" w:name="_Ref462910713"/>
      <w:bookmarkStart w:id="674" w:name="_Toc465293873"/>
      <w:r>
        <w:t>Gràfic</w:t>
      </w:r>
      <w:r w:rsidR="00F33156" w:rsidRPr="003011C5">
        <w:t xml:space="preserve"> </w:t>
      </w:r>
      <w:r w:rsidR="00DB496B">
        <w:fldChar w:fldCharType="begin"/>
      </w:r>
      <w:r w:rsidR="00DB496B">
        <w:instrText xml:space="preserve"> SEQ Il·lustració \* ARABIC </w:instrText>
      </w:r>
      <w:r w:rsidR="00DB496B">
        <w:fldChar w:fldCharType="separate"/>
      </w:r>
      <w:r w:rsidR="00C952DF">
        <w:rPr>
          <w:noProof/>
        </w:rPr>
        <w:t>66</w:t>
      </w:r>
      <w:r w:rsidR="00DB496B">
        <w:rPr>
          <w:noProof/>
        </w:rPr>
        <w:fldChar w:fldCharType="end"/>
      </w:r>
      <w:bookmarkEnd w:id="673"/>
      <w:r w:rsidR="00F33156" w:rsidRPr="003011C5">
        <w:t>.</w:t>
      </w:r>
      <w:r w:rsidR="00F33156">
        <w:t xml:space="preserve"> </w:t>
      </w:r>
      <w:r w:rsidR="00F33156" w:rsidRPr="003011C5">
        <w:t>En quin grau d'acord o desacord està vostè en relació a</w:t>
      </w:r>
      <w:r w:rsidR="00F33156">
        <w:t>mb</w:t>
      </w:r>
      <w:r w:rsidR="00F33156" w:rsidRPr="003011C5">
        <w:t xml:space="preserve"> les següents afirmacions? (2015)</w:t>
      </w:r>
      <w:bookmarkEnd w:id="674"/>
    </w:p>
    <w:p w:rsidR="00F33156" w:rsidRDefault="00F33156" w:rsidP="00A41348">
      <w:pPr>
        <w:keepNext/>
        <w:keepLines/>
        <w:spacing w:before="200" w:after="0"/>
        <w:rPr>
          <w:rFonts w:eastAsiaTheme="majorEastAsia" w:cstheme="majorBidi"/>
          <w:bCs/>
          <w:i/>
        </w:rPr>
      </w:pPr>
      <w:bookmarkStart w:id="675" w:name="_Toc462910649"/>
    </w:p>
    <w:p w:rsidR="00F33156" w:rsidRPr="003011C5" w:rsidRDefault="00F33156" w:rsidP="00F33156">
      <w:pPr>
        <w:pStyle w:val="Ttol5"/>
      </w:pPr>
      <w:r w:rsidRPr="003011C5">
        <w:t>Sobre les polítiques de retorn de condemnats estrangers</w:t>
      </w:r>
      <w:bookmarkEnd w:id="675"/>
    </w:p>
    <w:p w:rsidR="00F33156" w:rsidRPr="003011C5" w:rsidRDefault="00F33156" w:rsidP="00A41348">
      <w:r w:rsidRPr="003011C5">
        <w:rPr>
          <w:noProof/>
          <w:lang w:eastAsia="ca-ES"/>
        </w:rPr>
        <w:drawing>
          <wp:anchor distT="0" distB="0" distL="114300" distR="114300" simplePos="0" relativeHeight="251665408" behindDoc="0" locked="0" layoutInCell="1" allowOverlap="1" wp14:anchorId="5A4969AD" wp14:editId="4D67F1C1">
            <wp:simplePos x="0" y="0"/>
            <wp:positionH relativeFrom="column">
              <wp:posOffset>3110865</wp:posOffset>
            </wp:positionH>
            <wp:positionV relativeFrom="paragraph">
              <wp:posOffset>134620</wp:posOffset>
            </wp:positionV>
            <wp:extent cx="2649220" cy="1663065"/>
            <wp:effectExtent l="0" t="0" r="0" b="0"/>
            <wp:wrapSquare wrapText="bothSides"/>
            <wp:docPr id="51" name="Imat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2649220" cy="1663065"/>
                    </a:xfrm>
                    <a:prstGeom prst="rect">
                      <a:avLst/>
                    </a:prstGeom>
                    <a:noFill/>
                    <a:ln>
                      <a:noFill/>
                    </a:ln>
                  </pic:spPr>
                </pic:pic>
              </a:graphicData>
            </a:graphic>
          </wp:anchor>
        </w:drawing>
      </w:r>
      <w:r w:rsidRPr="003011C5">
        <w:t xml:space="preserve">L’any 2012, la majoria dels enquestats estan d’acord que els estrangers en situació irregular i no comunitaris siguin retornats al seu país abans de finalitzar la condemna </w:t>
      </w:r>
      <w:r>
        <w:t>(</w:t>
      </w:r>
      <w:r w:rsidR="009A1F67">
        <w:t>Gràfic</w:t>
      </w:r>
      <w:r>
        <w:t xml:space="preserve"> 10).</w:t>
      </w:r>
    </w:p>
    <w:p w:rsidR="00F33156" w:rsidRPr="003011C5" w:rsidRDefault="009A1F67" w:rsidP="00A41348">
      <w:pPr>
        <w:pStyle w:val="Llegenda"/>
        <w:rPr>
          <w:noProof/>
        </w:rPr>
      </w:pPr>
      <w:bookmarkStart w:id="676" w:name="_Toc465293874"/>
      <w:r>
        <w:t>Gràfic</w:t>
      </w:r>
      <w:r w:rsidR="00F33156" w:rsidRPr="003011C5">
        <w:t xml:space="preserve"> </w:t>
      </w:r>
      <w:r w:rsidR="00DB496B">
        <w:fldChar w:fldCharType="begin"/>
      </w:r>
      <w:r w:rsidR="00DB496B">
        <w:instrText xml:space="preserve"> SEQ Il·lustració \* ARABIC </w:instrText>
      </w:r>
      <w:r w:rsidR="00DB496B">
        <w:fldChar w:fldCharType="separate"/>
      </w:r>
      <w:r w:rsidR="00C952DF">
        <w:rPr>
          <w:noProof/>
        </w:rPr>
        <w:t>67</w:t>
      </w:r>
      <w:r w:rsidR="00DB496B">
        <w:rPr>
          <w:noProof/>
        </w:rPr>
        <w:fldChar w:fldCharType="end"/>
      </w:r>
      <w:r w:rsidR="00F33156" w:rsidRPr="003011C5">
        <w:t>.</w:t>
      </w:r>
      <w:r w:rsidR="00F33156">
        <w:t xml:space="preserve"> </w:t>
      </w:r>
      <w:r w:rsidR="00F33156" w:rsidRPr="003011C5">
        <w:t>En quina mesura està d'acord qu</w:t>
      </w:r>
      <w:r w:rsidR="00F33156">
        <w:t>e</w:t>
      </w:r>
      <w:r w:rsidR="00F33156" w:rsidRPr="003011C5">
        <w:t xml:space="preserve"> les persones de nacionalitat estrangera no comunitària que es trobin </w:t>
      </w:r>
      <w:r w:rsidR="00F33156">
        <w:t>a</w:t>
      </w:r>
      <w:r w:rsidR="00F33156" w:rsidRPr="003011C5">
        <w:t>l nostre país en situació irregular i que hagin estat condemnades per la comissió d'un delicte haurien de poder ésser retornades al seu país abans de finalitzar la condemna (2012)</w:t>
      </w:r>
      <w:bookmarkEnd w:id="676"/>
    </w:p>
    <w:p w:rsidR="00F33156" w:rsidRDefault="00F33156" w:rsidP="00F33156">
      <w:pPr>
        <w:pStyle w:val="Ttol5"/>
      </w:pPr>
      <w:bookmarkStart w:id="677" w:name="_Toc462910650"/>
    </w:p>
    <w:p w:rsidR="00F33156" w:rsidRPr="003011C5" w:rsidRDefault="00F33156" w:rsidP="00F33156">
      <w:pPr>
        <w:pStyle w:val="Ttol5"/>
      </w:pPr>
      <w:r w:rsidRPr="003011C5">
        <w:t>Conclusions sobre la percepció</w:t>
      </w:r>
      <w:bookmarkEnd w:id="677"/>
    </w:p>
    <w:p w:rsidR="00F33156" w:rsidRPr="003011C5" w:rsidRDefault="00F33156" w:rsidP="00A41348">
      <w:r>
        <w:t>Hi ha</w:t>
      </w:r>
      <w:r w:rsidRPr="003011C5">
        <w:t xml:space="preserve"> riscos importants a l’hora de mesurar la percepció ciutadana</w:t>
      </w:r>
      <w:r>
        <w:t>.</w:t>
      </w:r>
      <w:r w:rsidRPr="003011C5">
        <w:t xml:space="preserve"> </w:t>
      </w:r>
      <w:r>
        <w:t>P</w:t>
      </w:r>
      <w:r w:rsidRPr="003011C5">
        <w:t>er tant cal prendre (tal</w:t>
      </w:r>
      <w:r>
        <w:t xml:space="preserve"> </w:t>
      </w:r>
      <w:r w:rsidRPr="003011C5">
        <w:t>com fa l’enquesta òmnibus) les mesures oportunes perqu</w:t>
      </w:r>
      <w:r>
        <w:t>è</w:t>
      </w:r>
      <w:r w:rsidRPr="003011C5">
        <w:t xml:space="preserve"> una circumstància puntual o una formulació poc acurada d’una pregunta no encaminin cap </w:t>
      </w:r>
      <w:r>
        <w:t xml:space="preserve">a </w:t>
      </w:r>
      <w:r w:rsidRPr="003011C5">
        <w:t>una interpretació errònia de les dades. És</w:t>
      </w:r>
      <w:r>
        <w:t>, doncs,</w:t>
      </w:r>
      <w:r w:rsidRPr="003011C5">
        <w:t xml:space="preserve"> imprescindible elaborar treballs amb mostres robustes i s</w:t>
      </w:r>
      <w:r>
        <w:t>è</w:t>
      </w:r>
      <w:r w:rsidRPr="003011C5">
        <w:t>ries de preguntes repetides al llarg del temps.</w:t>
      </w:r>
    </w:p>
    <w:p w:rsidR="00F33156" w:rsidRDefault="00F33156" w:rsidP="00A41348">
      <w:r w:rsidRPr="003011C5">
        <w:lastRenderedPageBreak/>
        <w:t>Es mostra l’evidència de manca d’informació en alguns aspectes destacats dels serveis</w:t>
      </w:r>
      <w:r>
        <w:t xml:space="preserve"> penitenciaris,</w:t>
      </w:r>
      <w:r w:rsidRPr="003011C5">
        <w:t xml:space="preserve"> com ara el cost o les condicions de vida dels interns. Malgrat aquest desconeixement, la població creu que existeix una densitat elevada als centres penitenciaris</w:t>
      </w:r>
      <w:r>
        <w:t xml:space="preserve"> i que</w:t>
      </w:r>
      <w:r w:rsidRPr="003011C5">
        <w:t xml:space="preserve"> caldria reduir</w:t>
      </w:r>
      <w:r>
        <w:t>-la.</w:t>
      </w:r>
    </w:p>
    <w:p w:rsidR="00D25C70" w:rsidRPr="003011C5" w:rsidRDefault="00D25C70" w:rsidP="00A41348">
      <w:r>
        <w:t>En general, les dades que s’obtenen a les enquestes semblen apuntar una visió més favorable de la que inicialment es pensa, la qual cosa fa pensar que la informació i un coneixement major sobre el sistema podria revertir en una opinió més favorable</w:t>
      </w:r>
      <w:r w:rsidR="00CC63C5">
        <w:t xml:space="preserve"> i positiva sobre la finalitat de la pena. És aquest canvi de percepció el que potenciaria reformes legals en línia amb els processos de reinserció.</w:t>
      </w:r>
    </w:p>
    <w:p w:rsidR="00256F3E" w:rsidRDefault="00256F3E" w:rsidP="00244AA3"/>
    <w:p w:rsidR="00507FE7" w:rsidRDefault="00507FE7">
      <w:pPr>
        <w:spacing w:before="0"/>
        <w:jc w:val="left"/>
      </w:pPr>
      <w:r>
        <w:br w:type="page"/>
      </w:r>
    </w:p>
    <w:p w:rsidR="00507FE7" w:rsidRDefault="00507FE7" w:rsidP="0070401F">
      <w:pPr>
        <w:pStyle w:val="Ttol1"/>
      </w:pPr>
      <w:bookmarkStart w:id="678" w:name="_Toc464685760"/>
      <w:bookmarkStart w:id="679" w:name="_Toc465293498"/>
      <w:r>
        <w:lastRenderedPageBreak/>
        <w:t>Despesa pública</w:t>
      </w:r>
      <w:bookmarkEnd w:id="678"/>
      <w:bookmarkEnd w:id="679"/>
    </w:p>
    <w:p w:rsidR="009D4C07" w:rsidRPr="00492C9E" w:rsidRDefault="009D4C07" w:rsidP="009D4C07">
      <w:pPr>
        <w:spacing w:before="240"/>
      </w:pPr>
      <w:r w:rsidRPr="00492C9E">
        <w:t>Amb el restabliment de la democràcia, la Generalitat de Catalunya</w:t>
      </w:r>
      <w:r w:rsidRPr="00492C9E">
        <w:rPr>
          <w:vertAlign w:val="superscript"/>
        </w:rPr>
        <w:footnoteReference w:id="17"/>
      </w:r>
      <w:r w:rsidRPr="00492C9E">
        <w:t xml:space="preserve"> disposava l’any 1980 d’un pressupost de 41,9 milions d’euros</w:t>
      </w:r>
      <w:r w:rsidRPr="00492C9E">
        <w:rPr>
          <w:vertAlign w:val="superscript"/>
        </w:rPr>
        <w:footnoteReference w:id="18"/>
      </w:r>
      <w:r w:rsidRPr="00492C9E">
        <w:t>. L’any 2016, amb el pressupost prorrogat, és de 33.738 milions d’euros, xifra que representa multiplicar per més de 800 el pressupost durant tot el període de 36 anys.</w:t>
      </w:r>
    </w:p>
    <w:p w:rsidR="009D4C07" w:rsidRPr="00492C9E" w:rsidRDefault="009D4C07" w:rsidP="009D4C07">
      <w:pPr>
        <w:spacing w:before="240"/>
      </w:pPr>
      <w:r w:rsidRPr="00492C9E">
        <w:t>En tot el període, només en una ocasió el pressupost ha estat inferior al de l’any anterior. L’any 2011 es van pressupostar 32.630 milions d’euros, i l’any següent aquesta quantitat es va reduir en aproximadament 2.900 milions (un 9 % menys). Des d’aleshores, cap pressupost s’ha aprovat amb un import inicial superior al de l’any 2011.</w:t>
      </w:r>
    </w:p>
    <w:p w:rsidR="00BB551F" w:rsidRDefault="009D4C07" w:rsidP="00BB551F">
      <w:pPr>
        <w:keepNext/>
        <w:spacing w:before="240"/>
        <w:jc w:val="center"/>
      </w:pPr>
      <w:r w:rsidRPr="00492C9E">
        <w:rPr>
          <w:noProof/>
          <w:lang w:eastAsia="ca-ES"/>
        </w:rPr>
        <w:drawing>
          <wp:inline distT="0" distB="0" distL="0" distR="0" wp14:anchorId="1D0B1209" wp14:editId="4CBF9698">
            <wp:extent cx="4849200" cy="3322800"/>
            <wp:effectExtent l="0" t="0" r="8890" b="0"/>
            <wp:docPr id="63" name="Imat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849200" cy="3322800"/>
                    </a:xfrm>
                    <a:prstGeom prst="rect">
                      <a:avLst/>
                    </a:prstGeom>
                    <a:noFill/>
                    <a:ln>
                      <a:noFill/>
                    </a:ln>
                  </pic:spPr>
                </pic:pic>
              </a:graphicData>
            </a:graphic>
          </wp:inline>
        </w:drawing>
      </w:r>
    </w:p>
    <w:p w:rsidR="009D4C07" w:rsidRPr="00492C9E" w:rsidRDefault="009D4C07" w:rsidP="009D4C07">
      <w:pPr>
        <w:spacing w:before="240"/>
      </w:pPr>
      <w:r w:rsidRPr="00492C9E">
        <w:t xml:space="preserve">L’any 1980, el Departament de Justícia tenia un pressupost inicial equivalent en euros a 0,1 milions d’euros, mentre que el pressupost prorrogat de 2016 supera els 864 milions d’euros. Aquest increment s’explica </w:t>
      </w:r>
      <w:r w:rsidRPr="00492C9E">
        <w:rPr>
          <w:rFonts w:cs="Arial"/>
        </w:rPr>
        <w:t>‒</w:t>
      </w:r>
      <w:r w:rsidRPr="00492C9E">
        <w:t>com ja s’ha indicat</w:t>
      </w:r>
      <w:r w:rsidRPr="00492C9E">
        <w:rPr>
          <w:rFonts w:cs="Arial"/>
        </w:rPr>
        <w:t>‒</w:t>
      </w:r>
      <w:r w:rsidRPr="00492C9E">
        <w:t xml:space="preserve"> per l’assumpció de noves competències i pel creixement progressiu del col·lectiu de treballadors que depenen del Departament.</w:t>
      </w:r>
    </w:p>
    <w:p w:rsidR="009D4C07" w:rsidRPr="00492C9E" w:rsidRDefault="009D4C07" w:rsidP="009D4C07">
      <w:pPr>
        <w:spacing w:before="240"/>
      </w:pPr>
      <w:r w:rsidRPr="00492C9E">
        <w:t>Tret de l’any 1984, el Departament ha anat incrementant el pressupost inicial de forma continuada fins a l’any 2010. Durant els anys 2002 i 2003, el pressupost quedava distorsionat per la fusió entre el Departament de Justícia i el Departament d’Interior. De l’any 2010 en endavant, en un context pressupostari molt restrictiu, es van produir reduccions del pressupost en els exercicis 2011, 2012 i 2014. En aquest darrer exercici, la reducció ve motivada per l’adscripció dels drets de superfície a serveis pressupostaris del Departament de la Vicepresidència i d’Economia i Hisenda.</w:t>
      </w:r>
    </w:p>
    <w:p w:rsidR="00BB551F" w:rsidRDefault="009D4C07" w:rsidP="00BB551F">
      <w:pPr>
        <w:keepNext/>
        <w:spacing w:before="240"/>
        <w:jc w:val="center"/>
      </w:pPr>
      <w:r w:rsidRPr="00492C9E">
        <w:rPr>
          <w:noProof/>
          <w:lang w:eastAsia="ca-ES"/>
        </w:rPr>
        <w:lastRenderedPageBreak/>
        <w:drawing>
          <wp:inline distT="0" distB="0" distL="0" distR="0" wp14:anchorId="2904CA41" wp14:editId="37CFE23A">
            <wp:extent cx="4896000" cy="3060000"/>
            <wp:effectExtent l="0" t="0" r="0" b="0"/>
            <wp:docPr id="69" name="Imat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896000" cy="3060000"/>
                    </a:xfrm>
                    <a:prstGeom prst="rect">
                      <a:avLst/>
                    </a:prstGeom>
                    <a:noFill/>
                    <a:ln>
                      <a:noFill/>
                    </a:ln>
                  </pic:spPr>
                </pic:pic>
              </a:graphicData>
            </a:graphic>
          </wp:inline>
        </w:drawing>
      </w:r>
    </w:p>
    <w:p w:rsidR="009D4C07" w:rsidRPr="00492C9E" w:rsidRDefault="009D4C07" w:rsidP="009D4C07">
      <w:pPr>
        <w:spacing w:before="240"/>
      </w:pPr>
      <w:r w:rsidRPr="00492C9E">
        <w:t>El pes del pressupost inicial del Departament de Justícia en el conjunt de la Generalitat de Catalunya s’ha anat incrementant a mesura que s’assumien noves competències. L’any 1985, es van començar a gestionar les polítiques d’execució penal, any en què el pressupost del Departament va passar d’11 a 27 milions d’euros. La competència de suport a l’Administració de justícia es va traspassar l’any 1996, i va suposar que el Departament passés a gestionar 258 milions d’euros, enfront dels 167 milions d’euros que gestionava abans d’aquella data. En l’actualitat, el pes del pressupost del Departament s’ha estabilitzat a l’entorn del 2,5 % del conjunt del pressupost de la Generalitat de Catalunya.</w:t>
      </w:r>
    </w:p>
    <w:p w:rsidR="009D4C07" w:rsidRPr="00492C9E" w:rsidRDefault="009D4C07" w:rsidP="009D4C07">
      <w:pPr>
        <w:spacing w:before="240"/>
      </w:pPr>
      <w:r w:rsidRPr="00492C9E">
        <w:t>Cal assenyalar que els pressupostos dels exercicis 2013, 2014 i 2015 no inclouen la dotació per fer front a una part dels drets de superfície anuals que es van tramitar amb càrrec al pressupost dels fons no departamentals per imports de 30,0, 48,2 i 52,0 milions d’euros, respectivament. Si comptéssim aquests drets dins del pressupost, la participació en els pressupostos de la Generalitat per al 2016 del Departament de Justícia s’elevaria al 2,75 %.</w:t>
      </w:r>
    </w:p>
    <w:p w:rsidR="009D4C07" w:rsidRPr="00492C9E" w:rsidRDefault="009D4C07" w:rsidP="009D4C07">
      <w:pPr>
        <w:spacing w:before="240"/>
      </w:pPr>
      <w:r w:rsidRPr="00492C9E">
        <w:t>Pel que fa a l’àmbit de l’execució penal, el pressupost inicial que hi destina el Departament de Justícia ha experimentat un augment des dels seus inicis fins a superar àmpliament els 300.000 euros anuals. El pes de les polítiques d’execució penal se situa actualment al voltant del 37 %, percentatge que s’estabilitza en el moment que el Departament incorpora les competències en suport a l’Administració de justícia. Si es comptabilitzen els imports dels drets de superfície, aquesta proporció s’incrementa fins al 40,5 %.</w:t>
      </w:r>
    </w:p>
    <w:p w:rsidR="009D4C07" w:rsidRPr="00492C9E" w:rsidRDefault="009D4C07" w:rsidP="009D4C07">
      <w:r w:rsidRPr="00492C9E">
        <w:t>Com es pot observar en el gràfic següent, l’evolució del pressupost inicial destinat a l’execució penal ha seguit, des de 1980, una tendència paral·lela a la del pressupost del total del Departament de Justícia, amb poques excepcions, i des l’any 2006 en representa aproximadament una tercera part.</w:t>
      </w:r>
    </w:p>
    <w:p w:rsidR="009D4C07" w:rsidRDefault="009D4C07" w:rsidP="009D4C07">
      <w:r w:rsidRPr="00492C9E">
        <w:rPr>
          <w:noProof/>
          <w:lang w:eastAsia="ca-ES"/>
        </w:rPr>
        <w:lastRenderedPageBreak/>
        <w:drawing>
          <wp:inline distT="0" distB="0" distL="0" distR="0" wp14:anchorId="4E44F1ED" wp14:editId="4601F02E">
            <wp:extent cx="5754414" cy="2924504"/>
            <wp:effectExtent l="0" t="0" r="0" b="0"/>
            <wp:docPr id="70" name="Imatg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763846" cy="2929298"/>
                    </a:xfrm>
                    <a:prstGeom prst="rect">
                      <a:avLst/>
                    </a:prstGeom>
                    <a:noFill/>
                    <a:ln>
                      <a:noFill/>
                    </a:ln>
                  </pic:spPr>
                </pic:pic>
              </a:graphicData>
            </a:graphic>
          </wp:inline>
        </w:drawing>
      </w:r>
    </w:p>
    <w:p w:rsidR="009D4C07" w:rsidRPr="00492C9E" w:rsidRDefault="009D4C07" w:rsidP="009D4C07">
      <w:r w:rsidRPr="00492C9E">
        <w:t>Respecte del pressupost definitiu, que incorpora les modificacions pressupostàries del pressupost inicial, el Departament de Justícia disposa d’un pressupost superior. L’exercici 2016</w:t>
      </w:r>
      <w:r w:rsidRPr="00492C9E">
        <w:rPr>
          <w:vertAlign w:val="superscript"/>
        </w:rPr>
        <w:footnoteReference w:id="19"/>
      </w:r>
      <w:r w:rsidRPr="00492C9E">
        <w:t xml:space="preserve"> arriba als 950,4 milions d’euros, dels quals més de la meitat (543 milions d’euros) es destinen a les remuneracions del personal del capítol 1; gairebé una tercera part (308 milions d’euros), a despeses de béns corrents i serveis del capítol 2; un 7,8 %, a transferències corrents del capítol 4 (73 milions d’euros), i un 2,6 %, a inversions reals del capítol 6</w:t>
      </w:r>
      <w:r w:rsidRPr="00492C9E">
        <w:rPr>
          <w:vertAlign w:val="superscript"/>
        </w:rPr>
        <w:footnoteReference w:id="20"/>
      </w:r>
      <w:r w:rsidRPr="00492C9E">
        <w:t xml:space="preserve"> (24,4 milions d’euros). Les transferències de capital del capítol 7 (0,2 milions d’euros) i els actius financers de capítol 8 (0,6 milions d’euros), són capítols minoritaris al Departament de Justícia.</w:t>
      </w:r>
    </w:p>
    <w:p w:rsidR="009D4C07" w:rsidRDefault="009D4C07" w:rsidP="009D4C07">
      <w:r w:rsidRPr="00492C9E">
        <w:t>Aquesta distribució per capítols del pressupost definitiu del Departament de Justícia ha estat força estable en els darrers anys. Tot i així, la incidència en la utilització dels drets de superfície, com a sistema de finançament de les infraestructures, ha provocat que de forma progressiva el capítol 2 incrementi el seu pes en el pressupost del Departament, en detriment del capítol 6.</w:t>
      </w:r>
    </w:p>
    <w:p w:rsidR="009D4C07" w:rsidRPr="00492C9E" w:rsidRDefault="009D4C07" w:rsidP="009D4C07"/>
    <w:p w:rsidR="009D4C07" w:rsidRPr="00492C9E" w:rsidRDefault="009D4C07" w:rsidP="009D4C07">
      <w:r w:rsidRPr="00492C9E">
        <w:rPr>
          <w:noProof/>
          <w:lang w:eastAsia="ca-ES"/>
        </w:rPr>
        <w:lastRenderedPageBreak/>
        <w:drawing>
          <wp:inline distT="0" distB="0" distL="0" distR="0" wp14:anchorId="536801CE" wp14:editId="581A27A8">
            <wp:extent cx="4453759" cy="2228680"/>
            <wp:effectExtent l="0" t="0" r="4445" b="0"/>
            <wp:docPr id="75" name="Imatg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4453200" cy="2228400"/>
                    </a:xfrm>
                    <a:prstGeom prst="rect">
                      <a:avLst/>
                    </a:prstGeom>
                    <a:noFill/>
                    <a:ln>
                      <a:noFill/>
                    </a:ln>
                  </pic:spPr>
                </pic:pic>
              </a:graphicData>
            </a:graphic>
          </wp:inline>
        </w:drawing>
      </w:r>
    </w:p>
    <w:p w:rsidR="009D4C07" w:rsidRPr="00492C9E" w:rsidRDefault="009D4C07" w:rsidP="009D4C07">
      <w:r w:rsidRPr="00492C9E">
        <w:t>En l’anàlisi del pressupost executat</w:t>
      </w:r>
      <w:r w:rsidRPr="00492C9E">
        <w:rPr>
          <w:vertAlign w:val="superscript"/>
        </w:rPr>
        <w:footnoteReference w:id="21"/>
      </w:r>
      <w:r w:rsidRPr="00492C9E">
        <w:t>, el Departament de Justícia ha mantingut creixements anuals del pressupost fins a l’any 2009. L’any 2010, els efectes de la crisi econòmica mundial es traslladen a les finances públiques i s’inicia una política de contenció de la despesa. A partir de l’exercici 2011, s’observen les reduccions més significatives amb la reducció de les retribucions de personal i les mesures de no substituir els llocs de treball de caràcter temporal, com ara els interins.</w:t>
      </w:r>
    </w:p>
    <w:p w:rsidR="009D4C07" w:rsidRPr="00492C9E" w:rsidRDefault="009D4C07" w:rsidP="009D4C07">
      <w:r w:rsidRPr="00492C9E">
        <w:t>Malgrat aquest context pressupostari restrictiu, l’any 2014 el Departament va destinar 7 milions d’euros per a la posada en funcionament del Centre Penitenciari Puig de les Basses, a Figueres. L’any 2015 aquesta tendència es va invertir i, de nou, el pressupost executat es va incrementar fins a nivells similars als de l’any 2008, i es van incloure inversions tan significatives com els 11,5 milions d’euros de la posada en marxa del Centre Penitenciari Mas d’Enric, al Catllar.</w:t>
      </w:r>
    </w:p>
    <w:p w:rsidR="009D4C07" w:rsidRPr="00492C9E" w:rsidRDefault="009D4C07" w:rsidP="009D4C07">
      <w:pPr>
        <w:rPr>
          <w:sz w:val="18"/>
          <w:szCs w:val="18"/>
        </w:rPr>
      </w:pPr>
      <w:r w:rsidRPr="00492C9E">
        <w:rPr>
          <w:noProof/>
          <w:lang w:eastAsia="ca-ES"/>
        </w:rPr>
        <w:drawing>
          <wp:inline distT="0" distB="0" distL="0" distR="0" wp14:anchorId="7E70407A" wp14:editId="33669077">
            <wp:extent cx="4669200" cy="1191600"/>
            <wp:effectExtent l="0" t="0" r="0" b="8890"/>
            <wp:docPr id="77" name="Imat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4669200" cy="1191600"/>
                    </a:xfrm>
                    <a:prstGeom prst="rect">
                      <a:avLst/>
                    </a:prstGeom>
                    <a:noFill/>
                    <a:ln>
                      <a:noFill/>
                    </a:ln>
                  </pic:spPr>
                </pic:pic>
              </a:graphicData>
            </a:graphic>
          </wp:inline>
        </w:drawing>
      </w:r>
    </w:p>
    <w:p w:rsidR="009D4C07" w:rsidRPr="00492C9E" w:rsidRDefault="009D4C07" w:rsidP="009D4C07"/>
    <w:p w:rsidR="009D4C07" w:rsidRPr="00492C9E" w:rsidRDefault="009D4C07" w:rsidP="009D4C07">
      <w:r w:rsidRPr="00492C9E">
        <w:t>El pes de cada capítol en el total del pressupost executat del conjunt del Departament mostra que les despeses de remuneracions del personal i despeses de béns corrents i serveis representen al voltant d’un 90 % de manera estable durant tot el període.</w:t>
      </w:r>
    </w:p>
    <w:p w:rsidR="009D4C07" w:rsidRPr="00492C9E" w:rsidRDefault="009D4C07" w:rsidP="009D4C07">
      <w:pPr>
        <w:spacing w:before="0"/>
        <w:jc w:val="left"/>
      </w:pPr>
      <w:r w:rsidRPr="00492C9E">
        <w:t>Pel que fa al grau d’execució pressupostària del conjunt del Departament, en els darrers deu anys s’executa de mitjana un 97 % del pressupost definitiu, amb una tendència a la millora en els darrers anys: des de l’any 2013 sempre s’ha superat el 99 % de pressupost definitiu executat.</w:t>
      </w:r>
    </w:p>
    <w:p w:rsidR="009D4C07" w:rsidRPr="00492C9E" w:rsidRDefault="009D4C07" w:rsidP="009D4C07">
      <w:r w:rsidRPr="00492C9E">
        <w:rPr>
          <w:noProof/>
          <w:lang w:eastAsia="ca-ES"/>
        </w:rPr>
        <w:lastRenderedPageBreak/>
        <w:drawing>
          <wp:inline distT="0" distB="0" distL="0" distR="0" wp14:anchorId="00C100B9" wp14:editId="0745645F">
            <wp:extent cx="4895194" cy="2002221"/>
            <wp:effectExtent l="0" t="0" r="0" b="0"/>
            <wp:docPr id="78" name="Imatg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4896000" cy="2002551"/>
                    </a:xfrm>
                    <a:prstGeom prst="rect">
                      <a:avLst/>
                    </a:prstGeom>
                    <a:noFill/>
                    <a:ln>
                      <a:noFill/>
                    </a:ln>
                  </pic:spPr>
                </pic:pic>
              </a:graphicData>
            </a:graphic>
          </wp:inline>
        </w:drawing>
      </w:r>
    </w:p>
    <w:p w:rsidR="009D4C07" w:rsidRPr="00492C9E" w:rsidRDefault="009D4C07" w:rsidP="009D4C07">
      <w:pPr>
        <w:spacing w:before="0"/>
        <w:jc w:val="left"/>
        <w:rPr>
          <w:rFonts w:eastAsiaTheme="majorEastAsia" w:cstheme="majorBidi"/>
          <w:b/>
          <w:bCs/>
          <w:color w:val="4F81BD" w:themeColor="accent1"/>
          <w:sz w:val="24"/>
          <w:szCs w:val="26"/>
        </w:rPr>
      </w:pPr>
      <w:bookmarkStart w:id="680" w:name="_Toc462150214"/>
    </w:p>
    <w:p w:rsidR="009D4C07" w:rsidRPr="00492C9E" w:rsidRDefault="009D4C07" w:rsidP="0070401F">
      <w:pPr>
        <w:pStyle w:val="Ttol3"/>
      </w:pPr>
      <w:bookmarkStart w:id="681" w:name="_Toc464667910"/>
      <w:bookmarkStart w:id="682" w:name="_Toc465293499"/>
      <w:r w:rsidRPr="00492C9E">
        <w:t>Pressupost del Departament de Justícia en execució penal</w:t>
      </w:r>
      <w:bookmarkEnd w:id="680"/>
      <w:bookmarkEnd w:id="681"/>
      <w:bookmarkEnd w:id="682"/>
    </w:p>
    <w:p w:rsidR="009D4C07" w:rsidRPr="00492C9E" w:rsidRDefault="009D4C07" w:rsidP="009D4C07">
      <w:pPr>
        <w:spacing w:after="0"/>
      </w:pPr>
      <w:r w:rsidRPr="00492C9E">
        <w:t>En termes pressupostaris, les polítiques d’execució penal s’han gestionat majoritàriament des d’una unitat directiva del Departament de Justícia, tot i que al llarg del temps hi ha hagut serveis que s’han traspassat a altres departaments o s’ha comptat amb la col·laboració d’altres organismes públics i privats.</w:t>
      </w:r>
    </w:p>
    <w:p w:rsidR="009D4C07" w:rsidRPr="00492C9E" w:rsidRDefault="009D4C07" w:rsidP="009D4C07">
      <w:pPr>
        <w:spacing w:after="0"/>
      </w:pPr>
      <w:r w:rsidRPr="00492C9E">
        <w:t>Fins a l’any 1984, la unitat de referència va ser la Direcció General d’Institucions Penitenciàries. De l’any 1985 al 2003, va ser la Direcció General de Serveis Penitenciaris i Rehabilitació. Durant els anys 2004 i 2005 se’n va ocupar la Secretaria de Serveis Penitenciaris, Rehabilitació i Justícia Juvenil, de la qual a partir del 2005 depenia la Direcció General de Recursos i Règim Penitenciari. En l’actualitat, la gestió pressupostària en execució penal es fa des de la Direcció General de Serveis Penitenciaris, a la qual a partir de l’any 2012 cal incorporar les partides en matèria de mesures penals alternatives que es gestionen des de la Direcció General d’Execució Penal a la Comunitat i de Justícia Juvenil.</w:t>
      </w:r>
    </w:p>
    <w:p w:rsidR="009D4C07" w:rsidRPr="00492C9E" w:rsidRDefault="009D4C07" w:rsidP="009D4C07">
      <w:pPr>
        <w:spacing w:after="0"/>
      </w:pPr>
      <w:r w:rsidRPr="00492C9E">
        <w:t>La complexitat de l’anàlisi pressupostària per polítiques de despeses es va resoldre amb la introducció dels pressupostos per programes, per a l’exercici 2006</w:t>
      </w:r>
      <w:r w:rsidRPr="00492C9E">
        <w:rPr>
          <w:vertAlign w:val="superscript"/>
        </w:rPr>
        <w:footnoteReference w:id="22"/>
      </w:r>
      <w:r w:rsidRPr="00492C9E">
        <w:t>. En el cas de l’execució penal, es va crear el programa pressupostari 213,“Serveis penitenciaris”, que depenia del Departament de Justícia. L’any 2012 passa a denominar-se “Serveis penitenciaris i mesures penals alternatives”. La missió del programa és l’execució de les penes de privació de llibertat i mesures penals a la comunitat, en condicions adequades de seguretat, amb respecte dels drets del penat no limitats per la sentència, i orientades cap a la rehabilitació, amb la finalitat de potenciar la integració social del penat i prevenir la reincidència, comptant amb la participació activa de l’entorn comunitari.</w:t>
      </w:r>
    </w:p>
    <w:p w:rsidR="009D4C07" w:rsidRPr="00492C9E" w:rsidRDefault="009D4C07" w:rsidP="009D4C07">
      <w:pPr>
        <w:spacing w:after="0"/>
      </w:pPr>
      <w:r w:rsidRPr="00492C9E">
        <w:t>En l’últim exercici tancat, de l’any 2015, la despesa en execució penal</w:t>
      </w:r>
      <w:r w:rsidRPr="00492C9E">
        <w:rPr>
          <w:vertAlign w:val="superscript"/>
        </w:rPr>
        <w:footnoteReference w:id="23"/>
      </w:r>
      <w:r w:rsidRPr="00492C9E">
        <w:t xml:space="preserve"> liquidada va ser de gairebé 400 milions d’euros, dels quals un 52,8 % es dedica a les despeses de personal de centres penitenciaris. Majoritàriament, aquestes despeses corresponen a la Direcció General de Serveis Penitenciaris (en un 86,2 %), però també hi participa el Centre d’Iniciatives per a la Reinserció (en un 12,2 %) i la Direcció General d’Execució Penal a la Comunitat i de Justícia Juvenil (en un 1,6 %). </w:t>
      </w:r>
    </w:p>
    <w:p w:rsidR="009D4C07" w:rsidRDefault="009D4C07" w:rsidP="009D4C07">
      <w:pPr>
        <w:spacing w:after="0"/>
      </w:pPr>
      <w:r w:rsidRPr="00492C9E">
        <w:lastRenderedPageBreak/>
        <w:t>Si es comptabilitzen exclusivament les despeses del Departament de Justícia, l’any 2015 es van destinar 356 milions d’euros, que suposen el 41 % del pressupost executat del conjunt del Departament, un pes que s’ha anat incrementant en els darrers 10 anys com a conseqüència de les grans inversions en infraestructures.</w:t>
      </w:r>
    </w:p>
    <w:p w:rsidR="009D4C07" w:rsidRPr="00492C9E" w:rsidRDefault="009D4C07" w:rsidP="009D4C07">
      <w:pPr>
        <w:spacing w:after="0"/>
      </w:pPr>
    </w:p>
    <w:p w:rsidR="009D4C07" w:rsidRPr="00492C9E" w:rsidRDefault="009D4C07" w:rsidP="009D4C07">
      <w:pPr>
        <w:spacing w:after="0"/>
      </w:pPr>
      <w:r w:rsidRPr="00492C9E">
        <w:rPr>
          <w:noProof/>
          <w:lang w:eastAsia="ca-ES"/>
        </w:rPr>
        <w:drawing>
          <wp:inline distT="0" distB="0" distL="0" distR="0" wp14:anchorId="05B6833F" wp14:editId="45D5CAF3">
            <wp:extent cx="4414345" cy="2806262"/>
            <wp:effectExtent l="0" t="0" r="0" b="0"/>
            <wp:docPr id="79" name="Imatg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4413600" cy="2805788"/>
                    </a:xfrm>
                    <a:prstGeom prst="rect">
                      <a:avLst/>
                    </a:prstGeom>
                    <a:noFill/>
                    <a:ln>
                      <a:noFill/>
                    </a:ln>
                  </pic:spPr>
                </pic:pic>
              </a:graphicData>
            </a:graphic>
          </wp:inline>
        </w:drawing>
      </w:r>
    </w:p>
    <w:p w:rsidR="009D4C07" w:rsidRPr="00492C9E" w:rsidRDefault="009D4C07" w:rsidP="009D4C07">
      <w:pPr>
        <w:spacing w:before="0"/>
      </w:pPr>
      <w:r w:rsidRPr="00492C9E">
        <w:t>Quant a despesa executada en polítiques d’execució penal per les unitats directives del Departament, ha augmentat més d’un 68 % en 10 anys, passant de 211,6 milions d’euros l’any 2006 als 356,1 milions d’euros del 2015, un augment de més de 144 milions d’euros. Així, el pressupost executat s’ha situat els darrers anys entre els 330 i els 350 milions d’euros. L’any 2012 és l’any que el programa incorpora la gestió de les mesures penals alternatives, gestionades des de la Direcció General d’Execució Penal a la Comunitat i de Justícia Juvenil.</w:t>
      </w:r>
    </w:p>
    <w:p w:rsidR="009D4C07" w:rsidRPr="00492C9E" w:rsidRDefault="009D4C07" w:rsidP="009D4C07">
      <w:r w:rsidRPr="00492C9E">
        <w:rPr>
          <w:noProof/>
          <w:lang w:eastAsia="ca-ES"/>
        </w:rPr>
        <w:drawing>
          <wp:inline distT="0" distB="0" distL="0" distR="0" wp14:anchorId="35D7958F" wp14:editId="2A915B27">
            <wp:extent cx="4996800" cy="1188000"/>
            <wp:effectExtent l="0" t="0" r="0" b="0"/>
            <wp:docPr id="80" name="Imatg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4996800" cy="1188000"/>
                    </a:xfrm>
                    <a:prstGeom prst="rect">
                      <a:avLst/>
                    </a:prstGeom>
                    <a:noFill/>
                    <a:ln>
                      <a:noFill/>
                    </a:ln>
                  </pic:spPr>
                </pic:pic>
              </a:graphicData>
            </a:graphic>
          </wp:inline>
        </w:drawing>
      </w:r>
    </w:p>
    <w:p w:rsidR="009D4C07" w:rsidRPr="00492C9E" w:rsidRDefault="009D4C07" w:rsidP="009D4C07"/>
    <w:p w:rsidR="009D4C07" w:rsidRPr="00492C9E" w:rsidRDefault="009D4C07" w:rsidP="009D4C07">
      <w:r w:rsidRPr="00492C9E">
        <w:t xml:space="preserve">En l’anàlisi de la participació de les unitats directives en la despesa en execució penal, destaca la Direcció General de Serveis Penitenciaris, que a través dels centres gestors JU08 Despeses del personal de centres penitenciaris i JU03 DG de Serveis Penitenciaris, gestiona el 98 % de tot el pressupost del programa. El 2 % restant, el gestiona la JU04 DG d’Execució Penal a la Comunitat i de Justícia Juvenil. </w:t>
      </w:r>
    </w:p>
    <w:p w:rsidR="009D4C07" w:rsidRPr="00492C9E" w:rsidRDefault="009D4C07" w:rsidP="009D4C07">
      <w:r w:rsidRPr="00492C9E">
        <w:rPr>
          <w:noProof/>
          <w:lang w:eastAsia="ca-ES"/>
        </w:rPr>
        <w:lastRenderedPageBreak/>
        <w:drawing>
          <wp:inline distT="0" distB="0" distL="0" distR="0" wp14:anchorId="2562B698" wp14:editId="5703AD60">
            <wp:extent cx="4662000" cy="2487600"/>
            <wp:effectExtent l="0" t="0" r="0" b="0"/>
            <wp:docPr id="81" name="Imatg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4662000" cy="2487600"/>
                    </a:xfrm>
                    <a:prstGeom prst="rect">
                      <a:avLst/>
                    </a:prstGeom>
                    <a:noFill/>
                    <a:ln>
                      <a:noFill/>
                    </a:ln>
                  </pic:spPr>
                </pic:pic>
              </a:graphicData>
            </a:graphic>
          </wp:inline>
        </w:drawing>
      </w:r>
    </w:p>
    <w:p w:rsidR="009D4C07" w:rsidRPr="00492C9E" w:rsidRDefault="009D4C07" w:rsidP="009D4C07"/>
    <w:p w:rsidR="009D4C07" w:rsidRPr="00492C9E" w:rsidRDefault="009D4C07" w:rsidP="009D4C07">
      <w:r w:rsidRPr="00492C9E">
        <w:t xml:space="preserve">A l’apartat 10.4, Factors determinants de la despesa, s’analitza la despesa executada del pressupost per capítols i els seus components, on es mostra la importància del capítol 1, Remuneracions del personal, i la del capítol 2, Despeses corrents, en la gestió de les polítiques d’execució penal. </w:t>
      </w:r>
    </w:p>
    <w:p w:rsidR="009D4C07" w:rsidRPr="00492C9E" w:rsidRDefault="009D4C07" w:rsidP="009D4C07">
      <w:pPr>
        <w:spacing w:before="0"/>
        <w:jc w:val="left"/>
      </w:pPr>
    </w:p>
    <w:p w:rsidR="009D4C07" w:rsidRPr="00492C9E" w:rsidRDefault="009D4C07" w:rsidP="0070401F">
      <w:pPr>
        <w:pStyle w:val="Ttol3"/>
      </w:pPr>
      <w:bookmarkStart w:id="683" w:name="_Toc464667911"/>
      <w:bookmarkStart w:id="684" w:name="_Toc465293500"/>
      <w:r w:rsidRPr="00492C9E">
        <w:t>Pressupost d’altres òrgans en execució penal</w:t>
      </w:r>
      <w:bookmarkEnd w:id="683"/>
      <w:bookmarkEnd w:id="684"/>
    </w:p>
    <w:p w:rsidR="009D4C07" w:rsidRPr="00492C9E" w:rsidRDefault="009D4C07" w:rsidP="009D4C07">
      <w:r w:rsidRPr="00492C9E">
        <w:t>A la despesa executada per les unitats orgàniques del Departament, cal afegir-hi la que executa l’empresa pública adscrita al Departament, el Centre d’Iniciatives per a la Reinserció (CIRE), i la que executen diversos departaments amb serveis traspassats per raó de les seves competències: el Departament de Salut, el Departament d’Interior i el Departament d’Ensenyament. Així, si a la despesa en execució penal duta a terme pel Departament de Justícia i el CIRE (400 milions d’euros l’any 2015), s’afegeix la que executen els altres departaments, la despesa anual en execució penal és, aproximadament, de 500 milions d’euros.</w:t>
      </w:r>
    </w:p>
    <w:p w:rsidR="009D4C07" w:rsidRPr="00492C9E" w:rsidRDefault="009D4C07" w:rsidP="009D4C07"/>
    <w:p w:rsidR="009D4C07" w:rsidRPr="00492C9E" w:rsidRDefault="009D4C07" w:rsidP="0070401F">
      <w:pPr>
        <w:pStyle w:val="Ttol4"/>
      </w:pPr>
      <w:r w:rsidRPr="00492C9E">
        <w:t>Centre d’Iniciatives per a la Reinserció</w:t>
      </w:r>
    </w:p>
    <w:p w:rsidR="009D4C07" w:rsidRPr="00492C9E" w:rsidRDefault="009D4C07" w:rsidP="009D4C07">
      <w:r w:rsidRPr="00492C9E">
        <w:t>El CIRE és una entitat de dret públic del Departament de Justícia especialitzada en tasques de reinserció. Imputa totes les seves despeses al programa pressupostari 213, “Serveis penitenciaris i mesures penals alternatives” que, sumades a les depeses que hi destina el Departament de Justícia, configuren el conjunt de la despesa en execució penal</w:t>
      </w:r>
      <w:r w:rsidRPr="00492C9E">
        <w:rPr>
          <w:vertAlign w:val="superscript"/>
        </w:rPr>
        <w:footnoteReference w:id="24"/>
      </w:r>
      <w:r w:rsidRPr="00492C9E">
        <w:t>.</w:t>
      </w:r>
    </w:p>
    <w:p w:rsidR="009D4C07" w:rsidRPr="00492C9E" w:rsidRDefault="009D4C07" w:rsidP="009D4C07">
      <w:r w:rsidRPr="00492C9E">
        <w:t>Els darrers anys, el pressupost executat pel conjunt de l’execució penal s’ha comportat igual que el del conjunt de Departament. Els anys 2011 i 2012 es va reduir la despesa, i a partir del 2013 el pressupost s’expandeix de nou fins a assolir els 400 milions d’euros actuals.</w:t>
      </w:r>
    </w:p>
    <w:p w:rsidR="009D4C07" w:rsidRPr="00492C9E" w:rsidRDefault="009D4C07" w:rsidP="009D4C07">
      <w:r w:rsidRPr="00492C9E">
        <w:rPr>
          <w:noProof/>
          <w:lang w:eastAsia="ca-ES"/>
        </w:rPr>
        <w:lastRenderedPageBreak/>
        <w:drawing>
          <wp:inline distT="0" distB="0" distL="0" distR="0" wp14:anchorId="5F459C05" wp14:editId="0C7F4C67">
            <wp:extent cx="4939200" cy="1069200"/>
            <wp:effectExtent l="0" t="0" r="0" b="0"/>
            <wp:docPr id="82" name="Imatg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4939200" cy="1069200"/>
                    </a:xfrm>
                    <a:prstGeom prst="rect">
                      <a:avLst/>
                    </a:prstGeom>
                    <a:noFill/>
                    <a:ln>
                      <a:noFill/>
                    </a:ln>
                  </pic:spPr>
                </pic:pic>
              </a:graphicData>
            </a:graphic>
          </wp:inline>
        </w:drawing>
      </w:r>
    </w:p>
    <w:p w:rsidR="009D4C07" w:rsidRPr="00492C9E" w:rsidRDefault="009D4C07" w:rsidP="009D4C07"/>
    <w:p w:rsidR="009D4C07" w:rsidRPr="00492C9E" w:rsidRDefault="009D4C07" w:rsidP="009D4C07">
      <w:r w:rsidRPr="00492C9E">
        <w:t>Així, tenint en compte els recursos que destina el CIRE a l’execució penal, en els darrers anys les polítiques d’execució penal han suposat al voltant del 40 % del pressupost executat per l’agrupació de Justícia.</w:t>
      </w:r>
    </w:p>
    <w:p w:rsidR="009D4C07" w:rsidRPr="00492C9E" w:rsidRDefault="009D4C07" w:rsidP="009D4C07"/>
    <w:p w:rsidR="009D4C07" w:rsidRPr="00492C9E" w:rsidRDefault="009D4C07" w:rsidP="0070401F">
      <w:pPr>
        <w:pStyle w:val="Ttol4"/>
      </w:pPr>
      <w:r w:rsidRPr="00492C9E">
        <w:t>Departament de Salut</w:t>
      </w:r>
    </w:p>
    <w:p w:rsidR="009D4C07" w:rsidRPr="00492C9E" w:rsidRDefault="009D4C07" w:rsidP="009D4C07">
      <w:r w:rsidRPr="00492C9E">
        <w:t>El Departament de Salut gestiona un seguit de despeses que són imputables directament a les polítiques d’execució penal, que deriven de l’atenció sanitària a persones de l’àmbit penitenciari.</w:t>
      </w:r>
    </w:p>
    <w:p w:rsidR="009D4C07" w:rsidRPr="00492C9E" w:rsidRDefault="009D4C07" w:rsidP="009D4C07">
      <w:r w:rsidRPr="00492C9E">
        <w:t>Aquestes despeses inclouen tant les remuneracions del personal sanitari assignat a les unitats d’hospitalització penitenciària, com les despeses corrents per atendre aquestes unitats i proveir-les de medicaments per als pacients (despeses de farmàcia, tractaments mèdics, entre d’altres).</w:t>
      </w:r>
    </w:p>
    <w:p w:rsidR="009D4C07" w:rsidRPr="00492C9E" w:rsidRDefault="009D4C07" w:rsidP="009D4C07">
      <w:r w:rsidRPr="00492C9E">
        <w:t>Això suposa una despesa executada anual de 27 milions d’euros, aproximadament 16 milions d’euros en remuneracions de personal i 11 milions d’euros en altres despeses</w:t>
      </w:r>
      <w:r w:rsidRPr="00492C9E">
        <w:rPr>
          <w:vertAlign w:val="superscript"/>
        </w:rPr>
        <w:footnoteReference w:id="25"/>
      </w:r>
      <w:r w:rsidRPr="00492C9E">
        <w:t>.</w:t>
      </w:r>
    </w:p>
    <w:p w:rsidR="009D4C07" w:rsidRPr="00492C9E" w:rsidRDefault="009D4C07" w:rsidP="009D4C07"/>
    <w:p w:rsidR="009D4C07" w:rsidRPr="00492C9E" w:rsidRDefault="009D4C07" w:rsidP="0070401F">
      <w:pPr>
        <w:pStyle w:val="Ttol4"/>
      </w:pPr>
      <w:r w:rsidRPr="00492C9E">
        <w:t>Departament d’Interior</w:t>
      </w:r>
    </w:p>
    <w:p w:rsidR="009D4C07" w:rsidRPr="00492C9E" w:rsidRDefault="009D4C07" w:rsidP="009D4C07">
      <w:r w:rsidRPr="00492C9E">
        <w:t>El Departament d’Interior duu a terme un seguit d’actuacions imputables a polítiques dels serveis penitenciaris, com són els trasllats de persones penades i la vigilància de centres penitenciaris, que són executades pels Mossos d’Esquadra.</w:t>
      </w:r>
    </w:p>
    <w:p w:rsidR="009D4C07" w:rsidRPr="00492C9E" w:rsidRDefault="009D4C07" w:rsidP="009D4C07">
      <w:r w:rsidRPr="00492C9E">
        <w:t>Les darreres dades disponibles</w:t>
      </w:r>
      <w:r w:rsidRPr="00492C9E">
        <w:rPr>
          <w:vertAlign w:val="superscript"/>
        </w:rPr>
        <w:footnoteReference w:id="26"/>
      </w:r>
      <w:r w:rsidRPr="00492C9E">
        <w:t xml:space="preserve"> indiquen que la despesa anual corresponent als efectius que fan funcions de vigilància de presons supera els 27,2 milions d’euros, desglossada entre 26,3 milions d’euros per a la vigilància de centres penitenciaris i prop d’1 milió d’euros per a la vigilància de l’hospital penitenciari de Terrassa. A aquesta despesa s’hi ha d’afegir el cost corresponent als trasllats de presos per fer desplaçaments a jutjats, a centres sanitaris, a altres centres penitenciaris, que suposa una despesa de 17,4 milions d’euros. En total, el Departament d’Interior destina 44,6 milions d’euros en la seva relació de servei públic per a la custòdia dels presos.</w:t>
      </w:r>
    </w:p>
    <w:p w:rsidR="009D4C07" w:rsidRPr="00492C9E" w:rsidRDefault="009D4C07" w:rsidP="009D4C07"/>
    <w:p w:rsidR="009D4C07" w:rsidRPr="00492C9E" w:rsidRDefault="009D4C07" w:rsidP="0070401F">
      <w:pPr>
        <w:pStyle w:val="Ttol4"/>
      </w:pPr>
      <w:r w:rsidRPr="00492C9E">
        <w:t>Departament d’Ensenyament</w:t>
      </w:r>
    </w:p>
    <w:p w:rsidR="009D4C07" w:rsidRPr="00492C9E" w:rsidRDefault="009D4C07" w:rsidP="009D4C07">
      <w:r w:rsidRPr="00492C9E">
        <w:t>El Departament d’Ensenyament també tramita despeses vinculades a l’àmbit de l’execució penal, perquè duen a terme activitats docents en aules de centres de formació d’adults (CFA) de diversos centres penitenciaris de Catalunya.</w:t>
      </w:r>
    </w:p>
    <w:p w:rsidR="009D4C07" w:rsidRPr="00492C9E" w:rsidRDefault="009D4C07" w:rsidP="009D4C07">
      <w:r w:rsidRPr="00492C9E">
        <w:lastRenderedPageBreak/>
        <w:t xml:space="preserve">La despesa anual que gestiona el Departament d’Ensenyament l’any 2015, per a aquestes activitats, correspon a CFA ubicats en 10 centres penitenciaris de Catalunya, i en els darrers dos anys ha significat un total de 6,5 milions d’euros en el darrer exercici tancat, el 99,5 % per pagar despeses de personal. </w:t>
      </w:r>
    </w:p>
    <w:p w:rsidR="009D4C07" w:rsidRPr="00492C9E" w:rsidRDefault="009D4C07" w:rsidP="009D4C07">
      <w:pPr>
        <w:spacing w:before="0"/>
        <w:jc w:val="left"/>
        <w:rPr>
          <w:rFonts w:eastAsiaTheme="majorEastAsia" w:cstheme="majorBidi"/>
          <w:b/>
          <w:color w:val="1F497D" w:themeColor="text2"/>
          <w:sz w:val="24"/>
          <w:szCs w:val="26"/>
        </w:rPr>
      </w:pPr>
    </w:p>
    <w:p w:rsidR="009D4C07" w:rsidRPr="00492C9E" w:rsidRDefault="009D4C07" w:rsidP="0070401F">
      <w:pPr>
        <w:pStyle w:val="Ttol3"/>
      </w:pPr>
      <w:bookmarkStart w:id="685" w:name="_Toc464667912"/>
      <w:bookmarkStart w:id="686" w:name="_Toc465293501"/>
      <w:r w:rsidRPr="00492C9E">
        <w:t>Comparació del pressupost en execució penal de l’Estat amb el de Catalunya</w:t>
      </w:r>
      <w:bookmarkEnd w:id="685"/>
      <w:bookmarkEnd w:id="686"/>
    </w:p>
    <w:p w:rsidR="009D4C07" w:rsidRPr="00492C9E" w:rsidRDefault="009D4C07" w:rsidP="009D4C07">
      <w:pPr>
        <w:spacing w:before="240"/>
      </w:pPr>
      <w:r w:rsidRPr="00492C9E">
        <w:t>A l’Estat espanyol, només dues administracions públiques gestionen les polítiques d’execució penal de manera directa: la Generalitat de Catalunya, per a les presons catalanes, i l’Administració General de l’Estat, per a la resta de presons del territori nacional.</w:t>
      </w:r>
    </w:p>
    <w:p w:rsidR="009D4C07" w:rsidRPr="00492C9E" w:rsidRDefault="009D4C07" w:rsidP="009D4C07">
      <w:pPr>
        <w:spacing w:before="240"/>
      </w:pPr>
      <w:r w:rsidRPr="00492C9E">
        <w:t>Trobem diferències en la gestió de la competència, que han permès que a Catalunya s’hagi desenvolupat un model penitenciari diferent. A les presons catalanes, la seguretat s’ha fonamentat en la interacció constant entre el personal i els interns, en l’ocupació d’aquests interns en activitats rehabilitadores, en el manteniment dels vincles amb l’exterior i en la utilització dels incentius perquè es rehabilitessin. Això ha permès que a Catalunya hi hagi un nivell més alt d’activitats de rehabilitació, de sortides i de règim obert respecte de la resta de l’Estat.</w:t>
      </w:r>
    </w:p>
    <w:p w:rsidR="009D4C07" w:rsidRPr="00492C9E" w:rsidRDefault="009D4C07" w:rsidP="009D4C07">
      <w:pPr>
        <w:spacing w:before="240"/>
      </w:pPr>
      <w:r w:rsidRPr="00492C9E">
        <w:t>Les diferències més significatives es recullen a continuació:</w:t>
      </w:r>
    </w:p>
    <w:p w:rsidR="009D4C07" w:rsidRPr="00492C9E" w:rsidRDefault="009D4C07" w:rsidP="007A1E03">
      <w:pPr>
        <w:numPr>
          <w:ilvl w:val="0"/>
          <w:numId w:val="93"/>
        </w:numPr>
        <w:spacing w:before="240"/>
        <w:contextualSpacing/>
      </w:pPr>
      <w:r w:rsidRPr="00492C9E">
        <w:t>Els òrgans responsables de cada administració tenen un marc competencial diferent: a l’Estat, l’execució penal es gestiona des del Ministeri de l’Interior, que també té competències en seguretat del territori (Policia i Guàrdia Civil), mentre que a Catalunya es gestiona des del Departament de Justícia, que també té competències en administració de justícia, dret i entitats jurídiques.</w:t>
      </w:r>
    </w:p>
    <w:p w:rsidR="009D4C07" w:rsidRPr="00492C9E" w:rsidRDefault="009D4C07" w:rsidP="007A1E03">
      <w:pPr>
        <w:numPr>
          <w:ilvl w:val="0"/>
          <w:numId w:val="93"/>
        </w:numPr>
        <w:spacing w:before="240"/>
        <w:contextualSpacing/>
      </w:pPr>
      <w:r w:rsidRPr="00492C9E">
        <w:t>La gestió de les inversions en matèria penitenciària compta amb òrgans no assimilables: l’Estat utilitza una entitat pública adscrita al Ministeri, la Sociedad Estatal de Infraestructuras y Equipamientos Penitenciarios (SIEP), mentre que a Catalunya les inversions es financen amb càrrec al pressupost del Departament. Això dificulta la comparació dels imports de la despesa de cada Administració.</w:t>
      </w:r>
    </w:p>
    <w:p w:rsidR="009D4C07" w:rsidRPr="00492C9E" w:rsidRDefault="009D4C07" w:rsidP="007A1E03">
      <w:pPr>
        <w:numPr>
          <w:ilvl w:val="0"/>
          <w:numId w:val="93"/>
        </w:numPr>
        <w:spacing w:before="240"/>
        <w:contextualSpacing/>
      </w:pPr>
      <w:r w:rsidRPr="00492C9E">
        <w:t>Els sistemes de seguretat són oposats: l’Estat ha invertit més en equipaments i en seguretat estàtica, mentre que a Catalunya es desenvolupa la seguretat dinàmica, basada en l’activitat rehabilitadora i la vinculació amb el medi social.</w:t>
      </w:r>
    </w:p>
    <w:p w:rsidR="009D4C07" w:rsidRPr="00492C9E" w:rsidRDefault="009D4C07" w:rsidP="009D4C07">
      <w:pPr>
        <w:spacing w:before="240"/>
      </w:pPr>
      <w:r w:rsidRPr="00492C9E">
        <w:t>Pel que fa a l’execució pressupostària, les diferències més significatives són:</w:t>
      </w:r>
    </w:p>
    <w:p w:rsidR="009D4C07" w:rsidRPr="00492C9E" w:rsidRDefault="009D4C07" w:rsidP="007A1E03">
      <w:pPr>
        <w:numPr>
          <w:ilvl w:val="0"/>
          <w:numId w:val="94"/>
        </w:numPr>
        <w:spacing w:before="240"/>
        <w:contextualSpacing/>
      </w:pPr>
      <w:r w:rsidRPr="00492C9E">
        <w:t>Els costos del personal implicat en la gestió de les polítiques d’execució penal són més elevats a Catalunya, ja que els salaris, de mitjana, són superiors als de la resta de l’Estat i perquè a Catalunya es financen serveis que a la resta de l’Estat s’imputen als pressupostos de les comunitats autònomes on es presten els serveis penitenciaris</w:t>
      </w:r>
      <w:r w:rsidRPr="00492C9E">
        <w:rPr>
          <w:vertAlign w:val="superscript"/>
        </w:rPr>
        <w:footnoteReference w:id="27"/>
      </w:r>
      <w:r w:rsidRPr="00492C9E">
        <w:t>. A més, la ràtio de persones treballadores per persona interna és inferior a Catalunya (1,6 interns per treballador) que a la resta de l’Estat (2,3).</w:t>
      </w:r>
    </w:p>
    <w:p w:rsidR="009D4C07" w:rsidRPr="00492C9E" w:rsidRDefault="009D4C07" w:rsidP="007A1E03">
      <w:pPr>
        <w:numPr>
          <w:ilvl w:val="0"/>
          <w:numId w:val="94"/>
        </w:numPr>
        <w:spacing w:before="240"/>
        <w:contextualSpacing/>
      </w:pPr>
      <w:r w:rsidRPr="00492C9E">
        <w:t>En concret, la despesa de les remuneracions del personal penitenciari és superior a Catalunya. Amb dades de 2015</w:t>
      </w:r>
      <w:r w:rsidRPr="00492C9E">
        <w:rPr>
          <w:vertAlign w:val="superscript"/>
        </w:rPr>
        <w:footnoteReference w:id="28"/>
      </w:r>
      <w:r w:rsidRPr="00492C9E">
        <w:t xml:space="preserve">, el cost total de capítol 1 per persona treballadora </w:t>
      </w:r>
      <w:r w:rsidRPr="00492C9E">
        <w:lastRenderedPageBreak/>
        <w:t xml:space="preserve">és un 33 % superior, 44.200 euros per treballador a Catalunya respecte dels 33.300 euros a la resta de l’Estat. </w:t>
      </w:r>
    </w:p>
    <w:p w:rsidR="009D4C07" w:rsidRPr="00492C9E" w:rsidRDefault="009D4C07" w:rsidP="007A1E03">
      <w:pPr>
        <w:numPr>
          <w:ilvl w:val="0"/>
          <w:numId w:val="94"/>
        </w:numPr>
        <w:spacing w:before="240"/>
        <w:contextualSpacing/>
      </w:pPr>
      <w:r w:rsidRPr="00492C9E">
        <w:t>Respecte del cost dels serveis de menjador, l’Estat pot aprofitar les economies d’escala derivades de disposar de més centres i utilitza persones contractades directament per l’organisme autònom Trabajo Penitenciario y Formación para el Empleo (TPFE). En canvi, a Catalunya el servei de menjador està externalitzat en empreses de càtering fins a l’any 2018, moment en què finalitzaran els dos contractes en vigor que donen serveis a quatre centres, malgrat que de forma progressiva es preveu que sigui un servei desenvolupat completament pel CIRE.</w:t>
      </w:r>
    </w:p>
    <w:p w:rsidR="009D4C07" w:rsidRPr="00492C9E" w:rsidRDefault="009D4C07" w:rsidP="009D4C07">
      <w:pPr>
        <w:spacing w:before="0"/>
        <w:jc w:val="left"/>
        <w:rPr>
          <w:rFonts w:eastAsiaTheme="majorEastAsia" w:cstheme="majorBidi"/>
          <w:b/>
          <w:color w:val="1F497D" w:themeColor="text2"/>
          <w:sz w:val="24"/>
          <w:szCs w:val="26"/>
        </w:rPr>
      </w:pPr>
      <w:bookmarkStart w:id="687" w:name="_Toc462150217"/>
    </w:p>
    <w:p w:rsidR="009D4C07" w:rsidRPr="00492C9E" w:rsidRDefault="009D4C07" w:rsidP="0070401F">
      <w:pPr>
        <w:pStyle w:val="Ttol2"/>
      </w:pPr>
      <w:bookmarkStart w:id="688" w:name="_Toc464667913"/>
      <w:bookmarkStart w:id="689" w:name="_Toc465293502"/>
      <w:r w:rsidRPr="00492C9E">
        <w:t>Factors determinants de la despesa</w:t>
      </w:r>
      <w:bookmarkEnd w:id="687"/>
      <w:bookmarkEnd w:id="688"/>
      <w:bookmarkEnd w:id="689"/>
    </w:p>
    <w:p w:rsidR="009D4C07" w:rsidRPr="00492C9E" w:rsidRDefault="009D4C07" w:rsidP="009D4C07"/>
    <w:p w:rsidR="009D4C07" w:rsidRPr="00492C9E" w:rsidRDefault="009D4C07" w:rsidP="009D4C07">
      <w:r w:rsidRPr="00492C9E">
        <w:t>Els recursos econòmics del Departament de Justícia s’han distribuït de forma relativament estable al llarg dels anys en un 60 % per a despeses de personal i un 40 % per a la resta, un patró que també s’ha donat en els serveis vinculats a l’execució penal, exceptuant el període de 2009 al 2011, on els costos salarials van representar una proporció més elevada.</w:t>
      </w:r>
    </w:p>
    <w:p w:rsidR="009D4C07" w:rsidRPr="00492C9E" w:rsidRDefault="009D4C07" w:rsidP="009D4C07">
      <w:r w:rsidRPr="00492C9E">
        <w:rPr>
          <w:noProof/>
          <w:lang w:eastAsia="ca-ES"/>
        </w:rPr>
        <w:drawing>
          <wp:inline distT="0" distB="0" distL="0" distR="0" wp14:anchorId="622EE313" wp14:editId="3BCA3F52">
            <wp:extent cx="3992400" cy="2358000"/>
            <wp:effectExtent l="0" t="0" r="0" b="4445"/>
            <wp:docPr id="83" name="Imatg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3992400" cy="2358000"/>
                    </a:xfrm>
                    <a:prstGeom prst="rect">
                      <a:avLst/>
                    </a:prstGeom>
                    <a:noFill/>
                    <a:ln>
                      <a:noFill/>
                    </a:ln>
                  </pic:spPr>
                </pic:pic>
              </a:graphicData>
            </a:graphic>
          </wp:inline>
        </w:drawing>
      </w:r>
    </w:p>
    <w:p w:rsidR="009D4C07" w:rsidRPr="00492C9E" w:rsidRDefault="009D4C07" w:rsidP="009D4C07"/>
    <w:p w:rsidR="009D4C07" w:rsidRPr="00492C9E" w:rsidRDefault="009D4C07" w:rsidP="009D4C07">
      <w:r w:rsidRPr="00492C9E">
        <w:t>En els darrers 10 anys, el programa pressupostari 213 que engloba tota la despesa liquidada en matèria d’execució penal, s’ha incrementat en 144 milions d’euros, des del 211 milions d’euros de l’exercici 2006 als 356 milions d’euros de l’any 2015. Ara bé, s’observen creixements fins l’exercici 2010, els següents 2011 i 2012 es produeixen reduccions d’entre el 3% i el 5%, i a partir del 2013 la despesa liquidada torna a experimentar creixements.</w:t>
      </w:r>
    </w:p>
    <w:p w:rsidR="009D4C07" w:rsidRPr="00492C9E" w:rsidRDefault="009D4C07" w:rsidP="009D4C07">
      <w:r w:rsidRPr="00492C9E">
        <w:rPr>
          <w:noProof/>
          <w:lang w:eastAsia="ca-ES"/>
        </w:rPr>
        <w:drawing>
          <wp:inline distT="0" distB="0" distL="0" distR="0" wp14:anchorId="58EC0A73" wp14:editId="7259B990">
            <wp:extent cx="5760085" cy="1488145"/>
            <wp:effectExtent l="0" t="0" r="0" b="0"/>
            <wp:docPr id="84" name="Imatg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760085" cy="1488145"/>
                    </a:xfrm>
                    <a:prstGeom prst="rect">
                      <a:avLst/>
                    </a:prstGeom>
                    <a:noFill/>
                    <a:ln>
                      <a:noFill/>
                    </a:ln>
                  </pic:spPr>
                </pic:pic>
              </a:graphicData>
            </a:graphic>
          </wp:inline>
        </w:drawing>
      </w:r>
    </w:p>
    <w:p w:rsidR="009D4C07" w:rsidRPr="00492C9E" w:rsidRDefault="009D4C07" w:rsidP="009D4C07"/>
    <w:p w:rsidR="009D4C07" w:rsidRDefault="009D4C07" w:rsidP="009D4C07">
      <w:r w:rsidRPr="00492C9E">
        <w:lastRenderedPageBreak/>
        <w:t>En l’anàlisi de les variacions per capítols</w:t>
      </w:r>
      <w:r w:rsidRPr="00492C9E">
        <w:rPr>
          <w:vertAlign w:val="superscript"/>
        </w:rPr>
        <w:footnoteReference w:id="29"/>
      </w:r>
      <w:r w:rsidRPr="00492C9E">
        <w:t>, els capítol 1 i 2 experimenten una evolució similar a la del global del programa 213, mentre que els capítols 4 i 6, mostren una evolució més fluctuant i van registrar decrements a partir els anys 2007 i 2009, respectivament. Cal assenyalar que a partir de l’any 2012, les despeses vinculades a les mesures penal alternatives s’incorporen al programa pressupostari 213, que genera un increment en els pressupost del capítol 2. Alhora, les reduccions que es registren en el capítol 6, s’explicarien per la utilització dels drets de superfície com a eina de finançament, que també tramiten pel capítol 2.</w:t>
      </w:r>
    </w:p>
    <w:p w:rsidR="009D4C07" w:rsidRPr="00492C9E" w:rsidRDefault="009D4C07" w:rsidP="009D4C07"/>
    <w:p w:rsidR="009D4C07" w:rsidRPr="00492C9E" w:rsidRDefault="009D4C07" w:rsidP="009D4C07">
      <w:r w:rsidRPr="00492C9E">
        <w:rPr>
          <w:noProof/>
          <w:lang w:eastAsia="ca-ES"/>
        </w:rPr>
        <w:drawing>
          <wp:inline distT="0" distB="0" distL="0" distR="0" wp14:anchorId="7730B6B4" wp14:editId="22DE1F16">
            <wp:extent cx="5232735" cy="2770495"/>
            <wp:effectExtent l="0" t="0" r="6350" b="0"/>
            <wp:docPr id="85" name="Imatg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233594" cy="2770950"/>
                    </a:xfrm>
                    <a:prstGeom prst="rect">
                      <a:avLst/>
                    </a:prstGeom>
                    <a:noFill/>
                    <a:ln>
                      <a:noFill/>
                    </a:ln>
                  </pic:spPr>
                </pic:pic>
              </a:graphicData>
            </a:graphic>
          </wp:inline>
        </w:drawing>
      </w:r>
    </w:p>
    <w:p w:rsidR="009D4C07" w:rsidRDefault="009D4C07" w:rsidP="009D4C07"/>
    <w:p w:rsidR="009D4C07" w:rsidRPr="00492C9E" w:rsidRDefault="009D4C07" w:rsidP="009D4C07">
      <w:r w:rsidRPr="00492C9E">
        <w:t>Cal assenyalar que les despeses de capítol 1 cobreixen les remuneracions de més de 4.500 treballadors actius de l’àmbit penitenciari. A curt i mitjà termini són despeses fixes, i a llarg termini poden ser variables si es modifica la política de recursos humans i el sistema organitzatiu actual. Es consideren costos directes del sistema i són controlables. Actualment, les despeses de personal es caracteritzen per un cert grau d’independència respecte del volum de persones usuàries de l’execució penal al llarg de l’any.</w:t>
      </w:r>
    </w:p>
    <w:p w:rsidR="009D4C07" w:rsidRPr="00492C9E" w:rsidRDefault="009D4C07" w:rsidP="009D4C07">
      <w:r w:rsidRPr="00492C9E">
        <w:t>En la resta de capítols, s’identifiquen els factors determinants de la despesa en execució penal, especialment els referents al capítol 2. Es consideren costos fixos els relacionats amb els edificis i el seu manteniment, conservació o millora, mentre que els costos variables, els que depenen directament del nombre d’usuaris del sistema, entre els quals destaca el servei de menjador, la bugaderia, els ajuts als interns i els programes de rehabilitació i d’inserció que desenvolupen el CIRE i les entitats col·laboradores del tercer sector.</w:t>
      </w:r>
    </w:p>
    <w:p w:rsidR="009D4C07" w:rsidRPr="00492C9E" w:rsidRDefault="009D4C07" w:rsidP="009D4C07">
      <w:r w:rsidRPr="00492C9E">
        <w:rPr>
          <w:noProof/>
          <w:lang w:eastAsia="ca-ES"/>
        </w:rPr>
        <w:lastRenderedPageBreak/>
        <w:drawing>
          <wp:inline distT="0" distB="0" distL="0" distR="0" wp14:anchorId="3E5B6709" wp14:editId="538C8827">
            <wp:extent cx="4993200" cy="2311200"/>
            <wp:effectExtent l="0" t="0" r="0" b="0"/>
            <wp:docPr id="86" name="Imatg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4993200" cy="2311200"/>
                    </a:xfrm>
                    <a:prstGeom prst="rect">
                      <a:avLst/>
                    </a:prstGeom>
                    <a:noFill/>
                    <a:ln>
                      <a:noFill/>
                    </a:ln>
                  </pic:spPr>
                </pic:pic>
              </a:graphicData>
            </a:graphic>
          </wp:inline>
        </w:drawing>
      </w:r>
    </w:p>
    <w:p w:rsidR="009D4C07" w:rsidRPr="00492C9E" w:rsidRDefault="009D4C07" w:rsidP="009D4C07"/>
    <w:p w:rsidR="009D4C07" w:rsidRPr="00492C9E" w:rsidRDefault="009D4C07" w:rsidP="009D4C07">
      <w:r w:rsidRPr="00492C9E">
        <w:t>La importància dels costos fixes en el conjunt despeses de l’execució penal, expliquen que malgrat la reducció de la població encarcerada, les despeses del sistema s’han incrementat en els darrers 10 anys fins assolir els 356 milions d’euros. També explicaria aquest increment, el procés de remodelació i millora dels equipaments penitenciaris el qual ha permès obrir nous centres moderns, segurs i sota els estàndards de servei del model penitenciari català, alhora que s’han tancat aquells centres més antics, que eren menys costosos en termes de manteniment i necessitats de personal, però que no complien els estàndards exigits per la societat.</w:t>
      </w:r>
    </w:p>
    <w:p w:rsidR="009D4C07" w:rsidRPr="00492C9E" w:rsidRDefault="009D4C07" w:rsidP="009D4C07">
      <w:r w:rsidRPr="00492C9E">
        <w:t>La ràtio cost anual per intern ha evolucionat des dels 23.500 euros de l’any 2006, fins als 40.400 euros de l’any 2015, amb una tendència creixent i que només es va mantenir estable durant els anys 2011 i 2012, com a conseqüència de les restriccions pressupostàries que van afectar al conjunt de la Generalitat de Catalunya.</w:t>
      </w:r>
    </w:p>
    <w:p w:rsidR="009D4C07" w:rsidRPr="00492C9E" w:rsidRDefault="009D4C07" w:rsidP="009D4C07">
      <w:r w:rsidRPr="00492C9E">
        <w:t>Si només s’analitza el cost anual per intern del capítol 1, obtenim la ràtio dels costos laborals per intern, que ha evolucionat dels 14.000 euros l’any 2006 als 23.800 l’any 2015. El període 2010-2014 s’observa una disminució de la ràtio, i no és fins l’any 2015 que es superen els 21.900 euros de l’any 2009. Tot plegat com a conseqüència de les disminucions en les retribucions de personal que es van aplicar en aquest període.</w:t>
      </w:r>
    </w:p>
    <w:p w:rsidR="009D4C07" w:rsidRPr="00492C9E" w:rsidRDefault="009D4C07" w:rsidP="009D4C07">
      <w:r w:rsidRPr="00492C9E">
        <w:rPr>
          <w:noProof/>
          <w:lang w:eastAsia="ca-ES"/>
        </w:rPr>
        <w:lastRenderedPageBreak/>
        <w:drawing>
          <wp:inline distT="0" distB="0" distL="0" distR="0" wp14:anchorId="51502FBC" wp14:editId="0C442AE6">
            <wp:extent cx="4946400" cy="4082400"/>
            <wp:effectExtent l="0" t="0" r="6985" b="0"/>
            <wp:docPr id="87" name="Imatg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4946400" cy="4082400"/>
                    </a:xfrm>
                    <a:prstGeom prst="rect">
                      <a:avLst/>
                    </a:prstGeom>
                    <a:noFill/>
                    <a:ln>
                      <a:noFill/>
                    </a:ln>
                  </pic:spPr>
                </pic:pic>
              </a:graphicData>
            </a:graphic>
          </wp:inline>
        </w:drawing>
      </w:r>
    </w:p>
    <w:p w:rsidR="009D4C07" w:rsidRPr="00492C9E" w:rsidRDefault="009D4C07" w:rsidP="009D4C07">
      <w:r w:rsidRPr="00492C9E">
        <w:t>En l’anàlisi de la ràtio cost anual per treballador, a més de les consideracions anteriors, cal tenir en compte altres factors directament relacionats amb l’evolució dels sous dels treballadors. L’any 2006 el cost anual era de 60.900 euros, i s’ha anat incrementant fins els 76.300 l’any 2015. Els anys 2011 i 2012 es registren decreixements, i no és fins l’any 2014 que es superen els costos de 72.700 euros de l’any 2010.</w:t>
      </w:r>
    </w:p>
    <w:p w:rsidR="009D4C07" w:rsidRPr="00492C9E" w:rsidRDefault="009D4C07" w:rsidP="009D4C07">
      <w:r w:rsidRPr="00492C9E">
        <w:t>Si s’acota l’anàlisi al cost anual per treballador de capítol 1, s’observa que l’any 2006 s’assolien els 36.300 euros i l’any 2015 es va incrementar fins els 45.000 euros. El cost més elevat es va registrar l’any 2009, amb 47.800 euros. L’any 2012 el cost es va situar per sota dels 47.000 euros. L’any 2013 va tornar a reduir-se fins els 42.800 euros. I els anys 2014 i 2015 els costos es van incrementar lleument. Cal assenyalar que els increments dels costos del període 2006-2009 coincideixen amb l’aplicació del darrer conveni col·lectiu, el qual va suposar la introducció del Programa per a la incentivació de la presència efectiva (PIPE), un complement salarial que es feia efectiu si el treballador mantenia una presència continuada al seu lloc de treball. Aquest complement es va mantenir fins l’any 2012, moment en què va coincidir amb la reducció de la paga extra per a tots els treballadors del sector públic, i va reduir de forma significativa els costos de capítol 1 per treballador. Amb posterioritat, aquest cost es van anar recuperant, a mesura que es recuperaven els nivells retributius anteriors a l’any 2010.</w:t>
      </w:r>
    </w:p>
    <w:p w:rsidR="009D4C07" w:rsidRPr="00492C9E" w:rsidRDefault="009D4C07" w:rsidP="009D4C07">
      <w:r w:rsidRPr="00492C9E">
        <w:t>Si s’analitzen les aplicacions pressupostàries en l’àmbit de l’execució penal vinculades al capítol 2 de despeses corrents de béns i serveis, cinc aplicacions pressupostàries duen a terme més del 88 % del total de la despesa anual:</w:t>
      </w:r>
    </w:p>
    <w:p w:rsidR="009D4C07" w:rsidRPr="00492C9E" w:rsidRDefault="009D4C07" w:rsidP="007A1E03">
      <w:pPr>
        <w:numPr>
          <w:ilvl w:val="0"/>
          <w:numId w:val="92"/>
        </w:numPr>
        <w:contextualSpacing/>
      </w:pPr>
      <w:r w:rsidRPr="00492C9E">
        <w:t>200.0003: Prestacions periòdiques derivades d’altres drets de superfície</w:t>
      </w:r>
    </w:p>
    <w:p w:rsidR="009D4C07" w:rsidRPr="00492C9E" w:rsidRDefault="009D4C07" w:rsidP="007A1E03">
      <w:pPr>
        <w:numPr>
          <w:ilvl w:val="0"/>
          <w:numId w:val="92"/>
        </w:numPr>
        <w:contextualSpacing/>
      </w:pPr>
      <w:r w:rsidRPr="00492C9E">
        <w:t>227.0006: Serveis de menjador (menjador, càtering, restauració centres)</w:t>
      </w:r>
    </w:p>
    <w:p w:rsidR="009D4C07" w:rsidRPr="00492C9E" w:rsidRDefault="009D4C07" w:rsidP="007A1E03">
      <w:pPr>
        <w:numPr>
          <w:ilvl w:val="0"/>
          <w:numId w:val="92"/>
        </w:numPr>
        <w:contextualSpacing/>
      </w:pPr>
      <w:r w:rsidRPr="00492C9E">
        <w:t>221.0001: Aigua i energia (aigua, electricitat i combustible per a calefacció)</w:t>
      </w:r>
    </w:p>
    <w:p w:rsidR="009D4C07" w:rsidRPr="00492C9E" w:rsidRDefault="009D4C07" w:rsidP="007A1E03">
      <w:pPr>
        <w:numPr>
          <w:ilvl w:val="0"/>
          <w:numId w:val="92"/>
        </w:numPr>
        <w:contextualSpacing/>
      </w:pPr>
      <w:r w:rsidRPr="00492C9E">
        <w:lastRenderedPageBreak/>
        <w:t>227.0010: Serveis de suport a centres i a col·lectius (per a la contractació de serveis de millora de l’atenció personalitzada, despeses dels reclusos, atencions als interns)</w:t>
      </w:r>
    </w:p>
    <w:p w:rsidR="009D4C07" w:rsidRPr="00492C9E" w:rsidRDefault="009D4C07" w:rsidP="007A1E03">
      <w:pPr>
        <w:numPr>
          <w:ilvl w:val="0"/>
          <w:numId w:val="92"/>
        </w:numPr>
        <w:contextualSpacing/>
      </w:pPr>
      <w:r w:rsidRPr="00492C9E">
        <w:t>227.0001: Neteja i sanejament</w:t>
      </w:r>
    </w:p>
    <w:p w:rsidR="009D4C07" w:rsidRPr="00492C9E" w:rsidRDefault="009D4C07" w:rsidP="009D4C07"/>
    <w:p w:rsidR="009D4C07" w:rsidRPr="00492C9E" w:rsidRDefault="009D4C07" w:rsidP="009D4C07">
      <w:r w:rsidRPr="00492C9E">
        <w:rPr>
          <w:noProof/>
          <w:lang w:eastAsia="ca-ES"/>
        </w:rPr>
        <w:drawing>
          <wp:inline distT="0" distB="0" distL="0" distR="0" wp14:anchorId="2E2E66BD" wp14:editId="45282871">
            <wp:extent cx="5760085" cy="1399112"/>
            <wp:effectExtent l="0" t="0" r="0" b="0"/>
            <wp:docPr id="88" name="Imatg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760085" cy="1399112"/>
                    </a:xfrm>
                    <a:prstGeom prst="rect">
                      <a:avLst/>
                    </a:prstGeom>
                    <a:noFill/>
                    <a:ln>
                      <a:noFill/>
                    </a:ln>
                  </pic:spPr>
                </pic:pic>
              </a:graphicData>
            </a:graphic>
          </wp:inline>
        </w:drawing>
      </w:r>
    </w:p>
    <w:p w:rsidR="009D4C07" w:rsidRPr="00492C9E" w:rsidRDefault="009D4C07" w:rsidP="009D4C07"/>
    <w:p w:rsidR="009D4C07" w:rsidRPr="00492C9E" w:rsidRDefault="009D4C07" w:rsidP="009D4C07">
      <w:r w:rsidRPr="00492C9E">
        <w:t>L’any 2015, dels més de 126 milions d’euros de despesa executada del capítol 2, 62,5 milions d’euros corresponen a drets de superfície; 23,5 milions d’euros, a serveis de menjador, i 13,3 milions d’euros, a subministraments d’energia. La resta d’aplicacions pressupostàries del capítol 2 no arriben als 15 milions d’euros. Així mateix, veiem que les despeses de les primeres cinc aplicacions representen gairebé el 90 % de la despesa, mentre que la resta d’aplicacions es reparteixen el 10 % restant.</w:t>
      </w:r>
    </w:p>
    <w:p w:rsidR="009D4C07" w:rsidRPr="00492C9E" w:rsidRDefault="009D4C07" w:rsidP="009D4C07"/>
    <w:p w:rsidR="009D4C07" w:rsidRPr="00492C9E" w:rsidRDefault="009D4C07" w:rsidP="0070401F">
      <w:pPr>
        <w:pStyle w:val="Ttol3"/>
      </w:pPr>
      <w:bookmarkStart w:id="690" w:name="_Toc464667914"/>
      <w:bookmarkStart w:id="691" w:name="_Toc465293503"/>
      <w:r w:rsidRPr="00492C9E">
        <w:t>Conceptes pressupostaris més significatius</w:t>
      </w:r>
      <w:bookmarkEnd w:id="690"/>
      <w:bookmarkEnd w:id="691"/>
    </w:p>
    <w:p w:rsidR="009D4C07" w:rsidRPr="00492C9E" w:rsidRDefault="009D4C07" w:rsidP="009D4C07">
      <w:r w:rsidRPr="00492C9E">
        <w:t xml:space="preserve">Per a l’exercici 2015, dels 356,2 milions d’euros destinats a l’execució penal, 210,3 milions d’euros corresponen al capítol 1 de remuneracions de personal i 145,9 milions d’euros, a la resta de despeses. D’aquests últims, un 87 % es destinen al capítol 2, de béns i serveis; un 5 % al capítol 4, de transferències corrents; un 8 % al capítol 6, inversions, i l’1 % restant, entre les transferències de capital del capítol 7 i els actius financers del capítol 8. </w:t>
      </w:r>
    </w:p>
    <w:p w:rsidR="009D4C07" w:rsidRPr="00492C9E" w:rsidRDefault="009D4C07" w:rsidP="009D4C07">
      <w:r w:rsidRPr="00492C9E">
        <w:t>En l’anàlisi</w:t>
      </w:r>
      <w:r w:rsidRPr="00492C9E">
        <w:rPr>
          <w:vertAlign w:val="superscript"/>
        </w:rPr>
        <w:footnoteReference w:id="30"/>
      </w:r>
      <w:r w:rsidRPr="00492C9E">
        <w:t xml:space="preserve"> del pressupost executat l’any 2015, s’observa que al voltant del 50 % de la despesa dels capítols 2 al 8 cobreix les necessitats dels edificis, en especial la partida de lloguers i cànons (amb un 43,6 %), a la qual s’hi haurien d’afegir les inversions en edificis i altres construccions (4,1 %) i conservació i reparació (2,6 %). La major part de la despesa destinada a lloguers i cànons serveix per pagar les prestacions periòdiques derivades dels drets de superfície, uns pagaments que s’analitzen a l’apartat següent.</w:t>
      </w:r>
    </w:p>
    <w:p w:rsidR="009D4C07" w:rsidRPr="00492C9E" w:rsidRDefault="009D4C07" w:rsidP="009D4C07">
      <w:r w:rsidRPr="00492C9E">
        <w:t>Quant a la resta d’articles, hi destaquen materials, subministraments i altres, amb un 42 % del total de les despeses dels capítols 2 al 8. Aquest conjunt de despeses és molt ampli i inclou despeses tant de caràcter recurrent i puntual, costos fixos i variables, i costos directes i indirectes. Però els conceptes més importants són les despeses en serveis de menjador, que suposen el 42 % del total de l’article que serien de caràcter recurrent (ja que es pagarien cada mes) i variable (perquè depenen del nombre d’usuaris), així com les despeses dels subministraments bàsics en aigua i energia, el 20,9 %, que també serien de caràcter recurrent, però amb un component fix.</w:t>
      </w:r>
    </w:p>
    <w:p w:rsidR="009D4C07" w:rsidRPr="00492C9E" w:rsidRDefault="009D4C07" w:rsidP="009D4C07">
      <w:r w:rsidRPr="00492C9E">
        <w:t xml:space="preserve"> </w:t>
      </w:r>
    </w:p>
    <w:p w:rsidR="009D4C07" w:rsidRPr="00492C9E" w:rsidRDefault="009D4C07" w:rsidP="009D4C07">
      <w:r w:rsidRPr="00492C9E">
        <w:rPr>
          <w:noProof/>
          <w:lang w:eastAsia="ca-ES"/>
        </w:rPr>
        <w:lastRenderedPageBreak/>
        <w:drawing>
          <wp:inline distT="0" distB="0" distL="0" distR="0" wp14:anchorId="77136699" wp14:editId="3E53FEDB">
            <wp:extent cx="5760085" cy="3257678"/>
            <wp:effectExtent l="0" t="0" r="0" b="0"/>
            <wp:docPr id="89" name="Imatg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760085" cy="3257678"/>
                    </a:xfrm>
                    <a:prstGeom prst="rect">
                      <a:avLst/>
                    </a:prstGeom>
                    <a:noFill/>
                    <a:ln>
                      <a:noFill/>
                    </a:ln>
                  </pic:spPr>
                </pic:pic>
              </a:graphicData>
            </a:graphic>
          </wp:inline>
        </w:drawing>
      </w:r>
    </w:p>
    <w:p w:rsidR="009D4C07" w:rsidRPr="00492C9E" w:rsidRDefault="009D4C07" w:rsidP="009D4C07"/>
    <w:p w:rsidR="009D4C07" w:rsidRPr="00492C9E" w:rsidRDefault="009D4C07" w:rsidP="0070401F">
      <w:pPr>
        <w:pStyle w:val="Ttol3"/>
      </w:pPr>
      <w:bookmarkStart w:id="692" w:name="_Toc464667915"/>
      <w:bookmarkStart w:id="693" w:name="_Toc465293504"/>
      <w:r w:rsidRPr="00492C9E">
        <w:t>Costos recurrents i altres costos</w:t>
      </w:r>
      <w:bookmarkEnd w:id="692"/>
      <w:bookmarkEnd w:id="693"/>
    </w:p>
    <w:p w:rsidR="009D4C07" w:rsidRPr="00492C9E" w:rsidRDefault="009D4C07" w:rsidP="009D4C07">
      <w:r w:rsidRPr="00492C9E">
        <w:t>Una altra característica determinant del pressupost del Departament de Justícia és l’elevat pes de les despeses recurrents, enteses com aquelles despeses periòdiques que el Departament no pot deixar d’atendre sense eliminar els serveis que financin. En aquesta tipologia de despeses, s’hi inclouen:</w:t>
      </w:r>
    </w:p>
    <w:p w:rsidR="009D4C07" w:rsidRPr="00492C9E" w:rsidRDefault="009D4C07" w:rsidP="007A1E03">
      <w:pPr>
        <w:numPr>
          <w:ilvl w:val="0"/>
          <w:numId w:val="95"/>
        </w:numPr>
        <w:contextualSpacing/>
      </w:pPr>
      <w:r w:rsidRPr="00492C9E">
        <w:t>Les despeses del capítol 1</w:t>
      </w:r>
    </w:p>
    <w:p w:rsidR="009D4C07" w:rsidRPr="00492C9E" w:rsidRDefault="009D4C07" w:rsidP="007A1E03">
      <w:pPr>
        <w:numPr>
          <w:ilvl w:val="0"/>
          <w:numId w:val="95"/>
        </w:numPr>
        <w:contextualSpacing/>
      </w:pPr>
      <w:r w:rsidRPr="00492C9E">
        <w:t>La major part de les despeses del capítol 2, com ara els drets de superfície, la neteja, la seguretat i els serveis de menjador</w:t>
      </w:r>
    </w:p>
    <w:p w:rsidR="009D4C07" w:rsidRPr="00492C9E" w:rsidRDefault="009D4C07" w:rsidP="007A1E03">
      <w:pPr>
        <w:numPr>
          <w:ilvl w:val="0"/>
          <w:numId w:val="95"/>
        </w:numPr>
        <w:contextualSpacing/>
      </w:pPr>
      <w:r w:rsidRPr="00492C9E">
        <w:t>Les despeses del capítol 4 vinculades a subvencions a entitats sense ànim de lucre que col·laboren amb el Departament</w:t>
      </w:r>
    </w:p>
    <w:p w:rsidR="009D4C07" w:rsidRPr="00492C9E" w:rsidRDefault="009D4C07" w:rsidP="007A1E03">
      <w:pPr>
        <w:numPr>
          <w:ilvl w:val="0"/>
          <w:numId w:val="95"/>
        </w:numPr>
        <w:contextualSpacing/>
      </w:pPr>
      <w:r w:rsidRPr="00492C9E">
        <w:t>Les despeses del capítol 6 per als censos emfitèutics (figura similar a la del lloguer).</w:t>
      </w:r>
    </w:p>
    <w:p w:rsidR="009D4C07" w:rsidRPr="00492C9E" w:rsidRDefault="009D4C07" w:rsidP="009D4C07">
      <w:r w:rsidRPr="00492C9E">
        <w:t xml:space="preserve">Per al Departament de Justícia, les despeses recurrents representen un pes molt elevat de la despesa executada de cada exercici, el 97 % l’any 2015. En les polítiques d’execució penal, el pes de les despeses recurrents és similar, el 96 % per a l’any 2015. </w:t>
      </w:r>
    </w:p>
    <w:p w:rsidR="009D4C07" w:rsidRPr="00492C9E" w:rsidRDefault="009D4C07" w:rsidP="009D4C07">
      <w:r w:rsidRPr="00492C9E">
        <w:t xml:space="preserve">L’elevat pes d’aquestes despeses recurrents representa una limitació a l’hora de prendre decisions a curt termini sobre noves prestacions a oferir o millores de serveis que ja es presten. En aquest context, la millora dels serveis requereix un sistema d’anàlisi de costos més rigorós, que permeti anar més enllà del pressupost en el termes que s’estructura en l’actualitat (econòmic, orgànic i funcional). Cal identificar els costos associats a aquests serveis, distingint els directes dels indirectes, els costos totals dels unitaris. </w:t>
      </w:r>
    </w:p>
    <w:p w:rsidR="009D4C07" w:rsidRPr="00492C9E" w:rsidRDefault="009D4C07" w:rsidP="009D4C07">
      <w:r w:rsidRPr="00492C9E">
        <w:t>En estimacions d’aquests tipus de despeses que s’han elaborat des del Departament de Justícia</w:t>
      </w:r>
      <w:r w:rsidRPr="00492C9E">
        <w:rPr>
          <w:vertAlign w:val="superscript"/>
        </w:rPr>
        <w:footnoteReference w:id="31"/>
      </w:r>
      <w:r w:rsidRPr="00492C9E">
        <w:t xml:space="preserve">, s’observen diferències en la tipologia dels serveis i en els costos per intern. S’estima que el 82 % de la despesa d’un centre penitenciari ordinari són costos directes, </w:t>
      </w:r>
      <w:r w:rsidRPr="00492C9E">
        <w:lastRenderedPageBreak/>
        <w:t>vinculats principalment als costos de personal i a serveis propis del centre, mentre que el 18 % restant són indirectes, vinculats principalment al paper que representen els serveis centrals. En canvi, prop del 60 % de la despesa d’un centre penitenciari de règim obert són costos directes, mentre que el 40 % restant són indirectes.</w:t>
      </w:r>
    </w:p>
    <w:p w:rsidR="009D4C07" w:rsidRPr="00492C9E" w:rsidRDefault="009D4C07" w:rsidP="009D4C07">
      <w:r w:rsidRPr="00492C9E">
        <w:t>Aquest tipus d’anàlisi permetria aprofundir en les anàlisis de costos per intern/dia</w:t>
      </w:r>
      <w:r w:rsidRPr="00492C9E">
        <w:rPr>
          <w:vertAlign w:val="superscript"/>
        </w:rPr>
        <w:footnoteReference w:id="32"/>
      </w:r>
      <w:r w:rsidRPr="00492C9E">
        <w:t>. Si tenim en compte exclusivament els costos directes, s’estima que un intern té un cost diari aproximat de 77 euros (80 euros al dia per als interns en centres ordinaris o 32 euros per als interns en centres oberts), però si tenim en compte els costos directes i indirectes el cost se situa en els 88,5 euros.</w:t>
      </w:r>
    </w:p>
    <w:p w:rsidR="009D4C07" w:rsidRPr="00492C9E" w:rsidRDefault="009D4C07" w:rsidP="009D4C07"/>
    <w:p w:rsidR="009D4C07" w:rsidRPr="00492C9E" w:rsidRDefault="009D4C07" w:rsidP="0070401F">
      <w:pPr>
        <w:pStyle w:val="Ttol2"/>
      </w:pPr>
      <w:bookmarkStart w:id="694" w:name="_Toc464667916"/>
      <w:bookmarkStart w:id="695" w:name="_Toc465293505"/>
      <w:r w:rsidRPr="00492C9E">
        <w:t>Sistema de finançament estructurat</w:t>
      </w:r>
      <w:bookmarkEnd w:id="694"/>
      <w:bookmarkEnd w:id="695"/>
    </w:p>
    <w:p w:rsidR="009D4C07" w:rsidRPr="00492C9E" w:rsidRDefault="009D4C07" w:rsidP="009D4C07"/>
    <w:p w:rsidR="009D4C07" w:rsidRPr="00492C9E" w:rsidRDefault="009D4C07" w:rsidP="009D4C07">
      <w:r w:rsidRPr="00492C9E">
        <w:t>L’any 2003, la població penitenciària assolia els màxims històrics. Les taxes de creixement de la població penitenciària anuals eren molt elevades, superiors al 5 %, i el context econòmic i social feia preveure que el creixement es podria mantenir durant un temps.</w:t>
      </w:r>
    </w:p>
    <w:p w:rsidR="009D4C07" w:rsidRPr="00492C9E" w:rsidRDefault="009D4C07" w:rsidP="009D4C07">
      <w:r w:rsidRPr="00492C9E">
        <w:t>Els equipaments penitenciaris necessitaven inversions per poder mantenir unes condicions de serveis òptimes, i el nivell d’ocupació global del sistema s’acostava als límits òptims de seguretat. Es preveia que s’arribaria a la plena ocupació en 2 o 3 anys.</w:t>
      </w:r>
    </w:p>
    <w:p w:rsidR="009D4C07" w:rsidRPr="00492C9E" w:rsidRDefault="009D4C07" w:rsidP="009D4C07">
      <w:r w:rsidRPr="00492C9E">
        <w:t>No obstant això, els gestors dels serveis penitenciaris havien de complir les limitacions imposades al creixement de les inversions directes, representades pel capítol 6. Això va obligar a buscar noves formes de finançament per a les inversions en equipaments, que eren imprescindibles.</w:t>
      </w:r>
    </w:p>
    <w:p w:rsidR="009D4C07" w:rsidRPr="00492C9E" w:rsidRDefault="009D4C07" w:rsidP="009D4C07">
      <w:r w:rsidRPr="00492C9E">
        <w:t>Entre les diverses opcions de finançament estructurat, el Departament de Justícia va optar per utilitzar els drets de superfície. Un sistema, com la resta de sistemes de finançament, que permetia resoldre un problema puntual, diferint les despeses al llarg del temps. Els drets de superfície, a més, permetien que el superficiari assumís el cost de la construcció i del manteniment de l’equipament fins que el Departament finalitzés tots els pagaments. Els pagaments es tramitaven com a despesa de béns i serveis del capítol 2 i, un cop finalitzats els pagaments, l’equipament passava a ser propietat de la Generalitat de Catalunya.</w:t>
      </w:r>
    </w:p>
    <w:p w:rsidR="009D4C07" w:rsidRPr="00492C9E" w:rsidRDefault="009D4C07" w:rsidP="009D4C07"/>
    <w:p w:rsidR="009D4C07" w:rsidRPr="00492C9E" w:rsidRDefault="009D4C07" w:rsidP="0070401F">
      <w:pPr>
        <w:pStyle w:val="Ttol3"/>
      </w:pPr>
      <w:bookmarkStart w:id="696" w:name="_Toc462150220"/>
      <w:bookmarkStart w:id="697" w:name="_Toc464667917"/>
      <w:bookmarkStart w:id="698" w:name="_Toc465293506"/>
      <w:r w:rsidRPr="00492C9E">
        <w:t>Els drets de superfície</w:t>
      </w:r>
      <w:bookmarkEnd w:id="696"/>
      <w:bookmarkEnd w:id="697"/>
      <w:bookmarkEnd w:id="698"/>
    </w:p>
    <w:p w:rsidR="009D4C07" w:rsidRPr="00492C9E" w:rsidRDefault="009D4C07" w:rsidP="009D4C07">
      <w:r w:rsidRPr="00492C9E">
        <w:t>L’any 2007 es van començar a utilitzar els drets de superfície al Departament per a la construcció del Centre Penitenciari Brians 2, en una operació que acabarà l’any 2035 i que tindrà un cost total de 346,7 milions d’euros.</w:t>
      </w:r>
    </w:p>
    <w:p w:rsidR="009D4C07" w:rsidRPr="00492C9E" w:rsidRDefault="009D4C07" w:rsidP="009D4C07">
      <w:r w:rsidRPr="00492C9E">
        <w:t>Des d’aleshores, s’han fet quatre noves operacions vinculades al mòdul de joves del CP Quatre Camins, el CP Lledoners, el CP Puig de les Basses i el CP Mas d’Enric. Això suposa uns compromisos de despeses amb venciments entre els anys 2027 i 2041, que equivaldran a un volum de 1.836 milions d’euros.</w:t>
      </w:r>
    </w:p>
    <w:p w:rsidR="009D4C07" w:rsidRPr="00492C9E" w:rsidRDefault="009D4C07" w:rsidP="009D4C07">
      <w:r w:rsidRPr="00492C9E">
        <w:lastRenderedPageBreak/>
        <w:t>Els pagaments de les cinc operacions van suposar l’any 2015 uns 60,9 milions d’euros, i per al 2016 suposaran uns 62,2 milions d’euros. La previsió per a la pròxima dècada són uns pagaments anuals d’entre 50 i 60 milions d’euros.</w:t>
      </w:r>
    </w:p>
    <w:p w:rsidR="009D4C07" w:rsidRPr="00492C9E" w:rsidRDefault="009D4C07" w:rsidP="009D4C07"/>
    <w:p w:rsidR="009D4C07" w:rsidRPr="00492C9E" w:rsidRDefault="009D4C07" w:rsidP="009D4C07">
      <w:r w:rsidRPr="00492C9E">
        <w:rPr>
          <w:noProof/>
          <w:lang w:eastAsia="ca-ES"/>
        </w:rPr>
        <w:drawing>
          <wp:inline distT="0" distB="0" distL="0" distR="0" wp14:anchorId="17E4CC53" wp14:editId="3F7F45FF">
            <wp:extent cx="5760085" cy="1211821"/>
            <wp:effectExtent l="0" t="0" r="0" b="7620"/>
            <wp:docPr id="90" name="Imatg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760085" cy="1211821"/>
                    </a:xfrm>
                    <a:prstGeom prst="rect">
                      <a:avLst/>
                    </a:prstGeom>
                    <a:noFill/>
                    <a:ln>
                      <a:noFill/>
                    </a:ln>
                  </pic:spPr>
                </pic:pic>
              </a:graphicData>
            </a:graphic>
          </wp:inline>
        </w:drawing>
      </w:r>
    </w:p>
    <w:p w:rsidR="009D4C07" w:rsidRPr="00492C9E" w:rsidRDefault="009D4C07" w:rsidP="009D4C07"/>
    <w:p w:rsidR="009D4C07" w:rsidRPr="00492C9E" w:rsidRDefault="009D4C07" w:rsidP="009D4C07">
      <w:r w:rsidRPr="00492C9E">
        <w:t>Les despeses en drets de superfície són considerats costos enfonsats. Són compromisos passats, que afecten el futur i que el Departament no pot deixar de complir. Per tant, són unes despeses recurrents sobre les quals, actualment, el Departament no pot decidir, que suposen més del 40 % de les despeses dels capítols 2 al 8.</w:t>
      </w:r>
    </w:p>
    <w:p w:rsidR="009D4C07" w:rsidRPr="00492C9E" w:rsidRDefault="009D4C07" w:rsidP="009D4C07">
      <w:r w:rsidRPr="00492C9E">
        <w:t>Ara bé, cal assenyalar que una part de la quota, aproximadament el 12 %, es destina a tasques de manteniment preventiu (6 %) i substitutiu (6 %)</w:t>
      </w:r>
      <w:r w:rsidRPr="00492C9E">
        <w:rPr>
          <w:vertAlign w:val="superscript"/>
        </w:rPr>
        <w:footnoteReference w:id="33"/>
      </w:r>
      <w:r w:rsidRPr="00492C9E">
        <w:t>. Les tasques de manteniment preventiu consisteixen en accions planificades sobre les infraestructures que permeten disminuir l’impacte de les averies i garantir la màxima disponibilitat d’aquestes infraestructures (inclou els ascensors, la climatització, l’alta i la baixa tensió, els sistemes de detecció i d’extinció d’incendis, la desratització i desinsectació, entre d’altres). Mentre que les tasques de manteniment substitutiu es refereix a l’esgotament de la vida útil dels elements que conformen l’edifici i les seves instal·lacions, i cal substituir-los.</w:t>
      </w:r>
    </w:p>
    <w:p w:rsidR="009D4C07" w:rsidRPr="00492C9E" w:rsidRDefault="009D4C07" w:rsidP="009D4C07">
      <w:r w:rsidRPr="00492C9E">
        <w:t>També cal tenir en compte que el pagament dels drets de superfície s’ha dut a terme, en tres exercicis, amb càrrec al pressupost que la Llei de pressupostos assignava a altres unitats directives (fons no departamentals, gestionats pel Departament de la Vicepresidència i d’Economia i Hisenda) i que, durant l’any, es van transferir al Departament de Justícia per al seu pagament. Com a novetat del pressupost per al 2016, al Departament de Justícia s’ha creat el servei pressupostari Gestió de finançaments estructurats (drets de superfície i concessions administratives), dels quals es destinarà a l’execució penal un pressupost inicial de 52,6 milions d’euros.</w:t>
      </w:r>
    </w:p>
    <w:p w:rsidR="009D4C07" w:rsidRPr="00492C9E" w:rsidRDefault="009D4C07" w:rsidP="0070401F">
      <w:pPr>
        <w:pStyle w:val="Ttol2"/>
      </w:pPr>
      <w:bookmarkStart w:id="699" w:name="_Toc464667918"/>
      <w:bookmarkStart w:id="700" w:name="_Toc465293507"/>
      <w:r w:rsidRPr="00492C9E">
        <w:t>L’avaluació de l’impacte econòmic i social</w:t>
      </w:r>
      <w:bookmarkEnd w:id="699"/>
      <w:bookmarkEnd w:id="700"/>
    </w:p>
    <w:p w:rsidR="009D4C07" w:rsidRPr="00492C9E" w:rsidRDefault="009D4C07" w:rsidP="009D4C07">
      <w:r w:rsidRPr="00492C9E">
        <w:t xml:space="preserve">L’actual context en què operen les administracions públiques es caracteritza per un elevat nivell d’exigència per part dels ciutadans, els agents econòmics i les institucions supranacionals. D’una banda, demanden més i millors serveis públics i, de l’altra, també imposen forts requeriments en termes de transparència i rendició de comptes. El nivell de qualitat de la despesa pública, entesa com la preocupació pel volum i pels resultats assolits amb els recursos gastats, esdevé una qüestió que ha de presidir qualsevol procés de decisió de l’acció del Govern. </w:t>
      </w:r>
    </w:p>
    <w:p w:rsidR="009D4C07" w:rsidRPr="00492C9E" w:rsidRDefault="009D4C07" w:rsidP="009D4C07">
      <w:r w:rsidRPr="00492C9E">
        <w:t xml:space="preserve">La presa de decisions públiques s’ha de basar en la millor informació possible per així aconseguir un major impacte en la societat. Amb aquest objectiu, a l’hora de decidir quines activitats o programes es posen en marxa per resoldre un problema o cobrir una necessitat, </w:t>
      </w:r>
      <w:r w:rsidRPr="00492C9E">
        <w:lastRenderedPageBreak/>
        <w:t>no només és necessari saber si la intervenció proporcionarà els resultats que es pretenen, sinó també conèixer el cost d’obtenir aquests resultats. Per tant, és rellevant tenir informació sobre el nivell d’eficiència de les intervencions.</w:t>
      </w:r>
    </w:p>
    <w:p w:rsidR="009D4C07" w:rsidRPr="00492C9E" w:rsidRDefault="009D4C07" w:rsidP="009D4C07">
      <w:r w:rsidRPr="00492C9E">
        <w:t>En aquest context, l’avaluació econòmica és l’eina que proporciona la informació necessària per determinar l’eficiència dels diferents programes. I la seva elaboració requereix informació detallada, robusta i consistent, que es recolzi en hipòtesis contrastades o plausibles plantejades en àmbits acadèmics.</w:t>
      </w:r>
    </w:p>
    <w:p w:rsidR="009D4C07" w:rsidRPr="00492C9E" w:rsidRDefault="009D4C07" w:rsidP="009D4C07">
      <w:r w:rsidRPr="00492C9E">
        <w:t>Avui dia prolifera la literatura sobre l’avaluació d’impacte econòmic i social en àmbits vinculats a la salut i a les infraestructures, però en l’àmbit de l’execució penal la literatura i les experiències són poques. L’avaluació de resultats (com reduir les taxes de reincidència penitenciària, reduir el nombre de delictes, augmentar les possibilitats d’integració de les persones penades o incrementar l’ús de les mesures penals alternatives) té una complexitat enorme, que requereix dades difícils d’obtenir, sovint vinculades a aspectes de la societat que no sabem exactament com mesurar.</w:t>
      </w:r>
    </w:p>
    <w:p w:rsidR="009D4C07" w:rsidRPr="00492C9E" w:rsidRDefault="009D4C07" w:rsidP="009D4C07"/>
    <w:p w:rsidR="009D4C07" w:rsidRPr="00492C9E" w:rsidRDefault="009D4C07" w:rsidP="0070401F">
      <w:pPr>
        <w:pStyle w:val="Ttol3"/>
      </w:pPr>
      <w:bookmarkStart w:id="701" w:name="_Toc464667919"/>
      <w:bookmarkStart w:id="702" w:name="_Toc465293508"/>
      <w:r w:rsidRPr="00492C9E">
        <w:t>Experiència en l’avaluació de l’execució penal</w:t>
      </w:r>
      <w:bookmarkEnd w:id="701"/>
      <w:bookmarkEnd w:id="702"/>
    </w:p>
    <w:p w:rsidR="009D4C07" w:rsidRPr="00492C9E" w:rsidRDefault="009D4C07" w:rsidP="009D4C07">
      <w:r w:rsidRPr="00492C9E">
        <w:t>A Catalunya, s’han fet alguns exercicis, entre els quals destaca la Gui</w:t>
      </w:r>
      <w:r w:rsidR="00490403">
        <w:t>a pràctica 14, elaborada per Ivà</w:t>
      </w:r>
      <w:r w:rsidRPr="00492C9E">
        <w:t>lua en col·laboració amb el Departament de la Vicepresidència i d’Economia i Hisenda i el Departament de Justícia. Aquesta guia presenta de forma introductòria la tècnica aplicada a l’àmbit de l’execució penal i la resta de competències del Departament de Justícia. També es va fer un exercici d’avaluació econòmica en matèria d’execució penal quan es va elaborar el Pla director d’equipaments penitenciaris 2013-2020, com a resultes de l’aplicació de l’article 64.3 de la Llei 26/2010, de règim jurídic i de procediment de les administracions públiques de Catalunya, desenvolupat en l’Acord de Govern de 20 de desembre de 2011.</w:t>
      </w:r>
    </w:p>
    <w:p w:rsidR="009D4C07" w:rsidRPr="00492C9E" w:rsidRDefault="009D4C07" w:rsidP="009D4C07">
      <w:r w:rsidRPr="00492C9E">
        <w:t>En aquestes experiències es conclou que l’execució penal és un servei públic, que s’alimenta del sistema judicial i policial, que és essencial per a la cohesió social d’una comunitat. Dels rols que la societat atorga a l’execució penal, en destaca la custòdia de les persones que no han respectat el marc legal establert i que han provocat una alteració greu de la convivència social i el rol de reinserció i rehabilitació, que ha estat un rol assumit en els darrers anys, especialment als països desenvolupats, en què Catalunya ha estat pionera.</w:t>
      </w:r>
    </w:p>
    <w:p w:rsidR="009D4C07" w:rsidRPr="00492C9E" w:rsidRDefault="009D4C07" w:rsidP="009D4C07">
      <w:r w:rsidRPr="00492C9E">
        <w:t>L’execució penal, des del punt de vista financer, és un servei deficitari i costós. Les persones usuàries no paguen per utilitzar els serveis penitenciaris, no contribueixen en cap de les despeses del sistema i, no obstant això, han d’utilitzar els serveis. La regulació actual preveu que l’Administració pública assumeixi totes les despeses recurrents i variables derivades de l’execució penal, des de l’habilitació dels espais, el manteniment, la neteja, la manutenció, la vigilància i els programes de formació, rehabilitació i reinserció, entre d’altres.</w:t>
      </w:r>
    </w:p>
    <w:p w:rsidR="009D4C07" w:rsidRPr="00492C9E" w:rsidRDefault="009D4C07" w:rsidP="009D4C07">
      <w:r w:rsidRPr="00492C9E">
        <w:t xml:space="preserve">Ara bé, en termes econòmics i socials, l’execució penal té uns beneficis enormes. En el moment que una persona entra a la presó, la societat deixa d’assumir els costos en inseguretat i danys que generen els delictes. En aplicació dels programes de reinserció i rehabilitació, existeix la possibilitat que l’intern treballi, la qual cosa permet generar un ingrés econòmic al reclús i a la societat, la qual compta amb una persona ocupada que contribueix en generar de riquesa. En el procés cap a la llibertat definitiva, el penat pot assolir el tercer grau, amb modalitats com el règim obert o la llibertat condicional, que redueixen els costos recurrent a les presons. Amb l’ús de les mesures penals alternatives, les quals no sempre comporten l’ingrés a la presó, es redueixen notablement els costos vinculats als centres penitenciaris, alhora que la persona penada, amb els treballs en benefici de la comunitat o les obligacions de substitució, pot contribuir a restituir part del dany causat a la societat. Amb </w:t>
      </w:r>
      <w:r w:rsidRPr="00492C9E">
        <w:lastRenderedPageBreak/>
        <w:t>la llibertat definitiva, si s’ha assolit la plena reinserció social, la societat disposa d’una persona que ha passat de generar una despesa social a generar beneficis socials.</w:t>
      </w:r>
    </w:p>
    <w:p w:rsidR="009D4C07" w:rsidRPr="00492C9E" w:rsidRDefault="009D4C07" w:rsidP="009D4C07">
      <w:r w:rsidRPr="00492C9E">
        <w:t>Per tant, és essencial entendre i desgranar tant els costos com els beneficis socials de l’execució penal per poder orientar correctament els objectius polítics i explicar amb solidesa les mesures que es desenvolupen. També cal avaluar el grau d’assoliment dels objectius que s’assigna a l’execució penal tant des del punt de vista de control, com de reinserció i rehabilitació, malgrat que els serveis penitenciaris no siguin els únics responsables de la completa reinserció de les persones penades.</w:t>
      </w:r>
    </w:p>
    <w:p w:rsidR="009D4C07" w:rsidRPr="00492C9E" w:rsidRDefault="009D4C07" w:rsidP="009D4C07">
      <w:r w:rsidRPr="00492C9E">
        <w:t>En un exercici orientatiu del que es necessita per avaluar l’impacte econòmic i social de l’execució penal, el quadre següent identifica els principals conceptes teòrics que caldria tenir en compte, tal com es recull en la poca literatura internacional existent.</w:t>
      </w:r>
    </w:p>
    <w:p w:rsidR="00507FE7" w:rsidRDefault="00507FE7" w:rsidP="00A41348">
      <w:pPr>
        <w:rPr>
          <w:rFonts w:cs="Arial"/>
          <w:b/>
          <w:sz w:val="24"/>
          <w:szCs w:val="24"/>
        </w:rPr>
      </w:pPr>
    </w:p>
    <w:p w:rsidR="00507FE7" w:rsidRDefault="00507FE7" w:rsidP="0070401F">
      <w:pPr>
        <w:pStyle w:val="Ttol1"/>
      </w:pPr>
      <w:bookmarkStart w:id="703" w:name="_Toc464685761"/>
      <w:bookmarkStart w:id="704" w:name="_Toc465293509"/>
      <w:r w:rsidRPr="002A4649">
        <w:lastRenderedPageBreak/>
        <w:t xml:space="preserve">Les mesures penals </w:t>
      </w:r>
      <w:r w:rsidRPr="00507FE7">
        <w:t>alternatives</w:t>
      </w:r>
      <w:bookmarkEnd w:id="703"/>
      <w:bookmarkEnd w:id="704"/>
    </w:p>
    <w:p w:rsidR="00507FE7" w:rsidRPr="00507FE7" w:rsidRDefault="00507FE7" w:rsidP="00507FE7"/>
    <w:p w:rsidR="00507FE7" w:rsidRPr="000E6719" w:rsidRDefault="00507FE7" w:rsidP="0070401F">
      <w:pPr>
        <w:pStyle w:val="Ttol2"/>
      </w:pPr>
      <w:bookmarkStart w:id="705" w:name="_Toc462140444"/>
      <w:bookmarkStart w:id="706" w:name="_Toc464685762"/>
      <w:bookmarkStart w:id="707" w:name="_Toc465293510"/>
      <w:r w:rsidRPr="000E6719">
        <w:t>Evolució històrica</w:t>
      </w:r>
      <w:bookmarkEnd w:id="705"/>
      <w:bookmarkEnd w:id="706"/>
      <w:bookmarkEnd w:id="707"/>
    </w:p>
    <w:p w:rsidR="00507FE7" w:rsidRPr="000E6719" w:rsidRDefault="00507FE7" w:rsidP="00A41348">
      <w:pPr>
        <w:rPr>
          <w:rFonts w:cs="Arial"/>
        </w:rPr>
      </w:pPr>
      <w:r w:rsidRPr="000E6719">
        <w:rPr>
          <w:rFonts w:cs="Arial"/>
        </w:rPr>
        <w:t>A Catalunya, com a la resta de l’</w:t>
      </w:r>
      <w:r>
        <w:rPr>
          <w:rFonts w:cs="Arial"/>
        </w:rPr>
        <w:t>E</w:t>
      </w:r>
      <w:r w:rsidRPr="000E6719">
        <w:rPr>
          <w:rFonts w:cs="Arial"/>
        </w:rPr>
        <w:t>stat espanyol, l</w:t>
      </w:r>
      <w:r>
        <w:rPr>
          <w:rFonts w:cs="Arial"/>
        </w:rPr>
        <w:t>e</w:t>
      </w:r>
      <w:r w:rsidRPr="000E6719">
        <w:rPr>
          <w:rFonts w:cs="Arial"/>
        </w:rPr>
        <w:t xml:space="preserve">s primeres lleis orientades a la supervisió dels penats </w:t>
      </w:r>
      <w:r>
        <w:rPr>
          <w:rFonts w:cs="Arial"/>
        </w:rPr>
        <w:t>per</w:t>
      </w:r>
      <w:r w:rsidRPr="000E6719">
        <w:rPr>
          <w:rFonts w:cs="Arial"/>
        </w:rPr>
        <w:t xml:space="preserve"> complir en la comunitat daten de 1908 (condemna condicional), 1917 (llibertat condicional). Durant molts anys, però, els mecanismes i recursos disponibles per a la implementació d’aquestes normes en tot allò que fa referència a l’execució de mesures dins la comunitat va ser de caràcter molt residual i, en la seva major part, deixat en mans de la caritat pública. D’altra banda</w:t>
      </w:r>
      <w:r>
        <w:rPr>
          <w:rFonts w:cs="Arial"/>
        </w:rPr>
        <w:t>,</w:t>
      </w:r>
      <w:r w:rsidRPr="000E6719">
        <w:rPr>
          <w:rFonts w:cs="Arial"/>
        </w:rPr>
        <w:t xml:space="preserve"> </w:t>
      </w:r>
      <w:r>
        <w:rPr>
          <w:rFonts w:cs="Arial"/>
        </w:rPr>
        <w:t>el llarg</w:t>
      </w:r>
      <w:r w:rsidRPr="000E6719">
        <w:rPr>
          <w:rFonts w:cs="Arial"/>
        </w:rPr>
        <w:t xml:space="preserve"> període de la dictadura militar es va caracteritzar per l’absència de polítiques públiques i de suport material per part de les institucions i els poders de l’Estat</w:t>
      </w:r>
      <w:r>
        <w:rPr>
          <w:rFonts w:cs="Arial"/>
        </w:rPr>
        <w:t>,</w:t>
      </w:r>
      <w:r w:rsidRPr="000E6719">
        <w:rPr>
          <w:rFonts w:cs="Arial"/>
        </w:rPr>
        <w:t xml:space="preserve"> que no van amagar mai la seva orientació clara envers la retribució i el correccionalisme com a eixos centrals de la resposta penal.</w:t>
      </w:r>
    </w:p>
    <w:p w:rsidR="00507FE7" w:rsidRPr="000E6719" w:rsidRDefault="00507FE7" w:rsidP="00A41348">
      <w:pPr>
        <w:rPr>
          <w:rFonts w:cs="Arial"/>
        </w:rPr>
      </w:pPr>
      <w:r w:rsidRPr="000E6719">
        <w:rPr>
          <w:rFonts w:cs="Arial"/>
        </w:rPr>
        <w:t xml:space="preserve">Un cop recuperades les llibertats democràtiques, Catalunya va ser la primera </w:t>
      </w:r>
      <w:r>
        <w:rPr>
          <w:rFonts w:cs="Arial"/>
        </w:rPr>
        <w:t>c</w:t>
      </w:r>
      <w:r w:rsidRPr="000E6719">
        <w:rPr>
          <w:rFonts w:cs="Arial"/>
        </w:rPr>
        <w:t xml:space="preserve">omunitat </w:t>
      </w:r>
      <w:r>
        <w:rPr>
          <w:rFonts w:cs="Arial"/>
        </w:rPr>
        <w:t>a</w:t>
      </w:r>
      <w:r w:rsidRPr="000E6719">
        <w:rPr>
          <w:rFonts w:cs="Arial"/>
        </w:rPr>
        <w:t xml:space="preserve">utònoma de l’Estat espanyol </w:t>
      </w:r>
      <w:r>
        <w:rPr>
          <w:rFonts w:cs="Arial"/>
        </w:rPr>
        <w:t>a</w:t>
      </w:r>
      <w:r w:rsidRPr="000E6719">
        <w:rPr>
          <w:rFonts w:cs="Arial"/>
        </w:rPr>
        <w:t xml:space="preserve"> rebre les competències en matèria de protecció i tutela de menors, l’any 1981. L’any 1984 es van fer efectius els traspassos de l’Estat a la Generalitat de Catalunya en matèria d’institucions penitenci</w:t>
      </w:r>
      <w:r>
        <w:rPr>
          <w:rFonts w:cs="Arial"/>
        </w:rPr>
        <w:t>à</w:t>
      </w:r>
      <w:r w:rsidRPr="000E6719">
        <w:rPr>
          <w:rFonts w:cs="Arial"/>
        </w:rPr>
        <w:t>ries</w:t>
      </w:r>
      <w:r w:rsidRPr="000E6719">
        <w:rPr>
          <w:rFonts w:cs="Arial"/>
          <w:vertAlign w:val="superscript"/>
        </w:rPr>
        <w:footnoteReference w:id="34"/>
      </w:r>
      <w:r w:rsidRPr="000E6719">
        <w:rPr>
          <w:rFonts w:cs="Arial"/>
        </w:rPr>
        <w:t>, amb la qual cosa el govern català va passar a fer-se càrrec de la totalitat de competències pel que fa a l’organització dels serveis d’execució de sancions penals</w:t>
      </w:r>
      <w:r>
        <w:rPr>
          <w:rFonts w:cs="Arial"/>
        </w:rPr>
        <w:t>,</w:t>
      </w:r>
      <w:r w:rsidRPr="000E6719">
        <w:rPr>
          <w:rFonts w:cs="Arial"/>
        </w:rPr>
        <w:t xml:space="preserve"> amb la possibilitat de poder desenvolupar polítiques integrals m</w:t>
      </w:r>
      <w:r>
        <w:rPr>
          <w:rFonts w:cs="Arial"/>
        </w:rPr>
        <w:t>é</w:t>
      </w:r>
      <w:r w:rsidRPr="000E6719">
        <w:rPr>
          <w:rFonts w:cs="Arial"/>
        </w:rPr>
        <w:t xml:space="preserve">s connectades amb la realitat social catalana. </w:t>
      </w:r>
    </w:p>
    <w:p w:rsidR="00507FE7" w:rsidRPr="000E6719" w:rsidRDefault="00507FE7" w:rsidP="00A41348">
      <w:pPr>
        <w:rPr>
          <w:rFonts w:cs="Arial"/>
        </w:rPr>
      </w:pPr>
      <w:r w:rsidRPr="000E6719">
        <w:rPr>
          <w:rFonts w:cs="Arial"/>
        </w:rPr>
        <w:t xml:space="preserve">Els traspassos van  permetre definir un marc d’actuació política i administrativa un del </w:t>
      </w:r>
      <w:r>
        <w:rPr>
          <w:rFonts w:cs="Arial"/>
        </w:rPr>
        <w:t>p</w:t>
      </w:r>
      <w:r w:rsidRPr="000E6719">
        <w:rPr>
          <w:rFonts w:cs="Arial"/>
        </w:rPr>
        <w:t>rincipis b</w:t>
      </w:r>
      <w:r>
        <w:rPr>
          <w:rFonts w:cs="Arial"/>
        </w:rPr>
        <w:t>à</w:t>
      </w:r>
      <w:r w:rsidRPr="000E6719">
        <w:rPr>
          <w:rFonts w:cs="Arial"/>
        </w:rPr>
        <w:t xml:space="preserve">sics </w:t>
      </w:r>
      <w:r>
        <w:rPr>
          <w:rFonts w:cs="Arial"/>
        </w:rPr>
        <w:t xml:space="preserve">del qual </w:t>
      </w:r>
      <w:r w:rsidRPr="000E6719">
        <w:rPr>
          <w:rFonts w:cs="Arial"/>
        </w:rPr>
        <w:t xml:space="preserve">va ser prioritzar sempre les actuacions en el propi entorn i, en conseqüència, crear serveis especialitzats per </w:t>
      </w:r>
      <w:r>
        <w:rPr>
          <w:rFonts w:cs="Arial"/>
        </w:rPr>
        <w:t xml:space="preserve">a </w:t>
      </w:r>
      <w:r w:rsidRPr="000E6719">
        <w:rPr>
          <w:rFonts w:cs="Arial"/>
        </w:rPr>
        <w:t xml:space="preserve">l’execució de mesures dins  la comunitat </w:t>
      </w:r>
      <w:r>
        <w:rPr>
          <w:rFonts w:cs="Arial"/>
        </w:rPr>
        <w:t>i l’</w:t>
      </w:r>
      <w:r w:rsidRPr="000E6719">
        <w:rPr>
          <w:rFonts w:cs="Arial"/>
        </w:rPr>
        <w:t>elaboració d’informes psicosocials en la fase presencial.</w:t>
      </w:r>
    </w:p>
    <w:p w:rsidR="00507FE7" w:rsidRPr="000E6719" w:rsidRDefault="00507FE7" w:rsidP="00A41348">
      <w:pPr>
        <w:rPr>
          <w:rFonts w:cs="Arial"/>
          <w:i/>
          <w:sz w:val="20"/>
          <w:szCs w:val="20"/>
          <w:u w:val="single"/>
        </w:rPr>
      </w:pPr>
    </w:p>
    <w:p w:rsidR="00124A65" w:rsidRDefault="00507FE7" w:rsidP="00124A65">
      <w:pPr>
        <w:keepNext/>
      </w:pPr>
      <w:bookmarkStart w:id="708" w:name="_Toc462140445"/>
      <w:r w:rsidRPr="000E6719">
        <w:rPr>
          <w:rFonts w:cs="Arial"/>
          <w:b/>
          <w:noProof/>
          <w:sz w:val="28"/>
          <w:szCs w:val="28"/>
          <w:lang w:eastAsia="ca-ES"/>
        </w:rPr>
        <w:drawing>
          <wp:inline distT="0" distB="0" distL="0" distR="0" wp14:anchorId="6F68EAB6" wp14:editId="27012D92">
            <wp:extent cx="5734050" cy="1800230"/>
            <wp:effectExtent l="0" t="0" r="0" b="9525"/>
            <wp:docPr id="52" name="Imat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740554" cy="1802272"/>
                    </a:xfrm>
                    <a:prstGeom prst="rect">
                      <a:avLst/>
                    </a:prstGeom>
                    <a:noFill/>
                  </pic:spPr>
                </pic:pic>
              </a:graphicData>
            </a:graphic>
          </wp:inline>
        </w:drawing>
      </w:r>
    </w:p>
    <w:p w:rsidR="00507FE7" w:rsidRPr="000E6719" w:rsidRDefault="00124A65" w:rsidP="00124A65">
      <w:pPr>
        <w:pStyle w:val="Llegenda"/>
        <w:rPr>
          <w:rFonts w:cs="Arial"/>
          <w:b w:val="0"/>
          <w:sz w:val="28"/>
          <w:szCs w:val="28"/>
        </w:rPr>
      </w:pPr>
      <w:bookmarkStart w:id="709" w:name="_Toc465293875"/>
      <w:r>
        <w:t xml:space="preserve">Gràfic </w:t>
      </w:r>
      <w:r w:rsidR="00DB496B">
        <w:fldChar w:fldCharType="begin"/>
      </w:r>
      <w:r w:rsidR="00DB496B">
        <w:instrText xml:space="preserve"> SEQ Il·lustració \* ARABIC </w:instrText>
      </w:r>
      <w:r w:rsidR="00DB496B">
        <w:fldChar w:fldCharType="separate"/>
      </w:r>
      <w:r w:rsidR="00C952DF">
        <w:rPr>
          <w:noProof/>
        </w:rPr>
        <w:t>68</w:t>
      </w:r>
      <w:r w:rsidR="00DB496B">
        <w:rPr>
          <w:noProof/>
        </w:rPr>
        <w:fldChar w:fldCharType="end"/>
      </w:r>
      <w:r>
        <w:t xml:space="preserve">. </w:t>
      </w:r>
      <w:r w:rsidRPr="007D4D10">
        <w:t>Població penada a presó i població sota MPA el darrer dia de l'any</w:t>
      </w:r>
      <w:bookmarkEnd w:id="709"/>
    </w:p>
    <w:p w:rsidR="00507FE7" w:rsidRPr="000E6719" w:rsidRDefault="00507FE7" w:rsidP="00A41348">
      <w:pPr>
        <w:rPr>
          <w:rFonts w:cs="Arial"/>
          <w:b/>
          <w:sz w:val="28"/>
          <w:szCs w:val="28"/>
        </w:rPr>
      </w:pPr>
    </w:p>
    <w:p w:rsidR="00507FE7" w:rsidRPr="009C10E8" w:rsidRDefault="00507FE7" w:rsidP="0070401F">
      <w:pPr>
        <w:pStyle w:val="Ttol2"/>
      </w:pPr>
      <w:bookmarkStart w:id="710" w:name="_Toc464685763"/>
      <w:bookmarkStart w:id="711" w:name="_Toc465293511"/>
      <w:r w:rsidRPr="009C10E8">
        <w:t>Les principals actuacions</w:t>
      </w:r>
      <w:bookmarkEnd w:id="708"/>
      <w:bookmarkEnd w:id="710"/>
      <w:bookmarkEnd w:id="711"/>
      <w:r w:rsidRPr="009C10E8">
        <w:t xml:space="preserve"> </w:t>
      </w:r>
    </w:p>
    <w:p w:rsidR="00507FE7" w:rsidRPr="000E6719" w:rsidRDefault="00507FE7" w:rsidP="00A41348">
      <w:pPr>
        <w:rPr>
          <w:rFonts w:cs="Arial"/>
        </w:rPr>
      </w:pPr>
      <w:r>
        <w:rPr>
          <w:rFonts w:cs="Arial"/>
        </w:rPr>
        <w:t xml:space="preserve">Durant </w:t>
      </w:r>
      <w:r w:rsidRPr="000E6719">
        <w:rPr>
          <w:rFonts w:cs="Arial"/>
        </w:rPr>
        <w:t xml:space="preserve">aquests darrers 25 anys hi ha hagut diversos desenvolupaments cronològics que poden explicar els canvis a Catalunya en matèria d’execució penal i de política criminal. Les </w:t>
      </w:r>
      <w:r w:rsidRPr="000E6719">
        <w:rPr>
          <w:rFonts w:cs="Arial"/>
        </w:rPr>
        <w:lastRenderedPageBreak/>
        <w:t xml:space="preserve">dues dates principals, </w:t>
      </w:r>
      <w:r>
        <w:rPr>
          <w:rFonts w:cs="Arial"/>
        </w:rPr>
        <w:t>ja esmentades,</w:t>
      </w:r>
      <w:r w:rsidRPr="000E6719">
        <w:rPr>
          <w:rFonts w:cs="Arial"/>
        </w:rPr>
        <w:t xml:space="preserve"> són les dels respectius traspassos de competències de l’Estat a la Generalitat de Catalunya, competències que han estat sempre assigna</w:t>
      </w:r>
      <w:r>
        <w:rPr>
          <w:rFonts w:cs="Arial"/>
        </w:rPr>
        <w:t>des al Departament de Justícia.</w:t>
      </w:r>
    </w:p>
    <w:p w:rsidR="00507FE7" w:rsidRPr="000E6719" w:rsidRDefault="00507FE7" w:rsidP="00A41348">
      <w:pPr>
        <w:rPr>
          <w:rFonts w:cs="Arial"/>
        </w:rPr>
      </w:pPr>
      <w:r w:rsidRPr="000E6719">
        <w:rPr>
          <w:rFonts w:cs="Arial"/>
        </w:rPr>
        <w:t xml:space="preserve">El període comprés entre 1981 i 1985 </w:t>
      </w:r>
      <w:r>
        <w:rPr>
          <w:rFonts w:cs="Arial"/>
        </w:rPr>
        <w:t>correspon als</w:t>
      </w:r>
      <w:r w:rsidRPr="000E6719">
        <w:rPr>
          <w:rFonts w:cs="Arial"/>
        </w:rPr>
        <w:t xml:space="preserve"> anys de creació de serveis professionals especialitzats de titularitat p</w:t>
      </w:r>
      <w:r>
        <w:rPr>
          <w:rFonts w:cs="Arial"/>
        </w:rPr>
        <w:t>ú</w:t>
      </w:r>
      <w:r w:rsidRPr="000E6719">
        <w:rPr>
          <w:rFonts w:cs="Arial"/>
        </w:rPr>
        <w:t>blica, de negociació d’acords de coordinació interdepartamental  i de col·laboració amb les entitats locals i les entitats ciutadanes per tal d’incloure la prevenció de la delinqüència i la reinserció social dins el marc general de les polítiques de desenvolupament econòmic i social que tot just començaven a ser implementades al país.</w:t>
      </w:r>
    </w:p>
    <w:p w:rsidR="00507FE7" w:rsidRPr="000E6719" w:rsidRDefault="00507FE7" w:rsidP="00A41348">
      <w:pPr>
        <w:rPr>
          <w:rFonts w:cs="Arial"/>
        </w:rPr>
      </w:pPr>
      <w:r w:rsidRPr="000E6719">
        <w:rPr>
          <w:rFonts w:cs="Arial"/>
        </w:rPr>
        <w:t>La justícia de menors a Catalunya va fer e</w:t>
      </w:r>
      <w:r>
        <w:rPr>
          <w:rFonts w:cs="Arial"/>
        </w:rPr>
        <w:t>n el</w:t>
      </w:r>
      <w:r w:rsidRPr="000E6719">
        <w:rPr>
          <w:rFonts w:cs="Arial"/>
        </w:rPr>
        <w:t xml:space="preserve"> període 1985/1990 la transició des d’un model protector a un model educatiu i de responsabilitat. Dos factors determinants van ser la </w:t>
      </w:r>
      <w:r>
        <w:rPr>
          <w:rFonts w:cs="Arial"/>
        </w:rPr>
        <w:t xml:space="preserve">Llei orgànica </w:t>
      </w:r>
      <w:r w:rsidRPr="000E6719">
        <w:rPr>
          <w:rFonts w:cs="Arial"/>
        </w:rPr>
        <w:t xml:space="preserve">del </w:t>
      </w:r>
      <w:r>
        <w:rPr>
          <w:rFonts w:cs="Arial"/>
        </w:rPr>
        <w:t>p</w:t>
      </w:r>
      <w:r w:rsidRPr="000E6719">
        <w:rPr>
          <w:rFonts w:cs="Arial"/>
        </w:rPr>
        <w:t xml:space="preserve">oder </w:t>
      </w:r>
      <w:r>
        <w:rPr>
          <w:rFonts w:cs="Arial"/>
        </w:rPr>
        <w:t>j</w:t>
      </w:r>
      <w:r w:rsidRPr="000E6719">
        <w:rPr>
          <w:rFonts w:cs="Arial"/>
        </w:rPr>
        <w:t>udicial</w:t>
      </w:r>
      <w:r>
        <w:rPr>
          <w:rFonts w:cs="Arial"/>
        </w:rPr>
        <w:t>,</w:t>
      </w:r>
      <w:r w:rsidRPr="000E6719">
        <w:rPr>
          <w:rFonts w:cs="Arial"/>
        </w:rPr>
        <w:t xml:space="preserve"> </w:t>
      </w:r>
      <w:r>
        <w:rPr>
          <w:rFonts w:cs="Arial"/>
        </w:rPr>
        <w:t xml:space="preserve">l’any 1985, </w:t>
      </w:r>
      <w:r w:rsidRPr="000E6719">
        <w:rPr>
          <w:rFonts w:cs="Arial"/>
        </w:rPr>
        <w:t xml:space="preserve">que va fer que els antics </w:t>
      </w:r>
      <w:r>
        <w:rPr>
          <w:rFonts w:cs="Arial"/>
        </w:rPr>
        <w:t>t</w:t>
      </w:r>
      <w:r w:rsidRPr="000E6719">
        <w:rPr>
          <w:rFonts w:cs="Arial"/>
        </w:rPr>
        <w:t xml:space="preserve">ribunals </w:t>
      </w:r>
      <w:r>
        <w:rPr>
          <w:rFonts w:cs="Arial"/>
        </w:rPr>
        <w:t>t</w:t>
      </w:r>
      <w:r w:rsidRPr="000E6719">
        <w:rPr>
          <w:rFonts w:cs="Arial"/>
        </w:rPr>
        <w:t xml:space="preserve">utelars de </w:t>
      </w:r>
      <w:r>
        <w:rPr>
          <w:rFonts w:cs="Arial"/>
        </w:rPr>
        <w:t>m</w:t>
      </w:r>
      <w:r w:rsidRPr="000E6719">
        <w:rPr>
          <w:rFonts w:cs="Arial"/>
        </w:rPr>
        <w:t>enors s’integressin novament dins l’estructura del poder judicial</w:t>
      </w:r>
      <w:r>
        <w:rPr>
          <w:rFonts w:cs="Arial"/>
        </w:rPr>
        <w:t>,</w:t>
      </w:r>
      <w:r w:rsidRPr="000E6719">
        <w:rPr>
          <w:rFonts w:cs="Arial"/>
          <w:vertAlign w:val="superscript"/>
        </w:rPr>
        <w:footnoteReference w:id="35"/>
      </w:r>
      <w:r w:rsidRPr="000E6719">
        <w:rPr>
          <w:rFonts w:cs="Arial"/>
        </w:rPr>
        <w:t xml:space="preserve"> i, dos anys més tard, el 1987,  una  modificació del Codi </w:t>
      </w:r>
      <w:r>
        <w:rPr>
          <w:rFonts w:cs="Arial"/>
        </w:rPr>
        <w:t>c</w:t>
      </w:r>
      <w:r w:rsidRPr="000E6719">
        <w:rPr>
          <w:rFonts w:cs="Arial"/>
        </w:rPr>
        <w:t xml:space="preserve">ivil </w:t>
      </w:r>
      <w:r>
        <w:rPr>
          <w:rFonts w:cs="Arial"/>
        </w:rPr>
        <w:t xml:space="preserve">per la qual </w:t>
      </w:r>
      <w:r w:rsidRPr="000E6719">
        <w:rPr>
          <w:rFonts w:cs="Arial"/>
        </w:rPr>
        <w:t xml:space="preserve">la protecció de menors va passar a ser competència de l’administració i els </w:t>
      </w:r>
      <w:r>
        <w:rPr>
          <w:rFonts w:cs="Arial"/>
        </w:rPr>
        <w:t>j</w:t>
      </w:r>
      <w:r w:rsidRPr="000E6719">
        <w:rPr>
          <w:rFonts w:cs="Arial"/>
        </w:rPr>
        <w:t xml:space="preserve">utjats de menors van passar a ser competents únicament en matèria d’enjudiciament de menors per la comissió de delictes o faltes tipificades en el Codi </w:t>
      </w:r>
      <w:r>
        <w:rPr>
          <w:rFonts w:cs="Arial"/>
        </w:rPr>
        <w:t>p</w:t>
      </w:r>
      <w:r w:rsidRPr="000E6719">
        <w:rPr>
          <w:rFonts w:cs="Arial"/>
        </w:rPr>
        <w:t>enal.</w:t>
      </w:r>
    </w:p>
    <w:p w:rsidR="00507FE7" w:rsidRPr="000E6719" w:rsidRDefault="00507FE7" w:rsidP="00A41348">
      <w:pPr>
        <w:rPr>
          <w:rFonts w:cs="Arial"/>
        </w:rPr>
      </w:pPr>
      <w:r w:rsidRPr="000E6719">
        <w:rPr>
          <w:rFonts w:cs="Arial"/>
        </w:rPr>
        <w:t>En l’àmbit de la jurisdicció penal d’adults</w:t>
      </w:r>
      <w:r>
        <w:rPr>
          <w:rFonts w:cs="Arial"/>
        </w:rPr>
        <w:t>,</w:t>
      </w:r>
      <w:r w:rsidRPr="000E6719">
        <w:rPr>
          <w:rFonts w:cs="Arial"/>
        </w:rPr>
        <w:t xml:space="preserve"> el Departament de Justícia va crear, aquell mateix any, els Serveis d’Assistència i Orientació Social</w:t>
      </w:r>
      <w:r>
        <w:rPr>
          <w:rFonts w:cs="Arial"/>
        </w:rPr>
        <w:t>,</w:t>
      </w:r>
      <w:r w:rsidRPr="000E6719">
        <w:rPr>
          <w:rFonts w:cs="Arial"/>
        </w:rPr>
        <w:t xml:space="preserve"> amb la finalitat d’elaborar informes psicosocials a petició dels jutges en la fase presencial. </w:t>
      </w:r>
    </w:p>
    <w:p w:rsidR="00507FE7" w:rsidRPr="000E6719" w:rsidRDefault="00507FE7" w:rsidP="00A41348">
      <w:pPr>
        <w:rPr>
          <w:rFonts w:cs="Arial"/>
        </w:rPr>
      </w:pPr>
      <w:r w:rsidRPr="000E6719">
        <w:rPr>
          <w:rFonts w:cs="Arial"/>
        </w:rPr>
        <w:t>L’any 1990 es va posar en marxa el programa de mediació entre ofensor i víctima dins la jurisdicció de menors a Catalunya</w:t>
      </w:r>
      <w:r>
        <w:rPr>
          <w:rFonts w:cs="Arial"/>
        </w:rPr>
        <w:t>,</w:t>
      </w:r>
      <w:r w:rsidRPr="000E6719">
        <w:rPr>
          <w:rFonts w:cs="Arial"/>
        </w:rPr>
        <w:t xml:space="preserve"> que va ser el primer programa de mediació penal que es posà en marxa a tot l’Estat. L’any 1992, mitjançant la </w:t>
      </w:r>
      <w:r>
        <w:rPr>
          <w:rFonts w:cs="Arial"/>
        </w:rPr>
        <w:t xml:space="preserve">Llei orgànica </w:t>
      </w:r>
      <w:r w:rsidRPr="000E6719">
        <w:rPr>
          <w:rFonts w:cs="Arial"/>
        </w:rPr>
        <w:t>4/92</w:t>
      </w:r>
      <w:r>
        <w:rPr>
          <w:rFonts w:cs="Arial"/>
        </w:rPr>
        <w:t>,</w:t>
      </w:r>
      <w:r w:rsidRPr="000E6719">
        <w:rPr>
          <w:rFonts w:cs="Arial"/>
        </w:rPr>
        <w:t xml:space="preserve"> reguladora de l</w:t>
      </w:r>
      <w:r>
        <w:rPr>
          <w:rFonts w:cs="Arial"/>
        </w:rPr>
        <w:t>es</w:t>
      </w:r>
      <w:r w:rsidRPr="000E6719">
        <w:rPr>
          <w:rFonts w:cs="Arial"/>
        </w:rPr>
        <w:t xml:space="preserve"> competències i el procediment dels </w:t>
      </w:r>
      <w:r>
        <w:rPr>
          <w:rFonts w:cs="Arial"/>
        </w:rPr>
        <w:t>j</w:t>
      </w:r>
      <w:r w:rsidRPr="000E6719">
        <w:rPr>
          <w:rFonts w:cs="Arial"/>
        </w:rPr>
        <w:t xml:space="preserve">utjats de </w:t>
      </w:r>
      <w:r>
        <w:rPr>
          <w:rFonts w:cs="Arial"/>
        </w:rPr>
        <w:t>m</w:t>
      </w:r>
      <w:r w:rsidRPr="000E6719">
        <w:rPr>
          <w:rFonts w:cs="Arial"/>
        </w:rPr>
        <w:t xml:space="preserve">enors, es van modificar diversos articles de l’antiga legislació amb l’objectiu de retornar als menors els drets i garanties judicials i, alhora, introduir </w:t>
      </w:r>
      <w:r>
        <w:rPr>
          <w:rFonts w:cs="Arial"/>
        </w:rPr>
        <w:t>més</w:t>
      </w:r>
      <w:r w:rsidRPr="000E6719">
        <w:rPr>
          <w:rFonts w:cs="Arial"/>
        </w:rPr>
        <w:t xml:space="preserve"> diversificació </w:t>
      </w:r>
      <w:r>
        <w:rPr>
          <w:rFonts w:cs="Arial"/>
        </w:rPr>
        <w:t xml:space="preserve">en </w:t>
      </w:r>
      <w:r w:rsidRPr="000E6719">
        <w:rPr>
          <w:rFonts w:cs="Arial"/>
        </w:rPr>
        <w:t>el catàleg de mesures i, en particular, de les mesures dins la comunitat.</w:t>
      </w:r>
    </w:p>
    <w:p w:rsidR="00507FE7" w:rsidRPr="000E6719" w:rsidRDefault="00507FE7" w:rsidP="00A41348">
      <w:pPr>
        <w:rPr>
          <w:rFonts w:cs="Arial"/>
        </w:rPr>
      </w:pPr>
      <w:r w:rsidRPr="000E6719">
        <w:rPr>
          <w:rFonts w:cs="Arial"/>
        </w:rPr>
        <w:t xml:space="preserve">L’any 1995 s’aprova el nou Codi </w:t>
      </w:r>
      <w:r>
        <w:rPr>
          <w:rFonts w:cs="Arial"/>
        </w:rPr>
        <w:t>p</w:t>
      </w:r>
      <w:r w:rsidRPr="000E6719">
        <w:rPr>
          <w:rFonts w:cs="Arial"/>
        </w:rPr>
        <w:t xml:space="preserve">enal que, a més d’elevar la majoria d’edat penal dels 16 als18 anys, va incorporar formes substitutives d’execució de penes curtes de presó, la suspensió condicional i la pena de treballs en benefici de la comunitat. El nou text </w:t>
      </w:r>
      <w:r>
        <w:rPr>
          <w:rFonts w:cs="Arial"/>
        </w:rPr>
        <w:t xml:space="preserve">també </w:t>
      </w:r>
      <w:r w:rsidRPr="000E6719">
        <w:rPr>
          <w:rFonts w:cs="Arial"/>
        </w:rPr>
        <w:t xml:space="preserve">va </w:t>
      </w:r>
      <w:r>
        <w:rPr>
          <w:rFonts w:cs="Arial"/>
        </w:rPr>
        <w:t>introduir</w:t>
      </w:r>
      <w:r w:rsidRPr="000E6719">
        <w:rPr>
          <w:rFonts w:cs="Arial"/>
        </w:rPr>
        <w:t xml:space="preserve"> la possibilitat que la reparació dels danys causats a la víctima, abans de la celebració del judici oral, </w:t>
      </w:r>
      <w:r>
        <w:rPr>
          <w:rFonts w:cs="Arial"/>
        </w:rPr>
        <w:t>p</w:t>
      </w:r>
      <w:r w:rsidRPr="000E6719">
        <w:rPr>
          <w:rFonts w:cs="Arial"/>
        </w:rPr>
        <w:t>ogués ser considerada pel jutge com una circumst</w:t>
      </w:r>
      <w:r>
        <w:rPr>
          <w:rFonts w:cs="Arial"/>
        </w:rPr>
        <w:t>à</w:t>
      </w:r>
      <w:r w:rsidRPr="000E6719">
        <w:rPr>
          <w:rFonts w:cs="Arial"/>
        </w:rPr>
        <w:t>ncia atenuant a</w:t>
      </w:r>
      <w:r>
        <w:rPr>
          <w:rFonts w:cs="Arial"/>
        </w:rPr>
        <w:t xml:space="preserve"> </w:t>
      </w:r>
      <w:r w:rsidRPr="000E6719">
        <w:rPr>
          <w:rFonts w:cs="Arial"/>
        </w:rPr>
        <w:t>l</w:t>
      </w:r>
      <w:r>
        <w:rPr>
          <w:rFonts w:cs="Arial"/>
        </w:rPr>
        <w:t>’</w:t>
      </w:r>
      <w:r w:rsidRPr="000E6719">
        <w:rPr>
          <w:rFonts w:cs="Arial"/>
        </w:rPr>
        <w:t>hora de dictar sent</w:t>
      </w:r>
      <w:r>
        <w:rPr>
          <w:rFonts w:cs="Arial"/>
        </w:rPr>
        <w:t>èn</w:t>
      </w:r>
      <w:r w:rsidRPr="000E6719">
        <w:rPr>
          <w:rFonts w:cs="Arial"/>
        </w:rPr>
        <w:t>cia.</w:t>
      </w:r>
    </w:p>
    <w:p w:rsidR="00507FE7" w:rsidRPr="000E6719" w:rsidRDefault="00507FE7" w:rsidP="00A41348">
      <w:pPr>
        <w:rPr>
          <w:rFonts w:cs="Arial"/>
        </w:rPr>
      </w:pPr>
      <w:r w:rsidRPr="000E6719">
        <w:rPr>
          <w:rFonts w:cs="Arial"/>
        </w:rPr>
        <w:t>Arran de l’aprovació del Codi</w:t>
      </w:r>
      <w:r>
        <w:rPr>
          <w:rFonts w:cs="Arial"/>
        </w:rPr>
        <w:t xml:space="preserve"> p</w:t>
      </w:r>
      <w:r w:rsidRPr="000E6719">
        <w:rPr>
          <w:rFonts w:cs="Arial"/>
        </w:rPr>
        <w:t xml:space="preserve">enal el govern català va crear, l’any 1996, la Direcció General de Mesures Penals Alternatives i de Justícia Juvenil amb una clara vocació d’unificar dins un mateix òrgan directiu l’execució de sancions i mesures dins la comunitat i els </w:t>
      </w:r>
      <w:r>
        <w:rPr>
          <w:rFonts w:cs="Arial"/>
        </w:rPr>
        <w:t>e</w:t>
      </w:r>
      <w:r w:rsidRPr="000E6719">
        <w:rPr>
          <w:rFonts w:cs="Arial"/>
        </w:rPr>
        <w:t>quips tècnics d’assessorament als òrgans judicials</w:t>
      </w:r>
      <w:r>
        <w:rPr>
          <w:rFonts w:cs="Arial"/>
        </w:rPr>
        <w:t>,</w:t>
      </w:r>
      <w:r w:rsidRPr="000E6719">
        <w:rPr>
          <w:rFonts w:cs="Arial"/>
        </w:rPr>
        <w:t xml:space="preserve"> tant en matèria d’adults com de menors. Depenent d’aquesta mateixa estructura orgànica</w:t>
      </w:r>
      <w:r>
        <w:rPr>
          <w:rFonts w:cs="Arial"/>
        </w:rPr>
        <w:t>,</w:t>
      </w:r>
      <w:r w:rsidRPr="000E6719">
        <w:rPr>
          <w:rFonts w:cs="Arial"/>
        </w:rPr>
        <w:t xml:space="preserve"> es van crear tam</w:t>
      </w:r>
      <w:r>
        <w:rPr>
          <w:rFonts w:cs="Arial"/>
        </w:rPr>
        <w:t>bé</w:t>
      </w:r>
      <w:r w:rsidRPr="000E6719">
        <w:rPr>
          <w:rFonts w:cs="Arial"/>
        </w:rPr>
        <w:t xml:space="preserve"> les </w:t>
      </w:r>
      <w:r>
        <w:rPr>
          <w:rFonts w:cs="Arial"/>
        </w:rPr>
        <w:t>of</w:t>
      </w:r>
      <w:r w:rsidRPr="000E6719">
        <w:rPr>
          <w:rFonts w:cs="Arial"/>
        </w:rPr>
        <w:t>icines d’atenció a la víctima. L’any 1998 es va posar en marxa el programa de mediació entre ofensor i víctima en l’àmbit de la jurisdicció penal d’adults.</w:t>
      </w:r>
    </w:p>
    <w:p w:rsidR="00507FE7" w:rsidRPr="000E6719" w:rsidRDefault="00507FE7" w:rsidP="00A41348">
      <w:pPr>
        <w:rPr>
          <w:rFonts w:cs="Arial"/>
        </w:rPr>
      </w:pPr>
      <w:r w:rsidRPr="000E6719">
        <w:rPr>
          <w:rFonts w:cs="Arial"/>
        </w:rPr>
        <w:t xml:space="preserve">Els tècnics de medi obert, que fins aleshores s’havien ocupat </w:t>
      </w:r>
      <w:r>
        <w:rPr>
          <w:rFonts w:cs="Arial"/>
        </w:rPr>
        <w:t>només</w:t>
      </w:r>
      <w:r w:rsidRPr="000E6719">
        <w:rPr>
          <w:rFonts w:cs="Arial"/>
        </w:rPr>
        <w:t xml:space="preserve"> de casos de menors, també es van fer càrrec, des de l’entrada en vigor del </w:t>
      </w:r>
      <w:r>
        <w:rPr>
          <w:rFonts w:cs="Arial"/>
        </w:rPr>
        <w:t>Codi penal</w:t>
      </w:r>
      <w:r w:rsidRPr="000E6719">
        <w:rPr>
          <w:rFonts w:cs="Arial"/>
        </w:rPr>
        <w:t xml:space="preserve">, l’any 1996, de l’execució de mesures penals alternatives en la jurisdicció penal d’adults. L’any 1998 es va  signar </w:t>
      </w:r>
      <w:r w:rsidRPr="000E6719">
        <w:rPr>
          <w:rFonts w:cs="Arial"/>
        </w:rPr>
        <w:lastRenderedPageBreak/>
        <w:t xml:space="preserve">l’Acord </w:t>
      </w:r>
      <w:r>
        <w:rPr>
          <w:rFonts w:cs="Arial"/>
        </w:rPr>
        <w:t>m</w:t>
      </w:r>
      <w:r w:rsidRPr="000E6719">
        <w:rPr>
          <w:rFonts w:cs="Arial"/>
        </w:rPr>
        <w:t>arc</w:t>
      </w:r>
      <w:r w:rsidRPr="000E6719">
        <w:rPr>
          <w:rFonts w:cs="Arial"/>
          <w:vertAlign w:val="superscript"/>
        </w:rPr>
        <w:footnoteReference w:id="36"/>
      </w:r>
      <w:r w:rsidRPr="000E6719">
        <w:rPr>
          <w:rFonts w:cs="Arial"/>
        </w:rPr>
        <w:t xml:space="preserve"> de col·laboració entre el Departament de Justícia i els municipis de Catalunya per </w:t>
      </w:r>
      <w:r>
        <w:rPr>
          <w:rFonts w:cs="Arial"/>
        </w:rPr>
        <w:t xml:space="preserve">a </w:t>
      </w:r>
      <w:r w:rsidRPr="000E6719">
        <w:rPr>
          <w:rFonts w:cs="Arial"/>
        </w:rPr>
        <w:t xml:space="preserve">la provisió de places per </w:t>
      </w:r>
      <w:r>
        <w:rPr>
          <w:rFonts w:cs="Arial"/>
        </w:rPr>
        <w:t xml:space="preserve">a </w:t>
      </w:r>
      <w:r w:rsidRPr="000E6719">
        <w:rPr>
          <w:rFonts w:cs="Arial"/>
        </w:rPr>
        <w:t xml:space="preserve">l’execució de mesures judicials de serveis o de treballs per a la comunitat (per a menors o </w:t>
      </w:r>
      <w:r>
        <w:rPr>
          <w:rFonts w:cs="Arial"/>
        </w:rPr>
        <w:t xml:space="preserve">per a </w:t>
      </w:r>
      <w:r w:rsidRPr="000E6719">
        <w:rPr>
          <w:rFonts w:cs="Arial"/>
        </w:rPr>
        <w:t>adults</w:t>
      </w:r>
      <w:r>
        <w:rPr>
          <w:rFonts w:cs="Arial"/>
        </w:rPr>
        <w:t>,</w:t>
      </w:r>
      <w:r w:rsidRPr="000E6719">
        <w:rPr>
          <w:rFonts w:cs="Arial"/>
        </w:rPr>
        <w:t xml:space="preserve"> respectivament).</w:t>
      </w:r>
    </w:p>
    <w:p w:rsidR="00507FE7" w:rsidRPr="000E6719" w:rsidRDefault="00507FE7" w:rsidP="00A41348">
      <w:pPr>
        <w:rPr>
          <w:rFonts w:cs="Arial"/>
        </w:rPr>
      </w:pPr>
      <w:r w:rsidRPr="000E6719">
        <w:rPr>
          <w:rFonts w:cs="Arial"/>
        </w:rPr>
        <w:t>L’any 2000 es creà la Secretaria Sectorial d’Execució Penal</w:t>
      </w:r>
      <w:r w:rsidRPr="000E6719">
        <w:rPr>
          <w:rFonts w:cs="Arial"/>
          <w:vertAlign w:val="superscript"/>
        </w:rPr>
        <w:footnoteReference w:id="37"/>
      </w:r>
      <w:r>
        <w:rPr>
          <w:rFonts w:cs="Arial"/>
        </w:rPr>
        <w:t>,</w:t>
      </w:r>
      <w:r w:rsidRPr="000E6719">
        <w:rPr>
          <w:rFonts w:cs="Arial"/>
        </w:rPr>
        <w:t xml:space="preserve"> de la qual depenen a partir d’aleshores la Direcció General de Serveis Penitenciaris i Rehabilitació i la Direcció General de Mesures Penals Alternatives i de Justícia Juvenil. D’aquesta manera totes les actuacions en matèria d’execució de mesures penals van quedar integrades en una mateixa estructura de comandament i de gestió. </w:t>
      </w:r>
    </w:p>
    <w:p w:rsidR="00507FE7" w:rsidRPr="000E6719" w:rsidRDefault="00507FE7" w:rsidP="00A41348">
      <w:pPr>
        <w:rPr>
          <w:rFonts w:cs="Arial"/>
        </w:rPr>
      </w:pPr>
      <w:r w:rsidRPr="000E6719">
        <w:rPr>
          <w:rFonts w:cs="Arial"/>
        </w:rPr>
        <w:t>Per tal de poder garantir dins la jurisdicció d’adults una correcta execució de les mesures penals alternatives, el Departament de Justícia va signar, l’any 2000, un conveni amb l’IRES (Institut de Reinserció Social) amb la finalitat que aquesta entitat es fes càrrec de l’execució</w:t>
      </w:r>
      <w:r>
        <w:rPr>
          <w:rFonts w:cs="Arial"/>
        </w:rPr>
        <w:t xml:space="preserve"> d’aquestes mesures</w:t>
      </w:r>
      <w:r w:rsidRPr="000E6719">
        <w:rPr>
          <w:rFonts w:cs="Arial"/>
        </w:rPr>
        <w:t xml:space="preserve"> en determinades àrees del territori i de manera coordinada amb els serveis i el personal propi del Departament de Justícia.  </w:t>
      </w:r>
    </w:p>
    <w:p w:rsidR="00507FE7" w:rsidRPr="000E6719" w:rsidRDefault="00507FE7" w:rsidP="00A41348">
      <w:pPr>
        <w:rPr>
          <w:rFonts w:cs="Arial"/>
        </w:rPr>
      </w:pPr>
      <w:r w:rsidRPr="000E6719">
        <w:rPr>
          <w:rFonts w:cs="Arial"/>
        </w:rPr>
        <w:t xml:space="preserve">L’any 2001 va entrar en vigor la </w:t>
      </w:r>
      <w:r>
        <w:rPr>
          <w:rFonts w:cs="Arial"/>
        </w:rPr>
        <w:t xml:space="preserve">Llei orgànica </w:t>
      </w:r>
      <w:r w:rsidRPr="000E6719">
        <w:rPr>
          <w:rFonts w:cs="Arial"/>
        </w:rPr>
        <w:t>5/2000</w:t>
      </w:r>
      <w:r>
        <w:rPr>
          <w:rFonts w:cs="Arial"/>
        </w:rPr>
        <w:t>,</w:t>
      </w:r>
      <w:r w:rsidRPr="000E6719">
        <w:rPr>
          <w:rFonts w:cs="Arial"/>
        </w:rPr>
        <w:t xml:space="preserve"> reguladora de la responsabilitat penal del menor</w:t>
      </w:r>
      <w:r w:rsidRPr="000E6719">
        <w:rPr>
          <w:rFonts w:cs="Arial"/>
          <w:vertAlign w:val="superscript"/>
        </w:rPr>
        <w:footnoteReference w:id="38"/>
      </w:r>
      <w:r w:rsidRPr="000E6719">
        <w:rPr>
          <w:rFonts w:cs="Arial"/>
        </w:rPr>
        <w:t xml:space="preserve">, que va substituir definitivament l’antiga Llei de </w:t>
      </w:r>
      <w:r>
        <w:rPr>
          <w:rFonts w:cs="Arial"/>
        </w:rPr>
        <w:t>t</w:t>
      </w:r>
      <w:r w:rsidRPr="000E6719">
        <w:rPr>
          <w:rFonts w:cs="Arial"/>
        </w:rPr>
        <w:t xml:space="preserve">ribunals </w:t>
      </w:r>
      <w:r>
        <w:rPr>
          <w:rFonts w:cs="Arial"/>
        </w:rPr>
        <w:t>t</w:t>
      </w:r>
      <w:r w:rsidRPr="000E6719">
        <w:rPr>
          <w:rFonts w:cs="Arial"/>
        </w:rPr>
        <w:t xml:space="preserve">utelars de </w:t>
      </w:r>
      <w:r>
        <w:rPr>
          <w:rFonts w:cs="Arial"/>
        </w:rPr>
        <w:t>m</w:t>
      </w:r>
      <w:r w:rsidRPr="000E6719">
        <w:rPr>
          <w:rFonts w:cs="Arial"/>
        </w:rPr>
        <w:t xml:space="preserve">enors de 1948. Pel que fa a la jurisdicció penal d’adults, com a conseqüència de múltiples reformes del Codi </w:t>
      </w:r>
      <w:r>
        <w:rPr>
          <w:rFonts w:cs="Arial"/>
        </w:rPr>
        <w:t>p</w:t>
      </w:r>
      <w:r w:rsidRPr="000E6719">
        <w:rPr>
          <w:rFonts w:cs="Arial"/>
        </w:rPr>
        <w:t>enal, des de l’any 2000 s’ha experimentat un increment molt important de la població penitenci</w:t>
      </w:r>
      <w:r>
        <w:rPr>
          <w:rFonts w:cs="Arial"/>
        </w:rPr>
        <w:t>à</w:t>
      </w:r>
      <w:r w:rsidRPr="000E6719">
        <w:rPr>
          <w:rFonts w:cs="Arial"/>
        </w:rPr>
        <w:t>ria</w:t>
      </w:r>
      <w:r>
        <w:rPr>
          <w:rFonts w:cs="Arial"/>
        </w:rPr>
        <w:t>,</w:t>
      </w:r>
      <w:r w:rsidRPr="000E6719">
        <w:rPr>
          <w:rFonts w:cs="Arial"/>
        </w:rPr>
        <w:t xml:space="preserve"> i també de la població sotmesa a mesures alternatives a la presó i a la pena de </w:t>
      </w:r>
      <w:r>
        <w:rPr>
          <w:rFonts w:cs="Arial"/>
        </w:rPr>
        <w:t>t</w:t>
      </w:r>
      <w:r w:rsidRPr="000E6719">
        <w:rPr>
          <w:rFonts w:cs="Arial"/>
        </w:rPr>
        <w:t>reballs en benefici de la comunitat. Al mateix temps, entre els anys 2003 i 2006, el pressupost del Departament de Justícia va augmentar de manera considerable, fonamentalment per dur a terme el Pla d’equipaments penitenciaris 2004/2010</w:t>
      </w:r>
      <w:r>
        <w:rPr>
          <w:rFonts w:cs="Arial"/>
        </w:rPr>
        <w:t>,</w:t>
      </w:r>
      <w:r w:rsidRPr="000E6719">
        <w:rPr>
          <w:rFonts w:cs="Arial"/>
        </w:rPr>
        <w:t xml:space="preserve"> però també per l’augment del personal destinat al programa </w:t>
      </w:r>
      <w:r>
        <w:rPr>
          <w:rFonts w:cs="Arial"/>
        </w:rPr>
        <w:t>d’</w:t>
      </w:r>
      <w:r w:rsidRPr="000E6719">
        <w:rPr>
          <w:rFonts w:cs="Arial"/>
        </w:rPr>
        <w:t xml:space="preserve">execució de mesures </w:t>
      </w:r>
      <w:r>
        <w:rPr>
          <w:rFonts w:cs="Arial"/>
        </w:rPr>
        <w:t>a</w:t>
      </w:r>
      <w:r w:rsidRPr="000E6719">
        <w:rPr>
          <w:rFonts w:cs="Arial"/>
        </w:rPr>
        <w:t xml:space="preserve"> la comunitat. </w:t>
      </w:r>
    </w:p>
    <w:p w:rsidR="00124A65" w:rsidRDefault="00507FE7" w:rsidP="00124A65">
      <w:pPr>
        <w:keepNext/>
      </w:pPr>
      <w:r w:rsidRPr="000E6719">
        <w:rPr>
          <w:rFonts w:cs="Arial"/>
          <w:b/>
          <w:noProof/>
          <w:lang w:eastAsia="ca-ES"/>
        </w:rPr>
        <w:drawing>
          <wp:inline distT="0" distB="0" distL="0" distR="0" wp14:anchorId="0D9C3AAB" wp14:editId="3D835C4E">
            <wp:extent cx="5747657" cy="1824922"/>
            <wp:effectExtent l="0" t="0" r="5715" b="4445"/>
            <wp:docPr id="53" name="Imat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757061" cy="1827908"/>
                    </a:xfrm>
                    <a:prstGeom prst="rect">
                      <a:avLst/>
                    </a:prstGeom>
                    <a:noFill/>
                  </pic:spPr>
                </pic:pic>
              </a:graphicData>
            </a:graphic>
          </wp:inline>
        </w:drawing>
      </w:r>
    </w:p>
    <w:p w:rsidR="00507FE7" w:rsidRPr="000E6719" w:rsidRDefault="00124A65" w:rsidP="00124A65">
      <w:pPr>
        <w:pStyle w:val="Llegenda"/>
        <w:rPr>
          <w:rFonts w:cs="Arial"/>
          <w:b w:val="0"/>
        </w:rPr>
      </w:pPr>
      <w:bookmarkStart w:id="712" w:name="_Toc465293876"/>
      <w:r>
        <w:t xml:space="preserve">Gràfic </w:t>
      </w:r>
      <w:r w:rsidR="00DB496B">
        <w:fldChar w:fldCharType="begin"/>
      </w:r>
      <w:r w:rsidR="00DB496B">
        <w:instrText xml:space="preserve"> SEQ Il·lustració \* ARABIC </w:instrText>
      </w:r>
      <w:r w:rsidR="00DB496B">
        <w:fldChar w:fldCharType="separate"/>
      </w:r>
      <w:r w:rsidR="00C952DF">
        <w:rPr>
          <w:noProof/>
        </w:rPr>
        <w:t>69</w:t>
      </w:r>
      <w:r w:rsidR="00DB496B">
        <w:rPr>
          <w:noProof/>
        </w:rPr>
        <w:fldChar w:fldCharType="end"/>
      </w:r>
      <w:r>
        <w:t xml:space="preserve">. </w:t>
      </w:r>
      <w:r w:rsidRPr="006A1920">
        <w:t>Demandes i intervencions*: evolució recent</w:t>
      </w:r>
      <w:bookmarkEnd w:id="712"/>
    </w:p>
    <w:p w:rsidR="00507FE7" w:rsidRPr="000E6719" w:rsidRDefault="00507FE7" w:rsidP="00A41348">
      <w:pPr>
        <w:jc w:val="right"/>
        <w:rPr>
          <w:rFonts w:cs="Arial"/>
          <w:i/>
          <w:sz w:val="16"/>
          <w:szCs w:val="16"/>
        </w:rPr>
      </w:pPr>
      <w:r w:rsidRPr="000E6719">
        <w:rPr>
          <w:rFonts w:cs="Arial"/>
          <w:i/>
          <w:sz w:val="16"/>
          <w:szCs w:val="16"/>
        </w:rPr>
        <w:t xml:space="preserve">(*) </w:t>
      </w:r>
      <w:r>
        <w:rPr>
          <w:rFonts w:cs="Arial"/>
          <w:i/>
          <w:sz w:val="16"/>
          <w:szCs w:val="16"/>
        </w:rPr>
        <w:t>L</w:t>
      </w:r>
      <w:r w:rsidRPr="000E6719">
        <w:rPr>
          <w:rFonts w:cs="Arial"/>
          <w:i/>
          <w:sz w:val="16"/>
          <w:szCs w:val="16"/>
        </w:rPr>
        <w:t xml:space="preserve">’any 2015 es van executar 16.207 programes diferents </w:t>
      </w:r>
      <w:r>
        <w:rPr>
          <w:rFonts w:cs="Arial"/>
          <w:i/>
          <w:sz w:val="16"/>
          <w:szCs w:val="16"/>
        </w:rPr>
        <w:t xml:space="preserve">que van </w:t>
      </w:r>
      <w:r w:rsidRPr="000E6719">
        <w:rPr>
          <w:rFonts w:cs="Arial"/>
          <w:i/>
          <w:sz w:val="16"/>
          <w:szCs w:val="16"/>
        </w:rPr>
        <w:t>afecta</w:t>
      </w:r>
      <w:r>
        <w:rPr>
          <w:rFonts w:cs="Arial"/>
          <w:i/>
          <w:sz w:val="16"/>
          <w:szCs w:val="16"/>
        </w:rPr>
        <w:t>r</w:t>
      </w:r>
      <w:r w:rsidRPr="000E6719">
        <w:rPr>
          <w:rFonts w:cs="Arial"/>
          <w:i/>
          <w:sz w:val="16"/>
          <w:szCs w:val="16"/>
        </w:rPr>
        <w:t xml:space="preserve"> 13.854 persones</w:t>
      </w:r>
      <w:r>
        <w:rPr>
          <w:rFonts w:cs="Arial"/>
          <w:i/>
          <w:sz w:val="16"/>
          <w:szCs w:val="16"/>
        </w:rPr>
        <w:t>.</w:t>
      </w:r>
    </w:p>
    <w:p w:rsidR="00507FE7" w:rsidRDefault="00507FE7" w:rsidP="00A41348">
      <w:pPr>
        <w:rPr>
          <w:rFonts w:cs="Arial"/>
        </w:rPr>
      </w:pPr>
      <w:r w:rsidRPr="000E6719">
        <w:rPr>
          <w:rFonts w:cs="Arial"/>
        </w:rPr>
        <w:t>Davant del creixement exponencial del nombre de mesures penals alternatives oficiades pels jutjats (818 l’any 2003, 16.687 l’any 2009)</w:t>
      </w:r>
      <w:r>
        <w:rPr>
          <w:rFonts w:cs="Arial"/>
        </w:rPr>
        <w:t>,</w:t>
      </w:r>
      <w:r w:rsidRPr="000E6719">
        <w:rPr>
          <w:rFonts w:cs="Arial"/>
        </w:rPr>
        <w:t xml:space="preserve"> era imprescindible contractar més recursos humans i</w:t>
      </w:r>
      <w:r>
        <w:rPr>
          <w:rFonts w:cs="Arial"/>
        </w:rPr>
        <w:t>,</w:t>
      </w:r>
      <w:r w:rsidRPr="000E6719">
        <w:rPr>
          <w:rFonts w:cs="Arial"/>
        </w:rPr>
        <w:t xml:space="preserve"> per tant</w:t>
      </w:r>
      <w:r>
        <w:rPr>
          <w:rFonts w:cs="Arial"/>
        </w:rPr>
        <w:t>,</w:t>
      </w:r>
      <w:r w:rsidRPr="000E6719">
        <w:rPr>
          <w:rFonts w:cs="Arial"/>
        </w:rPr>
        <w:t xml:space="preserve"> dotar econòmicament la partida pressupost</w:t>
      </w:r>
      <w:r>
        <w:rPr>
          <w:rFonts w:cs="Arial"/>
        </w:rPr>
        <w:t>à</w:t>
      </w:r>
      <w:r w:rsidRPr="000E6719">
        <w:rPr>
          <w:rFonts w:cs="Arial"/>
        </w:rPr>
        <w:t xml:space="preserve">ria de les mesures penals </w:t>
      </w:r>
      <w:r w:rsidRPr="000E6719">
        <w:rPr>
          <w:rFonts w:cs="Arial"/>
        </w:rPr>
        <w:lastRenderedPageBreak/>
        <w:t>alternatives. Davant d’aquest increment pressupostari</w:t>
      </w:r>
      <w:r>
        <w:rPr>
          <w:rFonts w:cs="Arial"/>
        </w:rPr>
        <w:t>,</w:t>
      </w:r>
      <w:r w:rsidRPr="000E6719">
        <w:rPr>
          <w:rFonts w:cs="Arial"/>
        </w:rPr>
        <w:t xml:space="preserve"> es va obrir concurs públic per donar transparència i lliure concurrència a la gestió de les mesures penals alternatives</w:t>
      </w:r>
      <w:r>
        <w:rPr>
          <w:rFonts w:cs="Arial"/>
        </w:rPr>
        <w:t>,</w:t>
      </w:r>
      <w:r w:rsidRPr="000E6719">
        <w:rPr>
          <w:rFonts w:cs="Arial"/>
        </w:rPr>
        <w:t xml:space="preserve"> </w:t>
      </w:r>
      <w:r>
        <w:rPr>
          <w:rFonts w:cs="Arial"/>
        </w:rPr>
        <w:t>la qual</w:t>
      </w:r>
      <w:r w:rsidRPr="000E6719">
        <w:rPr>
          <w:rFonts w:cs="Arial"/>
        </w:rPr>
        <w:t xml:space="preserve"> fins a aquell moment havia recaigut damunt d’una sola entitat. Es van dissenyar tres lots dins l’expedient únic de contractació atenent la diversitat de penes i mesures i la territorialitat, de tal manera que es permetia l’especialització i, alhora, es tenia en compte el vessant territorial.</w:t>
      </w:r>
    </w:p>
    <w:p w:rsidR="00507FE7" w:rsidRPr="000E6719" w:rsidRDefault="00507FE7" w:rsidP="00A41348">
      <w:pPr>
        <w:rPr>
          <w:rFonts w:cs="Arial"/>
        </w:rPr>
      </w:pPr>
      <w:r w:rsidRPr="000E6719">
        <w:rPr>
          <w:rFonts w:cs="Arial"/>
        </w:rPr>
        <w:t>A hores d’ara, l’execució de les mesures penals alternatives està gestionada per tres entitats, dues a les comarques de Barcelona i una altra que gestiona les penes i mesures als  territoris de Girona, Lleida, Tarragona i Terres de l’Ebre. Són entitats sense ànim de lucre i  interv</w:t>
      </w:r>
      <w:r>
        <w:rPr>
          <w:rFonts w:cs="Arial"/>
        </w:rPr>
        <w:t>e</w:t>
      </w:r>
      <w:r w:rsidRPr="000E6719">
        <w:rPr>
          <w:rFonts w:cs="Arial"/>
        </w:rPr>
        <w:t xml:space="preserve">nen sota l’empara d’un contracte de gestió de servei públic. La supervisió i el seguiment de la gestió d’aquests programes la duu a terme de manera molt directa l’Àrea de Mesures Penals Alternatives, adscrita a la </w:t>
      </w:r>
      <w:r>
        <w:rPr>
          <w:rFonts w:cs="Arial"/>
        </w:rPr>
        <w:t>S</w:t>
      </w:r>
      <w:r w:rsidRPr="000E6719">
        <w:rPr>
          <w:rFonts w:cs="Arial"/>
        </w:rPr>
        <w:t xml:space="preserve">ubdirecció </w:t>
      </w:r>
      <w:r>
        <w:rPr>
          <w:rFonts w:cs="Arial"/>
        </w:rPr>
        <w:t>G</w:t>
      </w:r>
      <w:r w:rsidRPr="000E6719">
        <w:rPr>
          <w:rFonts w:cs="Arial"/>
        </w:rPr>
        <w:t xml:space="preserve">eneral de </w:t>
      </w:r>
      <w:r>
        <w:rPr>
          <w:rFonts w:cs="Arial"/>
        </w:rPr>
        <w:t>R</w:t>
      </w:r>
      <w:r w:rsidRPr="000E6719">
        <w:rPr>
          <w:rFonts w:cs="Arial"/>
        </w:rPr>
        <w:t xml:space="preserve">eparació i </w:t>
      </w:r>
      <w:r>
        <w:rPr>
          <w:rFonts w:cs="Arial"/>
        </w:rPr>
        <w:t>E</w:t>
      </w:r>
      <w:r w:rsidRPr="000E6719">
        <w:rPr>
          <w:rFonts w:cs="Arial"/>
        </w:rPr>
        <w:t xml:space="preserve">xecució </w:t>
      </w:r>
      <w:r>
        <w:rPr>
          <w:rFonts w:cs="Arial"/>
        </w:rPr>
        <w:t>P</w:t>
      </w:r>
      <w:r w:rsidRPr="000E6719">
        <w:rPr>
          <w:rFonts w:cs="Arial"/>
        </w:rPr>
        <w:t>enal a la Comunitat.</w:t>
      </w:r>
    </w:p>
    <w:p w:rsidR="00507FE7" w:rsidRPr="000E6719" w:rsidRDefault="00507FE7" w:rsidP="00124A65">
      <w:bookmarkStart w:id="713" w:name="_Toc462140446"/>
    </w:p>
    <w:p w:rsidR="00507FE7" w:rsidRPr="000E6719" w:rsidRDefault="00507FE7" w:rsidP="0070401F">
      <w:pPr>
        <w:pStyle w:val="Ttol2"/>
      </w:pPr>
      <w:bookmarkStart w:id="714" w:name="_Toc464685764"/>
      <w:bookmarkStart w:id="715" w:name="_Toc465293512"/>
      <w:r w:rsidRPr="000E6719">
        <w:t>Marc normatiu</w:t>
      </w:r>
      <w:bookmarkEnd w:id="713"/>
      <w:bookmarkEnd w:id="714"/>
      <w:bookmarkEnd w:id="715"/>
    </w:p>
    <w:p w:rsidR="00507FE7" w:rsidRPr="000E6719" w:rsidRDefault="00507FE7" w:rsidP="00A41348">
      <w:pPr>
        <w:rPr>
          <w:rFonts w:cs="Arial"/>
        </w:rPr>
      </w:pPr>
      <w:r w:rsidRPr="000E6719">
        <w:rPr>
          <w:rFonts w:cs="Arial"/>
        </w:rPr>
        <w:t xml:space="preserve">La normativa en matèria de mesures penals alternatives està recollida essencialment en la </w:t>
      </w:r>
      <w:r>
        <w:rPr>
          <w:rFonts w:cs="Arial"/>
        </w:rPr>
        <w:t xml:space="preserve">Llei orgànica </w:t>
      </w:r>
      <w:r w:rsidRPr="000E6719">
        <w:rPr>
          <w:rFonts w:cs="Arial"/>
        </w:rPr>
        <w:t xml:space="preserve">10/19995, de 23 de novembre, del </w:t>
      </w:r>
      <w:r>
        <w:rPr>
          <w:rFonts w:cs="Arial"/>
        </w:rPr>
        <w:t>Co</w:t>
      </w:r>
      <w:r w:rsidRPr="000E6719">
        <w:rPr>
          <w:rFonts w:cs="Arial"/>
        </w:rPr>
        <w:t>di penal i en el Reial decret 840/2011, de 17 de juny.</w:t>
      </w:r>
    </w:p>
    <w:p w:rsidR="00507FE7" w:rsidRPr="000E6719" w:rsidRDefault="00507FE7" w:rsidP="0070401F">
      <w:pPr>
        <w:pStyle w:val="Ttol3"/>
      </w:pPr>
      <w:bookmarkStart w:id="716" w:name="_Toc464685765"/>
      <w:bookmarkStart w:id="717" w:name="_Toc465293513"/>
      <w:r w:rsidRPr="000E6719">
        <w:t>Referències al Codi penal</w:t>
      </w:r>
      <w:bookmarkEnd w:id="716"/>
      <w:bookmarkEnd w:id="717"/>
    </w:p>
    <w:p w:rsidR="00507FE7" w:rsidRPr="000E6719" w:rsidRDefault="00507FE7" w:rsidP="00A41348">
      <w:pPr>
        <w:rPr>
          <w:rFonts w:cs="Arial"/>
        </w:rPr>
      </w:pPr>
      <w:r w:rsidRPr="000E6719">
        <w:rPr>
          <w:rFonts w:cs="Arial"/>
        </w:rPr>
        <w:t xml:space="preserve"> La Llei orgànica 10/1995, de 23 de novembre, del </w:t>
      </w:r>
      <w:r>
        <w:rPr>
          <w:rFonts w:cs="Arial"/>
        </w:rPr>
        <w:t>C</w:t>
      </w:r>
      <w:r w:rsidRPr="000E6719">
        <w:rPr>
          <w:rFonts w:cs="Arial"/>
        </w:rPr>
        <w:t>odi penal proposa una reforma total del sistema de penes, de manera que permeti atènyer, tant com sigui possible, els objectius de resocialització que li assigna la Constitució. El sistema que es proposa simplifica, d’una banda, la regulació de les penes privatives de llibertat, alhora que amplia les possibilitats de substituir-les per d’altres que afectin béns jurídics menys bàsics, i, d’altra</w:t>
      </w:r>
      <w:r>
        <w:rPr>
          <w:rFonts w:cs="Arial"/>
        </w:rPr>
        <w:t xml:space="preserve"> banda</w:t>
      </w:r>
      <w:r w:rsidRPr="000E6719">
        <w:rPr>
          <w:rFonts w:cs="Arial"/>
        </w:rPr>
        <w:t>, introdueix canvis en les penes pecuniàries adoptant el sistema de dies-multa i afegint-hi els treballs en benefici de la comunitat.</w:t>
      </w:r>
    </w:p>
    <w:p w:rsidR="00507FE7" w:rsidRPr="000E6719" w:rsidRDefault="00507FE7" w:rsidP="00A41348">
      <w:pPr>
        <w:rPr>
          <w:rFonts w:cs="Arial"/>
        </w:rPr>
      </w:pPr>
      <w:r w:rsidRPr="000E6719">
        <w:rPr>
          <w:rFonts w:cs="Arial"/>
        </w:rPr>
        <w:t>La reforma del Codi penal, operada per la Llei orgànica 15/2003, de 25 de novembre, suposa una revisió parcial d’aquest sistema</w:t>
      </w:r>
      <w:r>
        <w:rPr>
          <w:rFonts w:cs="Arial"/>
        </w:rPr>
        <w:t xml:space="preserve">. Se’n </w:t>
      </w:r>
      <w:r w:rsidRPr="000E6719">
        <w:rPr>
          <w:rFonts w:cs="Arial"/>
        </w:rPr>
        <w:t>poden destacar, entre d’altres aspectes, la desaparició de la pena d’arrest de cap de setmana, la creació de la pena de localització permanent i la nova regulació de la substitució de l</w:t>
      </w:r>
      <w:r>
        <w:rPr>
          <w:rFonts w:cs="Arial"/>
        </w:rPr>
        <w:t>es</w:t>
      </w:r>
      <w:r w:rsidRPr="000E6719">
        <w:rPr>
          <w:rFonts w:cs="Arial"/>
        </w:rPr>
        <w:t xml:space="preserve"> penes privatives de llibertat i de l’execució de les mesures de seguretat.</w:t>
      </w:r>
    </w:p>
    <w:p w:rsidR="00507FE7" w:rsidRPr="000E6719" w:rsidRDefault="00507FE7" w:rsidP="00A41348">
      <w:pPr>
        <w:rPr>
          <w:rFonts w:cs="Arial"/>
        </w:rPr>
      </w:pPr>
      <w:r w:rsidRPr="000E6719">
        <w:rPr>
          <w:rFonts w:cs="Arial"/>
        </w:rPr>
        <w:t>Altres reformes del Codi penal que han incidit en aquesta matèria són la Llei orgànica 5/2010, de 22 de juny, que introdueix la llibertat vigilada com a mesura de seguretat no privativa de llibertat, i la Llei orgànica 1/2015, de 30 de març, que modifica les formes substitutives de les penes privatives de llibertat.</w:t>
      </w:r>
    </w:p>
    <w:p w:rsidR="00507FE7" w:rsidRPr="000E6719" w:rsidRDefault="00507FE7" w:rsidP="00A41348">
      <w:pPr>
        <w:rPr>
          <w:rFonts w:cs="Arial"/>
        </w:rPr>
      </w:pPr>
    </w:p>
    <w:p w:rsidR="00124A65" w:rsidRDefault="00507FE7" w:rsidP="00124A65">
      <w:pPr>
        <w:keepNext/>
      </w:pPr>
      <w:r w:rsidRPr="000E6719">
        <w:rPr>
          <w:rFonts w:cs="Arial"/>
          <w:b/>
          <w:noProof/>
          <w:sz w:val="28"/>
          <w:szCs w:val="28"/>
          <w:lang w:eastAsia="ca-ES"/>
        </w:rPr>
        <w:lastRenderedPageBreak/>
        <w:drawing>
          <wp:inline distT="0" distB="0" distL="0" distR="0" wp14:anchorId="44E5E1FC" wp14:editId="421B5D75">
            <wp:extent cx="5752800" cy="1760794"/>
            <wp:effectExtent l="0" t="0" r="635" b="0"/>
            <wp:docPr id="54" name="Imat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765927" cy="1764812"/>
                    </a:xfrm>
                    <a:prstGeom prst="rect">
                      <a:avLst/>
                    </a:prstGeom>
                    <a:noFill/>
                  </pic:spPr>
                </pic:pic>
              </a:graphicData>
            </a:graphic>
          </wp:inline>
        </w:drawing>
      </w:r>
    </w:p>
    <w:p w:rsidR="00507FE7" w:rsidRPr="000E6719" w:rsidRDefault="00124A65" w:rsidP="00B517F7">
      <w:pPr>
        <w:pStyle w:val="Llegenda"/>
        <w:jc w:val="center"/>
        <w:rPr>
          <w:rFonts w:cs="Arial"/>
        </w:rPr>
      </w:pPr>
      <w:bookmarkStart w:id="718" w:name="_Toc465293877"/>
      <w:r>
        <w:t xml:space="preserve">Gràfic </w:t>
      </w:r>
      <w:r w:rsidR="00DB496B">
        <w:fldChar w:fldCharType="begin"/>
      </w:r>
      <w:r w:rsidR="00DB496B">
        <w:instrText xml:space="preserve"> SEQ Il·lustració \* ARABIC </w:instrText>
      </w:r>
      <w:r w:rsidR="00DB496B">
        <w:fldChar w:fldCharType="separate"/>
      </w:r>
      <w:r w:rsidR="00C952DF">
        <w:rPr>
          <w:noProof/>
        </w:rPr>
        <w:t>70</w:t>
      </w:r>
      <w:r w:rsidR="00DB496B">
        <w:rPr>
          <w:noProof/>
        </w:rPr>
        <w:fldChar w:fldCharType="end"/>
      </w:r>
      <w:r>
        <w:t xml:space="preserve">. </w:t>
      </w:r>
      <w:r w:rsidRPr="006364AA">
        <w:t>Delictes associats a les demandes de mesures penals alternatives l’any 2015</w:t>
      </w:r>
      <w:bookmarkEnd w:id="718"/>
    </w:p>
    <w:p w:rsidR="00507FE7" w:rsidRPr="000E6719" w:rsidRDefault="00507FE7" w:rsidP="0070401F">
      <w:pPr>
        <w:pStyle w:val="Ttol3"/>
      </w:pPr>
      <w:bookmarkStart w:id="719" w:name="_Toc464685766"/>
      <w:bookmarkStart w:id="720" w:name="_Toc465293514"/>
      <w:r w:rsidRPr="000E6719">
        <w:t>Referències a la normativa reglamentària</w:t>
      </w:r>
      <w:bookmarkEnd w:id="719"/>
      <w:bookmarkEnd w:id="720"/>
    </w:p>
    <w:p w:rsidR="00507FE7" w:rsidRPr="000E6719" w:rsidRDefault="00507FE7" w:rsidP="00A41348">
      <w:pPr>
        <w:rPr>
          <w:rFonts w:cs="Arial"/>
        </w:rPr>
      </w:pPr>
      <w:r w:rsidRPr="000E6719">
        <w:rPr>
          <w:rFonts w:cs="Arial"/>
        </w:rPr>
        <w:t>A l’empara del que estableix la Llei orgànica 1/1979, de 26 de setembre, general penitenciària, l’Administració penitenciària es troba obligada a fer efectiu el compliment de l</w:t>
      </w:r>
      <w:r>
        <w:rPr>
          <w:rFonts w:cs="Arial"/>
        </w:rPr>
        <w:t>e</w:t>
      </w:r>
      <w:r w:rsidRPr="000E6719">
        <w:rPr>
          <w:rFonts w:cs="Arial"/>
        </w:rPr>
        <w:t>s penes en execució de les corresponents resolucions judicials.</w:t>
      </w:r>
    </w:p>
    <w:p w:rsidR="00507FE7" w:rsidRPr="000E6719" w:rsidRDefault="00507FE7" w:rsidP="00A41348">
      <w:pPr>
        <w:rPr>
          <w:rFonts w:cs="Arial"/>
        </w:rPr>
      </w:pPr>
      <w:r w:rsidRPr="000E6719">
        <w:rPr>
          <w:rFonts w:cs="Arial"/>
        </w:rPr>
        <w:t>Tenint en compte, per una banda, l’absència de desenvolupament reglamentari de l’execució de l</w:t>
      </w:r>
      <w:r>
        <w:rPr>
          <w:rFonts w:cs="Arial"/>
        </w:rPr>
        <w:t>e</w:t>
      </w:r>
      <w:r w:rsidRPr="000E6719">
        <w:rPr>
          <w:rFonts w:cs="Arial"/>
        </w:rPr>
        <w:t>s mesures de seguretat, de la suspensió de l’execució de l</w:t>
      </w:r>
      <w:r>
        <w:rPr>
          <w:rFonts w:cs="Arial"/>
        </w:rPr>
        <w:t>e</w:t>
      </w:r>
      <w:r w:rsidRPr="000E6719">
        <w:rPr>
          <w:rFonts w:cs="Arial"/>
        </w:rPr>
        <w:t>s penes privatives de llibertat i de la pena de localització permanent i, per altra</w:t>
      </w:r>
      <w:r>
        <w:rPr>
          <w:rFonts w:cs="Arial"/>
        </w:rPr>
        <w:t xml:space="preserve"> banda</w:t>
      </w:r>
      <w:r w:rsidRPr="000E6719">
        <w:rPr>
          <w:rFonts w:cs="Arial"/>
        </w:rPr>
        <w:t>, advertida la necessitat de modificar l’execució de la pena de treballs en benefici de la comunitat per adaptar-la a la reforma del Codi penal esmentada, el Reial decret 515/05, de 6 de maig, va reordenar l’activitat penitenciària amb la finalitat d’atendre, amb els mitjans disponibles en el moment, la posa</w:t>
      </w:r>
      <w:r>
        <w:rPr>
          <w:rFonts w:cs="Arial"/>
        </w:rPr>
        <w:t>da</w:t>
      </w:r>
      <w:r w:rsidRPr="000E6719">
        <w:rPr>
          <w:rFonts w:cs="Arial"/>
        </w:rPr>
        <w:t xml:space="preserve"> en pràctica més eficaç de la reforma penal </w:t>
      </w:r>
      <w:r>
        <w:rPr>
          <w:rFonts w:cs="Arial"/>
        </w:rPr>
        <w:t xml:space="preserve">que s’havia </w:t>
      </w:r>
      <w:r w:rsidRPr="000E6719">
        <w:rPr>
          <w:rFonts w:cs="Arial"/>
        </w:rPr>
        <w:t>produï</w:t>
      </w:r>
      <w:r>
        <w:rPr>
          <w:rFonts w:cs="Arial"/>
        </w:rPr>
        <w:t>t</w:t>
      </w:r>
      <w:r w:rsidRPr="000E6719">
        <w:rPr>
          <w:rFonts w:cs="Arial"/>
        </w:rPr>
        <w:t xml:space="preserve">. </w:t>
      </w:r>
    </w:p>
    <w:p w:rsidR="00507FE7" w:rsidRPr="000E6719" w:rsidRDefault="00507FE7" w:rsidP="00A41348">
      <w:pPr>
        <w:rPr>
          <w:rFonts w:cs="Arial"/>
        </w:rPr>
      </w:pPr>
      <w:r w:rsidRPr="000E6719">
        <w:rPr>
          <w:rFonts w:cs="Arial"/>
        </w:rPr>
        <w:t>El Reial decret 840/2011, de 17 de juny, pel qual s’estableixen les circumstàncies d’execució de les penes de treball en benefici de la comunitat i de localització permanent en centre penitenciari, de determinades mesures de seguretat, així com de la suspensió de l’execució de les penes privatives de llibertat i substitució de penes, va derogar expressament el Reial decret 515/2005 perquè la Llei orgànica 5/2010, de 22 de juny, va incidir d’una manera tan rellevant en el sistema de mesures penals –penes i mesures de seguretat–, que per si mateixa va fer necessari un nou marc reglamentari.</w:t>
      </w:r>
    </w:p>
    <w:p w:rsidR="00507FE7" w:rsidRPr="000E6719" w:rsidRDefault="00507FE7" w:rsidP="00A41348">
      <w:pPr>
        <w:rPr>
          <w:rFonts w:cs="Arial"/>
          <w:b/>
          <w:sz w:val="28"/>
          <w:szCs w:val="28"/>
        </w:rPr>
      </w:pPr>
    </w:p>
    <w:p w:rsidR="00507FE7" w:rsidRPr="000E6719" w:rsidRDefault="00507FE7" w:rsidP="0070401F">
      <w:pPr>
        <w:pStyle w:val="Ttol3"/>
      </w:pPr>
      <w:bookmarkStart w:id="721" w:name="_Toc464685767"/>
      <w:bookmarkStart w:id="722" w:name="_Toc465293515"/>
      <w:r w:rsidRPr="000E6719">
        <w:t>Mesures penals alternatives</w:t>
      </w:r>
      <w:r>
        <w:t xml:space="preserve"> (MPA)</w:t>
      </w:r>
      <w:bookmarkEnd w:id="721"/>
      <w:bookmarkEnd w:id="722"/>
    </w:p>
    <w:p w:rsidR="00507FE7" w:rsidRPr="000E6719" w:rsidRDefault="00507FE7" w:rsidP="00A41348">
      <w:pPr>
        <w:rPr>
          <w:rFonts w:cs="Arial"/>
        </w:rPr>
      </w:pPr>
      <w:r w:rsidRPr="000E6719">
        <w:rPr>
          <w:rFonts w:cs="Arial"/>
        </w:rPr>
        <w:t xml:space="preserve">Les mesures penals alternatives (MPA) inclouen aquells supòsits previstos </w:t>
      </w:r>
      <w:r>
        <w:rPr>
          <w:rFonts w:cs="Arial"/>
        </w:rPr>
        <w:t>pe</w:t>
      </w:r>
      <w:r w:rsidRPr="000E6719">
        <w:rPr>
          <w:rFonts w:cs="Arial"/>
        </w:rPr>
        <w:t>l Codi penal en què</w:t>
      </w:r>
      <w:r>
        <w:rPr>
          <w:rFonts w:cs="Arial"/>
        </w:rPr>
        <w:t>,</w:t>
      </w:r>
      <w:r w:rsidRPr="000E6719">
        <w:rPr>
          <w:rFonts w:cs="Arial"/>
        </w:rPr>
        <w:t xml:space="preserve"> davant la comissió de fets antijurídics (delictes), </w:t>
      </w:r>
      <w:r>
        <w:rPr>
          <w:rFonts w:cs="Arial"/>
        </w:rPr>
        <w:t xml:space="preserve">es </w:t>
      </w:r>
      <w:r w:rsidRPr="000E6719">
        <w:rPr>
          <w:rFonts w:cs="Arial"/>
        </w:rPr>
        <w:t xml:space="preserve">permet als òrgans judicials donar una resposta sancionadora menys aflictiva que l’ingrés </w:t>
      </w:r>
      <w:r>
        <w:rPr>
          <w:rFonts w:cs="Arial"/>
        </w:rPr>
        <w:t>a</w:t>
      </w:r>
      <w:r w:rsidRPr="000E6719">
        <w:rPr>
          <w:rFonts w:cs="Arial"/>
        </w:rPr>
        <w:t xml:space="preserve"> una institució penitenciària, la qual, d’acord amb l’orientació reeducativa i de reinserció social de les penes i mesures de seguretat que recull la Constitució, combina els elements retributius amb d’altres </w:t>
      </w:r>
      <w:r>
        <w:rPr>
          <w:rFonts w:cs="Arial"/>
        </w:rPr>
        <w:t xml:space="preserve">de </w:t>
      </w:r>
      <w:r w:rsidRPr="000E6719">
        <w:rPr>
          <w:rFonts w:cs="Arial"/>
        </w:rPr>
        <w:t>més adreçats a la prevenció general i, sobretot, especial (reducció del risc de reincidència mitjançant l’abordatge de les causes que motiven el delicte).</w:t>
      </w:r>
    </w:p>
    <w:p w:rsidR="00507FE7" w:rsidRPr="000E6719" w:rsidRDefault="00507FE7" w:rsidP="00A41348">
      <w:pPr>
        <w:rPr>
          <w:rFonts w:cs="Arial"/>
        </w:rPr>
      </w:pPr>
      <w:r w:rsidRPr="000E6719">
        <w:rPr>
          <w:rFonts w:cs="Arial"/>
        </w:rPr>
        <w:t>Les mesures penals alternatives les podem dividir en tres grans grups:</w:t>
      </w:r>
    </w:p>
    <w:p w:rsidR="00507FE7" w:rsidRPr="000E6719" w:rsidRDefault="00507FE7" w:rsidP="00904443">
      <w:pPr>
        <w:numPr>
          <w:ilvl w:val="0"/>
          <w:numId w:val="42"/>
        </w:numPr>
        <w:spacing w:before="0" w:after="200"/>
        <w:rPr>
          <w:rFonts w:cs="Arial"/>
        </w:rPr>
      </w:pPr>
      <w:r w:rsidRPr="000E6719">
        <w:rPr>
          <w:rFonts w:cs="Arial"/>
        </w:rPr>
        <w:t xml:space="preserve">Els </w:t>
      </w:r>
      <w:r>
        <w:rPr>
          <w:rFonts w:cs="Arial"/>
        </w:rPr>
        <w:t>t</w:t>
      </w:r>
      <w:r w:rsidRPr="000E6719">
        <w:rPr>
          <w:rFonts w:cs="Arial"/>
        </w:rPr>
        <w:t xml:space="preserve">reballs en benefici de la </w:t>
      </w:r>
      <w:r>
        <w:rPr>
          <w:rFonts w:cs="Arial"/>
        </w:rPr>
        <w:t>c</w:t>
      </w:r>
      <w:r w:rsidRPr="000E6719">
        <w:rPr>
          <w:rFonts w:cs="Arial"/>
        </w:rPr>
        <w:t xml:space="preserve">omunitat, </w:t>
      </w:r>
      <w:r>
        <w:rPr>
          <w:rFonts w:cs="Arial"/>
        </w:rPr>
        <w:t>regulats per l’</w:t>
      </w:r>
      <w:r w:rsidRPr="000E6719">
        <w:rPr>
          <w:rFonts w:cs="Arial"/>
        </w:rPr>
        <w:t xml:space="preserve">article 49 del </w:t>
      </w:r>
      <w:r>
        <w:rPr>
          <w:rFonts w:cs="Arial"/>
        </w:rPr>
        <w:t>C</w:t>
      </w:r>
      <w:r w:rsidRPr="000E6719">
        <w:rPr>
          <w:rFonts w:cs="Arial"/>
        </w:rPr>
        <w:t>odi penal</w:t>
      </w:r>
      <w:r>
        <w:rPr>
          <w:rFonts w:cs="Arial"/>
        </w:rPr>
        <w:t>.</w:t>
      </w:r>
    </w:p>
    <w:p w:rsidR="00507FE7" w:rsidRPr="000E6719" w:rsidRDefault="00507FE7" w:rsidP="00904443">
      <w:pPr>
        <w:numPr>
          <w:ilvl w:val="0"/>
          <w:numId w:val="42"/>
        </w:numPr>
        <w:spacing w:before="0" w:after="200"/>
        <w:rPr>
          <w:rFonts w:cs="Arial"/>
        </w:rPr>
      </w:pPr>
      <w:r>
        <w:rPr>
          <w:rFonts w:cs="Arial"/>
        </w:rPr>
        <w:t>L</w:t>
      </w:r>
      <w:r w:rsidRPr="000E6719">
        <w:rPr>
          <w:rFonts w:cs="Arial"/>
        </w:rPr>
        <w:t xml:space="preserve">es obligacions derivades de la suspensió dels articles 80 i següents (abans de la reforma  del </w:t>
      </w:r>
      <w:r>
        <w:rPr>
          <w:rFonts w:cs="Arial"/>
        </w:rPr>
        <w:t>Codi penal</w:t>
      </w:r>
      <w:r w:rsidRPr="000E6719">
        <w:rPr>
          <w:rFonts w:cs="Arial"/>
        </w:rPr>
        <w:t>, març de 2015, també substitució de penes de presó)</w:t>
      </w:r>
      <w:r>
        <w:rPr>
          <w:rFonts w:cs="Arial"/>
        </w:rPr>
        <w:t>,</w:t>
      </w:r>
      <w:r w:rsidRPr="000E6719">
        <w:rPr>
          <w:rFonts w:cs="Arial"/>
        </w:rPr>
        <w:t xml:space="preserve"> com </w:t>
      </w:r>
      <w:r>
        <w:rPr>
          <w:rFonts w:cs="Arial"/>
        </w:rPr>
        <w:t xml:space="preserve">ara </w:t>
      </w:r>
      <w:r w:rsidRPr="000E6719">
        <w:rPr>
          <w:rFonts w:cs="Arial"/>
        </w:rPr>
        <w:t xml:space="preserve">els programes formatius de violència de gènere, domèstica, intrafamiliar o sexual i els programes formatius de seguretat vial, els tractaments de deshabituació a </w:t>
      </w:r>
      <w:r w:rsidRPr="000E6719">
        <w:rPr>
          <w:rFonts w:cs="Arial"/>
        </w:rPr>
        <w:lastRenderedPageBreak/>
        <w:t xml:space="preserve">substàncies tòxiques, i d’altres </w:t>
      </w:r>
      <w:r>
        <w:rPr>
          <w:rFonts w:cs="Arial"/>
        </w:rPr>
        <w:t xml:space="preserve">de </w:t>
      </w:r>
      <w:r w:rsidRPr="000E6719">
        <w:rPr>
          <w:rFonts w:cs="Arial"/>
        </w:rPr>
        <w:t xml:space="preserve">més específics, i també els treballs en benefici de la comunitat (d’acord amb la reforma de la </w:t>
      </w:r>
      <w:r>
        <w:rPr>
          <w:rFonts w:cs="Arial"/>
        </w:rPr>
        <w:t xml:space="preserve">Llei orgànica </w:t>
      </w:r>
      <w:r w:rsidRPr="000E6719">
        <w:rPr>
          <w:rFonts w:cs="Arial"/>
        </w:rPr>
        <w:t xml:space="preserve">1/2015, de 30 de març, per la qual es modifica la </w:t>
      </w:r>
      <w:r>
        <w:rPr>
          <w:rFonts w:cs="Arial"/>
        </w:rPr>
        <w:t xml:space="preserve">Llei orgànica </w:t>
      </w:r>
      <w:r w:rsidRPr="000E6719">
        <w:rPr>
          <w:rFonts w:cs="Arial"/>
        </w:rPr>
        <w:t>10/1995, de 23 de novembre, del Codi penal).</w:t>
      </w:r>
    </w:p>
    <w:p w:rsidR="00507FE7" w:rsidRPr="000E6719" w:rsidRDefault="00507FE7" w:rsidP="00904443">
      <w:pPr>
        <w:numPr>
          <w:ilvl w:val="0"/>
          <w:numId w:val="42"/>
        </w:numPr>
        <w:spacing w:before="0" w:after="200"/>
        <w:rPr>
          <w:rFonts w:cs="Arial"/>
        </w:rPr>
      </w:pPr>
      <w:r w:rsidRPr="000E6719">
        <w:rPr>
          <w:rFonts w:cs="Arial"/>
        </w:rPr>
        <w:t xml:space="preserve">Les mesures de seguretat, regulades </w:t>
      </w:r>
      <w:r>
        <w:rPr>
          <w:rFonts w:cs="Arial"/>
        </w:rPr>
        <w:t>pe</w:t>
      </w:r>
      <w:r w:rsidRPr="000E6719">
        <w:rPr>
          <w:rFonts w:cs="Arial"/>
        </w:rPr>
        <w:t>ls articles 95 i següents.</w:t>
      </w:r>
    </w:p>
    <w:p w:rsidR="00507FE7" w:rsidRPr="000E6719" w:rsidRDefault="00507FE7" w:rsidP="00A41348">
      <w:pPr>
        <w:rPr>
          <w:rFonts w:cs="Arial"/>
        </w:rPr>
      </w:pPr>
      <w:r w:rsidRPr="000E6719">
        <w:rPr>
          <w:rFonts w:cs="Arial"/>
        </w:rPr>
        <w:t xml:space="preserve">Per a l’execució d’aquestes penes i mesures de seguretat és necessària una instància de coordinació entre els òrgans judicials penals, els serveis socials i els sanitaris. El Codi penal, </w:t>
      </w:r>
      <w:r>
        <w:rPr>
          <w:rFonts w:cs="Arial"/>
        </w:rPr>
        <w:t>en</w:t>
      </w:r>
      <w:r w:rsidRPr="000E6719">
        <w:rPr>
          <w:rFonts w:cs="Arial"/>
        </w:rPr>
        <w:t xml:space="preserve"> l’article 83.4</w:t>
      </w:r>
      <w:r>
        <w:rPr>
          <w:rFonts w:cs="Arial"/>
        </w:rPr>
        <w:t>,</w:t>
      </w:r>
      <w:r w:rsidRPr="000E6719">
        <w:rPr>
          <w:rFonts w:cs="Arial"/>
        </w:rPr>
        <w:t xml:space="preserve"> estableix que el control del compliment dels deures de participar en programes formatius, de deshabituació, etc</w:t>
      </w:r>
      <w:r>
        <w:rPr>
          <w:rFonts w:cs="Arial"/>
        </w:rPr>
        <w:t>.</w:t>
      </w:r>
      <w:r w:rsidRPr="000E6719">
        <w:rPr>
          <w:rFonts w:cs="Arial"/>
        </w:rPr>
        <w:t xml:space="preserve"> correspon als serveis de gestió de penes i mesures alternatives de l’Administració penitenciària i que aquests serveis han d’informar el jutge o tribunal d’execució sobre </w:t>
      </w:r>
      <w:r>
        <w:rPr>
          <w:rFonts w:cs="Arial"/>
        </w:rPr>
        <w:t>aquest</w:t>
      </w:r>
      <w:r w:rsidRPr="000E6719">
        <w:rPr>
          <w:rFonts w:cs="Arial"/>
        </w:rPr>
        <w:t xml:space="preserve"> compliment, remissió que l’article 105 del mateix text legal </w:t>
      </w:r>
      <w:r>
        <w:rPr>
          <w:rFonts w:cs="Arial"/>
        </w:rPr>
        <w:t xml:space="preserve">reitera </w:t>
      </w:r>
      <w:r w:rsidRPr="000E6719">
        <w:rPr>
          <w:rFonts w:cs="Arial"/>
        </w:rPr>
        <w:t xml:space="preserve">respecte de les mesures de seguretat. Així mateix, l’article 49.6 estableix que els serveis socials penitenciaris </w:t>
      </w:r>
      <w:r>
        <w:rPr>
          <w:rFonts w:cs="Arial"/>
        </w:rPr>
        <w:t xml:space="preserve">han de fer </w:t>
      </w:r>
      <w:r w:rsidRPr="000E6719">
        <w:rPr>
          <w:rFonts w:cs="Arial"/>
        </w:rPr>
        <w:t>el seguiment de l’execució de la pena de treballs en benefici de la comunitat. Per tant, són els serveis socials penitenciaris esmentats els qu</w:t>
      </w:r>
      <w:r>
        <w:rPr>
          <w:rFonts w:cs="Arial"/>
        </w:rPr>
        <w:t>i</w:t>
      </w:r>
      <w:r w:rsidRPr="000E6719">
        <w:rPr>
          <w:rFonts w:cs="Arial"/>
        </w:rPr>
        <w:t xml:space="preserve"> han de donar resposta a la coordinació que ha d’establir-se entre els òrgans judicials i els serveis comunitaris.</w:t>
      </w:r>
    </w:p>
    <w:p w:rsidR="00507FE7" w:rsidRPr="000E6719" w:rsidRDefault="00507FE7" w:rsidP="00A41348">
      <w:pPr>
        <w:rPr>
          <w:rFonts w:cs="Arial"/>
        </w:rPr>
      </w:pPr>
      <w:r w:rsidRPr="000E6719">
        <w:rPr>
          <w:rFonts w:cs="Arial"/>
        </w:rPr>
        <w:t>L’article 2 del R</w:t>
      </w:r>
      <w:r>
        <w:rPr>
          <w:rFonts w:cs="Arial"/>
        </w:rPr>
        <w:t>eial decret</w:t>
      </w:r>
      <w:r w:rsidRPr="000E6719">
        <w:rPr>
          <w:rFonts w:cs="Arial"/>
        </w:rPr>
        <w:t xml:space="preserve"> 840/2011 defineix els serveis de gestió de penes i mesures alternatives com les unitats administratives multidisciplinàries dependents de l’Administració penitenciària que tenen encomanada la tasca d’execució de les mesures i penes alternatives a la privació de llibertat.</w:t>
      </w:r>
    </w:p>
    <w:p w:rsidR="00507FE7" w:rsidRPr="000E6719" w:rsidRDefault="00507FE7" w:rsidP="00A41348">
      <w:pPr>
        <w:rPr>
          <w:rFonts w:cs="Arial"/>
          <w:b/>
          <w:sz w:val="24"/>
          <w:szCs w:val="24"/>
        </w:rPr>
      </w:pPr>
    </w:p>
    <w:p w:rsidR="00507FE7" w:rsidRPr="009C10E8" w:rsidRDefault="00507FE7" w:rsidP="0070401F">
      <w:pPr>
        <w:pStyle w:val="Ttol2"/>
      </w:pPr>
      <w:bookmarkStart w:id="723" w:name="_Toc464685768"/>
      <w:bookmarkStart w:id="724" w:name="_Toc465293516"/>
      <w:r w:rsidRPr="009C10E8">
        <w:t>Model de treball</w:t>
      </w:r>
      <w:bookmarkEnd w:id="723"/>
      <w:bookmarkEnd w:id="724"/>
    </w:p>
    <w:p w:rsidR="00507FE7" w:rsidRPr="000E6719" w:rsidRDefault="00507FE7" w:rsidP="00A41348">
      <w:pPr>
        <w:rPr>
          <w:rFonts w:cs="Arial"/>
        </w:rPr>
      </w:pPr>
      <w:r w:rsidRPr="000E6719">
        <w:rPr>
          <w:rFonts w:cs="Arial"/>
        </w:rPr>
        <w:t>Dins d’aquest marc, les MPA consisteixen en el control i suport socioeducatiu que duu a terme un delegat d’execució de mesures en relació a</w:t>
      </w:r>
      <w:r>
        <w:rPr>
          <w:rFonts w:cs="Arial"/>
        </w:rPr>
        <w:t>mb e</w:t>
      </w:r>
      <w:r w:rsidRPr="000E6719">
        <w:rPr>
          <w:rFonts w:cs="Arial"/>
        </w:rPr>
        <w:t>l compliment de les penes, mesures de seguretat o obligacions que ha imposat un jutge o tribunal a l’autor d’un delicte o falta, sovint com a alternativa a l’ingrés a presó.</w:t>
      </w:r>
    </w:p>
    <w:p w:rsidR="00507FE7" w:rsidRPr="000E6719" w:rsidRDefault="00507FE7" w:rsidP="00A41348">
      <w:pPr>
        <w:rPr>
          <w:rFonts w:cs="Arial"/>
        </w:rPr>
      </w:pPr>
      <w:r w:rsidRPr="000E6719">
        <w:rPr>
          <w:rFonts w:cs="Arial"/>
        </w:rPr>
        <w:t>El treball del professional té com a eixos:</w:t>
      </w:r>
    </w:p>
    <w:p w:rsidR="00507FE7" w:rsidRPr="000E6719" w:rsidRDefault="00507FE7" w:rsidP="00904443">
      <w:pPr>
        <w:numPr>
          <w:ilvl w:val="0"/>
          <w:numId w:val="40"/>
        </w:numPr>
        <w:tabs>
          <w:tab w:val="num" w:pos="502"/>
        </w:tabs>
        <w:spacing w:before="0" w:after="200"/>
        <w:rPr>
          <w:rFonts w:cs="Arial"/>
        </w:rPr>
      </w:pPr>
      <w:r w:rsidRPr="000E6719">
        <w:rPr>
          <w:rFonts w:cs="Arial"/>
        </w:rPr>
        <w:t>Vetllar per l'adequat compliment de les penes, mesures i/o obligacions imposades, formalment i pel que fa al seu contingut.</w:t>
      </w:r>
    </w:p>
    <w:p w:rsidR="00507FE7" w:rsidRPr="000E6719" w:rsidRDefault="00507FE7" w:rsidP="00904443">
      <w:pPr>
        <w:numPr>
          <w:ilvl w:val="0"/>
          <w:numId w:val="40"/>
        </w:numPr>
        <w:tabs>
          <w:tab w:val="num" w:pos="502"/>
        </w:tabs>
        <w:spacing w:before="0" w:after="200"/>
        <w:rPr>
          <w:rFonts w:cs="Arial"/>
        </w:rPr>
      </w:pPr>
      <w:r w:rsidRPr="000E6719">
        <w:rPr>
          <w:rFonts w:cs="Arial"/>
        </w:rPr>
        <w:t xml:space="preserve">Mantenir informada la instància judicial competent sobre el compliment i l’evolució de </w:t>
      </w:r>
      <w:r>
        <w:rPr>
          <w:rFonts w:cs="Arial"/>
        </w:rPr>
        <w:t xml:space="preserve">la </w:t>
      </w:r>
      <w:r w:rsidRPr="000E6719">
        <w:rPr>
          <w:rFonts w:cs="Arial"/>
        </w:rPr>
        <w:t>MPA.</w:t>
      </w:r>
    </w:p>
    <w:p w:rsidR="00507FE7" w:rsidRPr="000E6719" w:rsidRDefault="00507FE7" w:rsidP="00904443">
      <w:pPr>
        <w:numPr>
          <w:ilvl w:val="0"/>
          <w:numId w:val="40"/>
        </w:numPr>
        <w:tabs>
          <w:tab w:val="num" w:pos="502"/>
        </w:tabs>
        <w:spacing w:before="0" w:after="200"/>
        <w:rPr>
          <w:rFonts w:cs="Arial"/>
        </w:rPr>
      </w:pPr>
      <w:r w:rsidRPr="000E6719">
        <w:rPr>
          <w:rFonts w:cs="Arial"/>
        </w:rPr>
        <w:t xml:space="preserve">Afavorir la integració social de la persona a qui s’han imposat, mitjançant el seguiment i </w:t>
      </w:r>
      <w:r>
        <w:rPr>
          <w:rFonts w:cs="Arial"/>
        </w:rPr>
        <w:t xml:space="preserve">el </w:t>
      </w:r>
      <w:r w:rsidRPr="000E6719">
        <w:rPr>
          <w:rFonts w:cs="Arial"/>
        </w:rPr>
        <w:t>suport socioeducatiu.</w:t>
      </w:r>
    </w:p>
    <w:p w:rsidR="00507FE7" w:rsidRPr="000E6719" w:rsidRDefault="00507FE7" w:rsidP="00904443">
      <w:pPr>
        <w:numPr>
          <w:ilvl w:val="0"/>
          <w:numId w:val="40"/>
        </w:numPr>
        <w:tabs>
          <w:tab w:val="num" w:pos="502"/>
        </w:tabs>
        <w:spacing w:before="0" w:after="200"/>
        <w:rPr>
          <w:rFonts w:cs="Arial"/>
        </w:rPr>
      </w:pPr>
      <w:r w:rsidRPr="000E6719">
        <w:rPr>
          <w:rFonts w:cs="Arial"/>
        </w:rPr>
        <w:t>Fomentar una dotació de recursos sociocomunitària adient a les necessitats de la població atesa.</w:t>
      </w:r>
    </w:p>
    <w:p w:rsidR="00507FE7" w:rsidRPr="000E6719" w:rsidRDefault="00507FE7" w:rsidP="00904443">
      <w:pPr>
        <w:numPr>
          <w:ilvl w:val="0"/>
          <w:numId w:val="40"/>
        </w:numPr>
        <w:tabs>
          <w:tab w:val="num" w:pos="502"/>
        </w:tabs>
        <w:spacing w:before="0" w:after="200"/>
        <w:rPr>
          <w:rFonts w:cs="Arial"/>
        </w:rPr>
      </w:pPr>
      <w:r w:rsidRPr="000E6719">
        <w:rPr>
          <w:rFonts w:cs="Arial"/>
        </w:rPr>
        <w:t>Implicar i sensibilitzar la comunitat en els processos d’execució de mesures penals alternatives.</w:t>
      </w:r>
    </w:p>
    <w:p w:rsidR="00507FE7" w:rsidRPr="000E6719" w:rsidRDefault="00507FE7" w:rsidP="00A41348">
      <w:pPr>
        <w:tabs>
          <w:tab w:val="num" w:pos="502"/>
        </w:tabs>
        <w:rPr>
          <w:rFonts w:cs="Arial"/>
        </w:rPr>
      </w:pPr>
    </w:p>
    <w:p w:rsidR="00124A65" w:rsidRDefault="00507FE7" w:rsidP="00124A65">
      <w:pPr>
        <w:keepNext/>
      </w:pPr>
      <w:r w:rsidRPr="000E6719">
        <w:rPr>
          <w:rFonts w:cs="Arial"/>
          <w:noProof/>
          <w:lang w:eastAsia="ca-ES"/>
        </w:rPr>
        <w:lastRenderedPageBreak/>
        <w:drawing>
          <wp:inline distT="0" distB="0" distL="0" distR="0" wp14:anchorId="41D0D26B" wp14:editId="03253C4D">
            <wp:extent cx="5968365" cy="2743200"/>
            <wp:effectExtent l="0" t="0" r="0" b="0"/>
            <wp:docPr id="55" name="Imat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968365" cy="2743200"/>
                    </a:xfrm>
                    <a:prstGeom prst="rect">
                      <a:avLst/>
                    </a:prstGeom>
                    <a:noFill/>
                  </pic:spPr>
                </pic:pic>
              </a:graphicData>
            </a:graphic>
          </wp:inline>
        </w:drawing>
      </w:r>
    </w:p>
    <w:p w:rsidR="00507FE7" w:rsidRPr="000E6719" w:rsidRDefault="00124A65" w:rsidP="00124A65">
      <w:pPr>
        <w:pStyle w:val="Llegenda"/>
        <w:rPr>
          <w:rFonts w:cs="Arial"/>
        </w:rPr>
      </w:pPr>
      <w:bookmarkStart w:id="725" w:name="_Toc465293878"/>
      <w:r>
        <w:t xml:space="preserve">Gràfic </w:t>
      </w:r>
      <w:r w:rsidR="00DB496B">
        <w:fldChar w:fldCharType="begin"/>
      </w:r>
      <w:r w:rsidR="00DB496B">
        <w:instrText xml:space="preserve"> SEQ Il·lustració \* ARABIC </w:instrText>
      </w:r>
      <w:r w:rsidR="00DB496B">
        <w:fldChar w:fldCharType="separate"/>
      </w:r>
      <w:r w:rsidR="00C952DF">
        <w:rPr>
          <w:noProof/>
        </w:rPr>
        <w:t>71</w:t>
      </w:r>
      <w:r w:rsidR="00DB496B">
        <w:rPr>
          <w:noProof/>
        </w:rPr>
        <w:fldChar w:fldCharType="end"/>
      </w:r>
      <w:r>
        <w:t xml:space="preserve">. </w:t>
      </w:r>
      <w:r w:rsidRPr="00EC2D65">
        <w:t>Demandes gestionades pels equips de MPA l’any 2015</w:t>
      </w:r>
      <w:bookmarkEnd w:id="725"/>
    </w:p>
    <w:p w:rsidR="00507FE7" w:rsidRPr="000E6719" w:rsidRDefault="00507FE7" w:rsidP="00A41348">
      <w:pPr>
        <w:rPr>
          <w:rFonts w:cs="Arial"/>
        </w:rPr>
      </w:pPr>
      <w:r w:rsidRPr="000E6719">
        <w:rPr>
          <w:rFonts w:cs="Arial"/>
        </w:rPr>
        <w:t>Els elements que defineixen les mesures penals alternatives són, doncs</w:t>
      </w:r>
      <w:r>
        <w:rPr>
          <w:rFonts w:cs="Arial"/>
        </w:rPr>
        <w:t>,</w:t>
      </w:r>
      <w:r w:rsidRPr="000E6719">
        <w:rPr>
          <w:rFonts w:cs="Arial"/>
        </w:rPr>
        <w:t xml:space="preserve"> el control de l’execució de la mesura, el suport socioeducatiu, el compliment d’obligacions i/o tractaments i la participació comunitària.</w:t>
      </w:r>
    </w:p>
    <w:p w:rsidR="00507FE7" w:rsidRPr="000E6719" w:rsidRDefault="00507FE7" w:rsidP="00A41348">
      <w:pPr>
        <w:rPr>
          <w:rFonts w:cs="Arial"/>
          <w:b/>
        </w:rPr>
      </w:pPr>
    </w:p>
    <w:p w:rsidR="00507FE7" w:rsidRPr="000E6719" w:rsidRDefault="00507FE7" w:rsidP="0070401F">
      <w:pPr>
        <w:pStyle w:val="Ttol3"/>
      </w:pPr>
      <w:bookmarkStart w:id="726" w:name="_Toc464685769"/>
      <w:bookmarkStart w:id="727" w:name="_Toc465293517"/>
      <w:r w:rsidRPr="000E6719">
        <w:t>Control de l’execució de la mesura</w:t>
      </w:r>
      <w:bookmarkEnd w:id="726"/>
      <w:bookmarkEnd w:id="727"/>
      <w:r w:rsidRPr="000E6719">
        <w:tab/>
      </w:r>
    </w:p>
    <w:p w:rsidR="00507FE7" w:rsidRPr="000E6719" w:rsidRDefault="00507FE7" w:rsidP="00A41348">
      <w:pPr>
        <w:rPr>
          <w:rFonts w:cs="Arial"/>
        </w:rPr>
      </w:pPr>
      <w:r w:rsidRPr="000E6719">
        <w:rPr>
          <w:rFonts w:cs="Arial"/>
        </w:rPr>
        <w:t xml:space="preserve">El control de l’execució de la MPA es duu a terme mitjançant entrevistes periòdiques amb la persona que l’ha de complir. Un element important de control és l’obligatorietat d’informar periòdicament, com a mínim cada </w:t>
      </w:r>
      <w:r>
        <w:rPr>
          <w:rFonts w:cs="Arial"/>
        </w:rPr>
        <w:t>tres</w:t>
      </w:r>
      <w:r w:rsidRPr="000E6719">
        <w:rPr>
          <w:rFonts w:cs="Arial"/>
        </w:rPr>
        <w:t xml:space="preserve"> mesos, l’òrgan judicial, tant de l’evolució de la persona com del compliment de la MPA imposada. </w:t>
      </w:r>
    </w:p>
    <w:p w:rsidR="00507FE7" w:rsidRPr="000E6719" w:rsidRDefault="00507FE7" w:rsidP="0070401F">
      <w:pPr>
        <w:pStyle w:val="Ttol3"/>
      </w:pPr>
      <w:bookmarkStart w:id="728" w:name="_Toc464685770"/>
      <w:bookmarkStart w:id="729" w:name="_Toc465293518"/>
      <w:r w:rsidRPr="000E6719">
        <w:t>Suport socioeducatiu</w:t>
      </w:r>
      <w:bookmarkEnd w:id="728"/>
      <w:bookmarkEnd w:id="729"/>
    </w:p>
    <w:p w:rsidR="00507FE7" w:rsidRPr="000E6719" w:rsidRDefault="00507FE7" w:rsidP="00A41348">
      <w:pPr>
        <w:rPr>
          <w:rFonts w:cs="Arial"/>
        </w:rPr>
      </w:pPr>
      <w:r w:rsidRPr="000E6719">
        <w:rPr>
          <w:rFonts w:cs="Arial"/>
        </w:rPr>
        <w:t>El control del compliment de les MPA ha d’anar acompanyat d’un seguiment socioeducatiu que ha de potenciar els elements de responsabilització personal i d’integració social, d’acord amb les capacitats i possibilitats de cadascú, i ha de respondre sempre al compliment concret de</w:t>
      </w:r>
      <w:r>
        <w:rPr>
          <w:rFonts w:cs="Arial"/>
        </w:rPr>
        <w:t xml:space="preserve"> cada mesura penal alternativa.</w:t>
      </w:r>
    </w:p>
    <w:p w:rsidR="00507FE7" w:rsidRPr="000E6719" w:rsidRDefault="00507FE7" w:rsidP="00A41348">
      <w:pPr>
        <w:rPr>
          <w:rFonts w:cs="Arial"/>
        </w:rPr>
      </w:pPr>
      <w:r w:rsidRPr="000E6719">
        <w:rPr>
          <w:rFonts w:cs="Arial"/>
        </w:rPr>
        <w:t>La intervenció del professional responsable d’efectuar el seguiment ha de facilitar  el compliment de la MPA i plantejar alhora una relació d’ajuda i suport que permeti abordar la situació de cada persona en els àmbits necessaris (personal, familiar, social i  judicial) per assolir els objectius establerts.</w:t>
      </w:r>
    </w:p>
    <w:p w:rsidR="00507FE7" w:rsidRPr="000E6719" w:rsidRDefault="00507FE7" w:rsidP="00A41348">
      <w:pPr>
        <w:rPr>
          <w:rFonts w:cs="Arial"/>
          <w:b/>
        </w:rPr>
      </w:pPr>
    </w:p>
    <w:p w:rsidR="00507FE7" w:rsidRPr="000E6719" w:rsidRDefault="00507FE7" w:rsidP="0070401F">
      <w:pPr>
        <w:pStyle w:val="Ttol3"/>
      </w:pPr>
      <w:bookmarkStart w:id="730" w:name="_Toc464685771"/>
      <w:bookmarkStart w:id="731" w:name="_Toc465293519"/>
      <w:r w:rsidRPr="000E6719">
        <w:t>Compliment d’obligacions i/o tractaments</w:t>
      </w:r>
      <w:bookmarkEnd w:id="730"/>
      <w:bookmarkEnd w:id="731"/>
    </w:p>
    <w:p w:rsidR="00507FE7" w:rsidRPr="000E6719" w:rsidRDefault="00507FE7" w:rsidP="00A41348">
      <w:pPr>
        <w:rPr>
          <w:rFonts w:cs="Arial"/>
        </w:rPr>
      </w:pPr>
      <w:r w:rsidRPr="000E6719">
        <w:rPr>
          <w:rFonts w:cs="Arial"/>
        </w:rPr>
        <w:t>Comporta el compliment de les activitats o tractaments, prèviament acordats pel jutge o tribunal, i comporta, en molts casos, un cert compromís d’acceptació i participació de la persona. En aquest sentit, podem parlar, independentment de la responsabilitat criminal, de la responsabilitat personal.</w:t>
      </w:r>
    </w:p>
    <w:p w:rsidR="00507FE7" w:rsidRPr="000E6719" w:rsidRDefault="00507FE7" w:rsidP="00A41348">
      <w:pPr>
        <w:rPr>
          <w:rFonts w:cs="Arial"/>
        </w:rPr>
      </w:pPr>
      <w:r w:rsidRPr="000E6719">
        <w:rPr>
          <w:rFonts w:cs="Arial"/>
        </w:rPr>
        <w:t>El grau de compromís i acceptació canvia en cada MPA</w:t>
      </w:r>
      <w:r>
        <w:rPr>
          <w:rFonts w:cs="Arial"/>
        </w:rPr>
        <w:t>,</w:t>
      </w:r>
      <w:r w:rsidRPr="000E6719">
        <w:rPr>
          <w:rFonts w:cs="Arial"/>
        </w:rPr>
        <w:t xml:space="preserve"> i varia també en funció de la persona i el moment en què es troba. Així, pot ser pràcticament nul en el cas de les mesures de seguretat d’internament psiquiàtric i, per contra, significar un grau important de </w:t>
      </w:r>
      <w:r w:rsidRPr="000E6719">
        <w:rPr>
          <w:rFonts w:cs="Arial"/>
        </w:rPr>
        <w:lastRenderedPageBreak/>
        <w:t>compromís  en els treballs en benefici de la comunitat. Les variables que determinen el grau de compromís que és possible assolir i amb el qual es pot treballar són:</w:t>
      </w:r>
    </w:p>
    <w:p w:rsidR="00507FE7" w:rsidRPr="00A97384" w:rsidRDefault="00507FE7" w:rsidP="00904443">
      <w:pPr>
        <w:pStyle w:val="Pargrafdellista"/>
        <w:numPr>
          <w:ilvl w:val="0"/>
          <w:numId w:val="49"/>
        </w:numPr>
        <w:spacing w:before="0" w:after="200"/>
        <w:rPr>
          <w:rFonts w:cs="Arial"/>
        </w:rPr>
      </w:pPr>
      <w:r w:rsidRPr="00A97384">
        <w:rPr>
          <w:rFonts w:cs="Arial"/>
        </w:rPr>
        <w:t>Les característiques personals de la persona sentenciada.</w:t>
      </w:r>
    </w:p>
    <w:p w:rsidR="00507FE7" w:rsidRPr="00A97384" w:rsidRDefault="00507FE7" w:rsidP="00904443">
      <w:pPr>
        <w:pStyle w:val="Pargrafdellista"/>
        <w:numPr>
          <w:ilvl w:val="0"/>
          <w:numId w:val="49"/>
        </w:numPr>
        <w:spacing w:before="0" w:after="200"/>
        <w:rPr>
          <w:rFonts w:cs="Arial"/>
        </w:rPr>
      </w:pPr>
      <w:r w:rsidRPr="00A97384">
        <w:rPr>
          <w:rFonts w:cs="Arial"/>
        </w:rPr>
        <w:t>L’adequació de les obligacions imposades a les seves capacitats personals.</w:t>
      </w:r>
    </w:p>
    <w:p w:rsidR="00507FE7" w:rsidRPr="00A97384" w:rsidRDefault="00507FE7" w:rsidP="00904443">
      <w:pPr>
        <w:pStyle w:val="Pargrafdellista"/>
        <w:numPr>
          <w:ilvl w:val="0"/>
          <w:numId w:val="49"/>
        </w:numPr>
        <w:spacing w:before="0" w:after="200"/>
        <w:rPr>
          <w:rFonts w:cs="Arial"/>
        </w:rPr>
      </w:pPr>
      <w:r w:rsidRPr="00A97384">
        <w:rPr>
          <w:rFonts w:cs="Arial"/>
        </w:rPr>
        <w:t>La necessitat de complir allò que disposi la resolució judicial.</w:t>
      </w:r>
    </w:p>
    <w:p w:rsidR="00507FE7" w:rsidRPr="000E6719" w:rsidRDefault="00507FE7" w:rsidP="0070401F">
      <w:pPr>
        <w:pStyle w:val="Ttol3"/>
      </w:pPr>
      <w:bookmarkStart w:id="732" w:name="_Toc464685772"/>
      <w:bookmarkStart w:id="733" w:name="_Toc465293520"/>
      <w:r w:rsidRPr="000E6719">
        <w:t>Participació comunitària</w:t>
      </w:r>
      <w:bookmarkEnd w:id="732"/>
      <w:bookmarkEnd w:id="733"/>
    </w:p>
    <w:p w:rsidR="00507FE7" w:rsidRPr="000E6719" w:rsidRDefault="00507FE7" w:rsidP="00A41348">
      <w:pPr>
        <w:rPr>
          <w:rFonts w:cs="Arial"/>
        </w:rPr>
      </w:pPr>
      <w:r w:rsidRPr="000E6719">
        <w:rPr>
          <w:rFonts w:cs="Arial"/>
        </w:rPr>
        <w:t>La participació activa de la comunitat amb els recursos institucionals i humans és un element fonamental. Cal també comptar amb la família com un possible element de suport i amb altres grups secundaris que poden incidir positivament en els processos d’integració social.</w:t>
      </w:r>
    </w:p>
    <w:p w:rsidR="00507FE7" w:rsidRPr="000E6719" w:rsidRDefault="00507FE7" w:rsidP="00A41348">
      <w:pPr>
        <w:rPr>
          <w:rFonts w:cs="Arial"/>
        </w:rPr>
      </w:pPr>
      <w:r w:rsidRPr="000E6719">
        <w:rPr>
          <w:rFonts w:cs="Arial"/>
        </w:rPr>
        <w:t>La intervenció del delegat d’execució de mesures s’emmarca en una tasca de coordinació regular i continuada amb els recursos comunitaris de l’entorn sociocultural i geogràfic més proper, per tal que aquests recursos i la mateixa comunitat, fent-ne ús, puguin donar suport a la persona sotmesa a mesura.</w:t>
      </w:r>
    </w:p>
    <w:p w:rsidR="00507FE7" w:rsidRPr="000E6719" w:rsidRDefault="00507FE7" w:rsidP="00A41348">
      <w:pPr>
        <w:rPr>
          <w:rFonts w:cs="Arial"/>
        </w:rPr>
      </w:pPr>
      <w:r>
        <w:rPr>
          <w:rFonts w:cs="Arial"/>
        </w:rPr>
        <w:t>L’</w:t>
      </w:r>
      <w:r w:rsidRPr="000E6719">
        <w:rPr>
          <w:rFonts w:cs="Arial"/>
        </w:rPr>
        <w:t>execució a la comunitat té tres objectius bàsics:</w:t>
      </w:r>
    </w:p>
    <w:p w:rsidR="00507FE7" w:rsidRPr="00A97384" w:rsidRDefault="00507FE7" w:rsidP="00904443">
      <w:pPr>
        <w:pStyle w:val="Pargrafdellista"/>
        <w:numPr>
          <w:ilvl w:val="0"/>
          <w:numId w:val="50"/>
        </w:numPr>
        <w:tabs>
          <w:tab w:val="num" w:pos="1069"/>
        </w:tabs>
        <w:spacing w:before="0" w:after="200"/>
        <w:rPr>
          <w:rFonts w:cs="Arial"/>
        </w:rPr>
      </w:pPr>
      <w:r w:rsidRPr="00A97384">
        <w:rPr>
          <w:rFonts w:cs="Arial"/>
        </w:rPr>
        <w:t xml:space="preserve">Sensibilitzar les diferents institucions (òrgans judicials, centres de tractament, etc.) sobre la necessitat de desenvolupament de sancions penals alternatives a la presó. </w:t>
      </w:r>
    </w:p>
    <w:p w:rsidR="00507FE7" w:rsidRPr="00A97384" w:rsidRDefault="00507FE7" w:rsidP="00904443">
      <w:pPr>
        <w:pStyle w:val="Pargrafdellista"/>
        <w:numPr>
          <w:ilvl w:val="0"/>
          <w:numId w:val="50"/>
        </w:numPr>
        <w:tabs>
          <w:tab w:val="num" w:pos="1069"/>
        </w:tabs>
        <w:spacing w:before="0" w:after="200"/>
        <w:rPr>
          <w:rFonts w:cs="Arial"/>
        </w:rPr>
      </w:pPr>
      <w:r w:rsidRPr="00A97384">
        <w:rPr>
          <w:rFonts w:cs="Arial"/>
        </w:rPr>
        <w:t>Afavorir la responsabilització i implicació de la societat en el desenvolupament d’aquests programes.</w:t>
      </w:r>
    </w:p>
    <w:p w:rsidR="00507FE7" w:rsidRPr="00A97384" w:rsidRDefault="00507FE7" w:rsidP="00904443">
      <w:pPr>
        <w:pStyle w:val="Pargrafdellista"/>
        <w:numPr>
          <w:ilvl w:val="0"/>
          <w:numId w:val="50"/>
        </w:numPr>
        <w:tabs>
          <w:tab w:val="num" w:pos="1069"/>
        </w:tabs>
        <w:spacing w:before="0" w:after="200"/>
        <w:rPr>
          <w:rFonts w:cs="Arial"/>
        </w:rPr>
      </w:pPr>
      <w:r w:rsidRPr="00A97384">
        <w:rPr>
          <w:rFonts w:cs="Arial"/>
        </w:rPr>
        <w:t>Fomentar la dotació de recursos adients, contribuir a l’avaluació dels existents i fer propostes de col·laboració amb altres organismes o administracions.</w:t>
      </w:r>
    </w:p>
    <w:p w:rsidR="00507FE7" w:rsidRPr="000E6719" w:rsidRDefault="00507FE7" w:rsidP="00A41348">
      <w:pPr>
        <w:tabs>
          <w:tab w:val="num" w:pos="1069"/>
        </w:tabs>
        <w:rPr>
          <w:rFonts w:cs="Arial"/>
        </w:rPr>
      </w:pPr>
    </w:p>
    <w:p w:rsidR="00124A65" w:rsidRDefault="00507FE7" w:rsidP="00124A65">
      <w:pPr>
        <w:keepNext/>
      </w:pPr>
      <w:bookmarkStart w:id="734" w:name="_Toc89604204"/>
      <w:bookmarkStart w:id="735" w:name="_Toc89655007"/>
      <w:bookmarkStart w:id="736" w:name="_Toc455061241"/>
      <w:r w:rsidRPr="000E6719">
        <w:rPr>
          <w:rFonts w:cs="Arial"/>
          <w:b/>
          <w:i/>
          <w:noProof/>
          <w:lang w:eastAsia="ca-ES"/>
        </w:rPr>
        <w:drawing>
          <wp:inline distT="0" distB="0" distL="0" distR="0" wp14:anchorId="48D10627" wp14:editId="15E5E328">
            <wp:extent cx="5614670" cy="1755775"/>
            <wp:effectExtent l="0" t="0" r="5080" b="0"/>
            <wp:docPr id="56" name="Imat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614670" cy="1755775"/>
                    </a:xfrm>
                    <a:prstGeom prst="rect">
                      <a:avLst/>
                    </a:prstGeom>
                    <a:noFill/>
                  </pic:spPr>
                </pic:pic>
              </a:graphicData>
            </a:graphic>
          </wp:inline>
        </w:drawing>
      </w:r>
    </w:p>
    <w:p w:rsidR="00507FE7" w:rsidRPr="000E6719" w:rsidRDefault="00752E4C" w:rsidP="00124A65">
      <w:pPr>
        <w:pStyle w:val="Llegenda"/>
        <w:rPr>
          <w:rFonts w:cs="Arial"/>
          <w:b w:val="0"/>
          <w:i/>
        </w:rPr>
      </w:pPr>
      <w:bookmarkStart w:id="737" w:name="_Toc465293879"/>
      <w:r>
        <w:t xml:space="preserve">Gràfic </w:t>
      </w:r>
      <w:r w:rsidR="00DB496B">
        <w:fldChar w:fldCharType="begin"/>
      </w:r>
      <w:r w:rsidR="00DB496B">
        <w:instrText xml:space="preserve"> SEQ Il·lustració \* ARABIC </w:instrText>
      </w:r>
      <w:r w:rsidR="00DB496B">
        <w:fldChar w:fldCharType="separate"/>
      </w:r>
      <w:r w:rsidR="00C952DF">
        <w:rPr>
          <w:noProof/>
        </w:rPr>
        <w:t>72</w:t>
      </w:r>
      <w:r w:rsidR="00DB496B">
        <w:rPr>
          <w:noProof/>
        </w:rPr>
        <w:fldChar w:fldCharType="end"/>
      </w:r>
      <w:r w:rsidR="00124A65">
        <w:t xml:space="preserve">. </w:t>
      </w:r>
      <w:r w:rsidR="00124A65" w:rsidRPr="00B559B2">
        <w:t>Entitats, equipaments i places disponibles per a treballs en benefici de la comunitat</w:t>
      </w:r>
      <w:bookmarkEnd w:id="737"/>
    </w:p>
    <w:p w:rsidR="00507FE7" w:rsidRPr="000E6719" w:rsidRDefault="00507FE7" w:rsidP="00A41348">
      <w:pPr>
        <w:rPr>
          <w:rFonts w:cs="Arial"/>
          <w:i/>
        </w:rPr>
      </w:pPr>
    </w:p>
    <w:p w:rsidR="00507FE7" w:rsidRPr="000E6719" w:rsidRDefault="00507FE7" w:rsidP="0070401F">
      <w:pPr>
        <w:pStyle w:val="Ttol4"/>
      </w:pPr>
      <w:r w:rsidRPr="000E6719">
        <w:t xml:space="preserve">Principis bàsics d’actuació </w:t>
      </w:r>
    </w:p>
    <w:bookmarkEnd w:id="734"/>
    <w:bookmarkEnd w:id="735"/>
    <w:bookmarkEnd w:id="736"/>
    <w:p w:rsidR="00507FE7" w:rsidRPr="000E6719" w:rsidRDefault="00507FE7" w:rsidP="00904443">
      <w:pPr>
        <w:numPr>
          <w:ilvl w:val="0"/>
          <w:numId w:val="44"/>
        </w:numPr>
        <w:spacing w:before="0" w:after="200"/>
        <w:rPr>
          <w:rFonts w:cs="Arial"/>
        </w:rPr>
      </w:pPr>
      <w:r w:rsidRPr="000E6719">
        <w:rPr>
          <w:rFonts w:cs="Arial"/>
        </w:rPr>
        <w:t>Igualtat davant la llei</w:t>
      </w:r>
    </w:p>
    <w:p w:rsidR="00507FE7" w:rsidRPr="000E6719" w:rsidRDefault="00507FE7" w:rsidP="00904443">
      <w:pPr>
        <w:numPr>
          <w:ilvl w:val="0"/>
          <w:numId w:val="44"/>
        </w:numPr>
        <w:spacing w:before="0" w:after="200"/>
        <w:rPr>
          <w:rFonts w:cs="Arial"/>
        </w:rPr>
      </w:pPr>
      <w:bookmarkStart w:id="738" w:name="_Toc89488107"/>
      <w:bookmarkStart w:id="739" w:name="_Toc89604206"/>
      <w:bookmarkStart w:id="740" w:name="_Toc89655009"/>
      <w:r w:rsidRPr="000E6719">
        <w:rPr>
          <w:rFonts w:cs="Arial"/>
        </w:rPr>
        <w:t>Respecte als drets i garantie</w:t>
      </w:r>
      <w:bookmarkEnd w:id="738"/>
      <w:r w:rsidRPr="000E6719">
        <w:rPr>
          <w:rFonts w:cs="Arial"/>
        </w:rPr>
        <w:t>s</w:t>
      </w:r>
      <w:bookmarkEnd w:id="739"/>
      <w:bookmarkEnd w:id="740"/>
    </w:p>
    <w:p w:rsidR="00507FE7" w:rsidRPr="000E6719" w:rsidRDefault="00507FE7" w:rsidP="00904443">
      <w:pPr>
        <w:numPr>
          <w:ilvl w:val="0"/>
          <w:numId w:val="44"/>
        </w:numPr>
        <w:spacing w:before="0" w:after="200"/>
        <w:rPr>
          <w:rFonts w:cs="Arial"/>
        </w:rPr>
      </w:pPr>
      <w:bookmarkStart w:id="741" w:name="_Toc89488108"/>
      <w:bookmarkStart w:id="742" w:name="_Toc89604207"/>
      <w:bookmarkStart w:id="743" w:name="_Toc89655010"/>
      <w:r w:rsidRPr="000E6719">
        <w:rPr>
          <w:rFonts w:cs="Arial"/>
        </w:rPr>
        <w:t>Individualització de les respostes</w:t>
      </w:r>
      <w:bookmarkEnd w:id="741"/>
      <w:bookmarkEnd w:id="742"/>
      <w:bookmarkEnd w:id="743"/>
    </w:p>
    <w:p w:rsidR="00507FE7" w:rsidRPr="00AC46E5" w:rsidRDefault="00507FE7" w:rsidP="00904443">
      <w:pPr>
        <w:numPr>
          <w:ilvl w:val="0"/>
          <w:numId w:val="44"/>
        </w:numPr>
        <w:spacing w:before="0" w:after="200"/>
        <w:rPr>
          <w:rFonts w:cs="Arial"/>
        </w:rPr>
      </w:pPr>
      <w:bookmarkStart w:id="744" w:name="_Toc89488109"/>
      <w:bookmarkStart w:id="745" w:name="_Toc89604208"/>
      <w:bookmarkStart w:id="746" w:name="_Toc89655011"/>
      <w:r w:rsidRPr="00AC46E5">
        <w:rPr>
          <w:rFonts w:cs="Arial"/>
        </w:rPr>
        <w:t>Principi de corresponsabilitat</w:t>
      </w:r>
      <w:bookmarkEnd w:id="744"/>
      <w:bookmarkEnd w:id="745"/>
      <w:bookmarkEnd w:id="746"/>
    </w:p>
    <w:p w:rsidR="00507FE7" w:rsidRPr="00AC46E5" w:rsidRDefault="00507FE7" w:rsidP="00A41348">
      <w:pPr>
        <w:rPr>
          <w:rFonts w:cs="Arial"/>
        </w:rPr>
      </w:pPr>
      <w:r w:rsidRPr="00AC46E5">
        <w:rPr>
          <w:rFonts w:cs="Arial"/>
        </w:rPr>
        <w:t xml:space="preserve">      Aquest principi té dos vessants:</w:t>
      </w:r>
    </w:p>
    <w:p w:rsidR="00507FE7" w:rsidRPr="00AC46E5" w:rsidRDefault="00507FE7" w:rsidP="00A41348">
      <w:pPr>
        <w:ind w:left="360"/>
        <w:rPr>
          <w:rFonts w:cs="Arial"/>
        </w:rPr>
      </w:pPr>
      <w:r w:rsidRPr="00AC46E5">
        <w:rPr>
          <w:rFonts w:cs="Arial"/>
        </w:rPr>
        <w:t xml:space="preserve">  Responsabilitat individual de la persona infractora </w:t>
      </w:r>
    </w:p>
    <w:p w:rsidR="00507FE7" w:rsidRPr="000E6719" w:rsidRDefault="00507FE7" w:rsidP="00A41348">
      <w:pPr>
        <w:ind w:left="360"/>
        <w:rPr>
          <w:rFonts w:cs="Arial"/>
        </w:rPr>
      </w:pPr>
      <w:r w:rsidRPr="00AC46E5">
        <w:rPr>
          <w:rFonts w:cs="Arial"/>
        </w:rPr>
        <w:lastRenderedPageBreak/>
        <w:t xml:space="preserve">  Responsabilitat de la societat i dels poders públics respecte de les persones infractores</w:t>
      </w:r>
    </w:p>
    <w:p w:rsidR="00507FE7" w:rsidRPr="000E6719" w:rsidRDefault="00507FE7" w:rsidP="00904443">
      <w:pPr>
        <w:numPr>
          <w:ilvl w:val="0"/>
          <w:numId w:val="44"/>
        </w:numPr>
        <w:spacing w:before="0" w:after="200"/>
        <w:rPr>
          <w:rFonts w:cs="Arial"/>
        </w:rPr>
      </w:pPr>
      <w:bookmarkStart w:id="747" w:name="_Toc89488110"/>
      <w:bookmarkStart w:id="748" w:name="_Toc89604209"/>
      <w:bookmarkStart w:id="749" w:name="_Toc89655012"/>
      <w:r w:rsidRPr="000E6719">
        <w:rPr>
          <w:rFonts w:cs="Arial"/>
        </w:rPr>
        <w:t>Transitorietat i temporalitat de la  intervenció</w:t>
      </w:r>
      <w:bookmarkEnd w:id="747"/>
      <w:bookmarkEnd w:id="748"/>
      <w:bookmarkEnd w:id="749"/>
      <w:r w:rsidRPr="000E6719">
        <w:rPr>
          <w:rFonts w:cs="Arial"/>
        </w:rPr>
        <w:t xml:space="preserve"> </w:t>
      </w:r>
      <w:bookmarkStart w:id="750" w:name="_Toc89488111"/>
      <w:bookmarkStart w:id="751" w:name="_Toc89604210"/>
      <w:bookmarkStart w:id="752" w:name="_Toc89655013"/>
    </w:p>
    <w:p w:rsidR="00507FE7" w:rsidRPr="000E6719" w:rsidRDefault="00507FE7" w:rsidP="00904443">
      <w:pPr>
        <w:numPr>
          <w:ilvl w:val="0"/>
          <w:numId w:val="44"/>
        </w:numPr>
        <w:spacing w:before="0" w:after="200"/>
        <w:rPr>
          <w:rFonts w:cs="Arial"/>
        </w:rPr>
      </w:pPr>
      <w:r w:rsidRPr="000E6719">
        <w:rPr>
          <w:rFonts w:cs="Arial"/>
        </w:rPr>
        <w:t>Principi d’intervenció mínima</w:t>
      </w:r>
      <w:bookmarkEnd w:id="750"/>
      <w:bookmarkEnd w:id="751"/>
      <w:bookmarkEnd w:id="752"/>
    </w:p>
    <w:p w:rsidR="00507FE7" w:rsidRPr="00A97384" w:rsidRDefault="00507FE7" w:rsidP="00904443">
      <w:pPr>
        <w:numPr>
          <w:ilvl w:val="0"/>
          <w:numId w:val="44"/>
        </w:numPr>
        <w:spacing w:before="0" w:after="200"/>
        <w:rPr>
          <w:rFonts w:cs="Arial"/>
          <w:i/>
        </w:rPr>
      </w:pPr>
      <w:bookmarkStart w:id="753" w:name="_Toc89604213"/>
      <w:bookmarkStart w:id="754" w:name="_Toc89655014"/>
      <w:r w:rsidRPr="000E6719">
        <w:rPr>
          <w:rFonts w:cs="Arial"/>
        </w:rPr>
        <w:t>Responsabilització social</w:t>
      </w:r>
      <w:bookmarkEnd w:id="753"/>
      <w:bookmarkEnd w:id="754"/>
    </w:p>
    <w:p w:rsidR="00A97384" w:rsidRPr="000E6719" w:rsidRDefault="00A97384" w:rsidP="00A97384">
      <w:pPr>
        <w:spacing w:before="0" w:after="200"/>
        <w:ind w:left="360"/>
        <w:rPr>
          <w:rFonts w:cs="Arial"/>
          <w:i/>
        </w:rPr>
      </w:pPr>
    </w:p>
    <w:p w:rsidR="00507FE7" w:rsidRDefault="00507FE7" w:rsidP="0070401F">
      <w:pPr>
        <w:pStyle w:val="Ttol2"/>
      </w:pPr>
      <w:bookmarkStart w:id="755" w:name="_Toc462140448"/>
      <w:bookmarkStart w:id="756" w:name="_Toc464685773"/>
      <w:bookmarkStart w:id="757" w:name="_Toc465293521"/>
      <w:r w:rsidRPr="000E6719">
        <w:t>Programes de treball</w:t>
      </w:r>
      <w:bookmarkEnd w:id="755"/>
      <w:bookmarkEnd w:id="756"/>
      <w:bookmarkEnd w:id="757"/>
    </w:p>
    <w:p w:rsidR="00A97384" w:rsidRPr="00A97384" w:rsidRDefault="00A97384" w:rsidP="00A97384"/>
    <w:p w:rsidR="00507FE7" w:rsidRPr="000E6719" w:rsidRDefault="00507FE7" w:rsidP="0070401F">
      <w:pPr>
        <w:pStyle w:val="Ttol3"/>
      </w:pPr>
      <w:bookmarkStart w:id="758" w:name="_Toc462140449"/>
      <w:bookmarkStart w:id="759" w:name="_Toc464685774"/>
      <w:bookmarkStart w:id="760" w:name="_Toc465293522"/>
      <w:r w:rsidRPr="000E6719">
        <w:t>Programa de treballs en benefici de la comunitat (TBC</w:t>
      </w:r>
      <w:bookmarkEnd w:id="758"/>
      <w:r w:rsidRPr="000E6719">
        <w:t>)</w:t>
      </w:r>
      <w:bookmarkEnd w:id="759"/>
      <w:bookmarkEnd w:id="760"/>
    </w:p>
    <w:p w:rsidR="00507FE7" w:rsidRPr="000E6719" w:rsidRDefault="00507FE7" w:rsidP="00A41348">
      <w:pPr>
        <w:rPr>
          <w:rFonts w:cs="Arial"/>
          <w:i/>
        </w:rPr>
      </w:pPr>
      <w:bookmarkStart w:id="761" w:name="_Toc89604215"/>
      <w:bookmarkStart w:id="762" w:name="_Toc89655016"/>
      <w:bookmarkStart w:id="763" w:name="_Toc455061243"/>
    </w:p>
    <w:p w:rsidR="00507FE7" w:rsidRPr="000E6719" w:rsidRDefault="00507FE7" w:rsidP="0070401F">
      <w:pPr>
        <w:pStyle w:val="Ttol4"/>
      </w:pPr>
      <w:r w:rsidRPr="000E6719">
        <w:t>Marc legal</w:t>
      </w:r>
      <w:bookmarkEnd w:id="761"/>
      <w:bookmarkEnd w:id="762"/>
      <w:bookmarkEnd w:id="763"/>
    </w:p>
    <w:p w:rsidR="00507FE7" w:rsidRPr="000E6719" w:rsidRDefault="00507FE7" w:rsidP="00A41348">
      <w:pPr>
        <w:rPr>
          <w:rFonts w:cs="Arial"/>
        </w:rPr>
      </w:pPr>
      <w:r w:rsidRPr="000E6719">
        <w:rPr>
          <w:rFonts w:cs="Arial"/>
        </w:rPr>
        <w:t xml:space="preserve">Els treballs en benefici de la comunitat </w:t>
      </w:r>
      <w:r>
        <w:rPr>
          <w:rFonts w:cs="Arial"/>
        </w:rPr>
        <w:t xml:space="preserve">(TBC) </w:t>
      </w:r>
      <w:r w:rsidRPr="000E6719">
        <w:rPr>
          <w:rFonts w:cs="Arial"/>
        </w:rPr>
        <w:t>poden imposar-se com a substitutius d’altres penes imposades inicialment, com a prestació que pot condicionar la suspensió de l’execució de les penes privatives de llibertat o bé directament com a penes per la comissió de diversos delictes</w:t>
      </w:r>
      <w:r>
        <w:rPr>
          <w:rFonts w:cs="Arial"/>
        </w:rPr>
        <w:t>,</w:t>
      </w:r>
      <w:r w:rsidRPr="000E6719">
        <w:rPr>
          <w:rFonts w:cs="Arial"/>
        </w:rPr>
        <w:t xml:space="preserve"> sempre amb el consentiment de la persona penada.</w:t>
      </w:r>
    </w:p>
    <w:p w:rsidR="00507FE7" w:rsidRPr="000E6719" w:rsidRDefault="00507FE7" w:rsidP="00A41348">
      <w:pPr>
        <w:rPr>
          <w:rFonts w:cs="Arial"/>
        </w:rPr>
      </w:pPr>
      <w:r w:rsidRPr="000E6719">
        <w:rPr>
          <w:rFonts w:cs="Arial"/>
        </w:rPr>
        <w:t>La reforma del Codi penal (</w:t>
      </w:r>
      <w:r>
        <w:rPr>
          <w:rFonts w:cs="Arial"/>
        </w:rPr>
        <w:t xml:space="preserve">Llei orgànica </w:t>
      </w:r>
      <w:r w:rsidRPr="000E6719">
        <w:rPr>
          <w:rFonts w:cs="Arial"/>
        </w:rPr>
        <w:t>1/2015) ha suprimit la possibilitat de substitució de la pena de presó per TBC</w:t>
      </w:r>
      <w:bookmarkStart w:id="764" w:name="_Toc89604216"/>
      <w:bookmarkStart w:id="765" w:name="_Toc89655017"/>
      <w:r w:rsidRPr="000E6719">
        <w:rPr>
          <w:rFonts w:cs="Arial"/>
        </w:rPr>
        <w:t>, però manté que la privació de llibertat corresponent a la responsabilitat personal subsidiària per impagament de multes pugui ser substituïda per treballs en benefici de la comunitat. A més, el Codi penal regula a l’article 71.2 que quan sigui procedent imposar una pena de presó inferior a tres mesos, aquesta ha de ser substituïda en tot cas per una multa, treballs en benefici de la comunitat o localització permanent.</w:t>
      </w:r>
    </w:p>
    <w:p w:rsidR="00507FE7" w:rsidRPr="000E6719" w:rsidRDefault="00507FE7" w:rsidP="00A41348">
      <w:pPr>
        <w:rPr>
          <w:rFonts w:cs="Arial"/>
          <w:i/>
        </w:rPr>
      </w:pPr>
    </w:p>
    <w:p w:rsidR="00507FE7" w:rsidRPr="000E6719" w:rsidRDefault="00507FE7" w:rsidP="0070401F">
      <w:pPr>
        <w:pStyle w:val="Ttol4"/>
      </w:pPr>
      <w:r w:rsidRPr="000E6719">
        <w:t xml:space="preserve">Contingut </w:t>
      </w:r>
      <w:bookmarkEnd w:id="764"/>
      <w:bookmarkEnd w:id="765"/>
      <w:r w:rsidRPr="000E6719">
        <w:t>i elements definitoris</w:t>
      </w:r>
    </w:p>
    <w:p w:rsidR="00507FE7" w:rsidRPr="000E6719" w:rsidRDefault="00507FE7" w:rsidP="00A41348">
      <w:pPr>
        <w:rPr>
          <w:rFonts w:cs="Arial"/>
        </w:rPr>
      </w:pPr>
      <w:r w:rsidRPr="000E6719">
        <w:rPr>
          <w:rFonts w:cs="Arial"/>
        </w:rPr>
        <w:t xml:space="preserve">La pena de treballs en benefici de la comunitat consisteix en l’obligació del penat de exercir una cooperació no retribuïda en determinades activitats d’utilitat pública o interès social, amb la finalitat de servir de reparació a la comunitat per la infracció comesa. </w:t>
      </w:r>
      <w:r>
        <w:rPr>
          <w:rFonts w:cs="Arial"/>
        </w:rPr>
        <w:t>També p</w:t>
      </w:r>
      <w:r w:rsidRPr="009C57CE">
        <w:rPr>
          <w:rFonts w:cs="Arial"/>
        </w:rPr>
        <w:t>oden consistir</w:t>
      </w:r>
      <w:r w:rsidRPr="000E6719">
        <w:rPr>
          <w:rFonts w:cs="Arial"/>
        </w:rPr>
        <w:t xml:space="preserve"> en tasques de reparació dels danys causats o de </w:t>
      </w:r>
      <w:r>
        <w:rPr>
          <w:rFonts w:cs="Arial"/>
        </w:rPr>
        <w:t xml:space="preserve">suport </w:t>
      </w:r>
      <w:r w:rsidRPr="000E6719">
        <w:rPr>
          <w:rFonts w:cs="Arial"/>
        </w:rPr>
        <w:t xml:space="preserve">o assistència a les víctimes, així com en la participació del penat en tallers o programes formatius o de reeducació, laborals, culturals, d’educació vial, sexual i altres </w:t>
      </w:r>
      <w:r>
        <w:rPr>
          <w:rFonts w:cs="Arial"/>
        </w:rPr>
        <w:t xml:space="preserve">de </w:t>
      </w:r>
      <w:r w:rsidRPr="000E6719">
        <w:rPr>
          <w:rFonts w:cs="Arial"/>
        </w:rPr>
        <w:t>similars. No es poden imposar sense el consentiment de la persona penada.</w:t>
      </w:r>
    </w:p>
    <w:p w:rsidR="00124A65" w:rsidRDefault="00507FE7" w:rsidP="00124A65">
      <w:pPr>
        <w:keepNext/>
      </w:pPr>
      <w:r w:rsidRPr="000E6719">
        <w:rPr>
          <w:rFonts w:cs="Arial"/>
          <w:noProof/>
          <w:lang w:eastAsia="ca-ES"/>
        </w:rPr>
        <w:drawing>
          <wp:inline distT="0" distB="0" distL="0" distR="0" wp14:anchorId="515D7814" wp14:editId="09D472C2">
            <wp:extent cx="5715000" cy="1791196"/>
            <wp:effectExtent l="0" t="0" r="0" b="0"/>
            <wp:docPr id="57" name="Imat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724491" cy="1794171"/>
                    </a:xfrm>
                    <a:prstGeom prst="rect">
                      <a:avLst/>
                    </a:prstGeom>
                    <a:noFill/>
                  </pic:spPr>
                </pic:pic>
              </a:graphicData>
            </a:graphic>
          </wp:inline>
        </w:drawing>
      </w:r>
    </w:p>
    <w:p w:rsidR="00507FE7" w:rsidRPr="000E6719" w:rsidRDefault="00124A65" w:rsidP="00124A65">
      <w:pPr>
        <w:pStyle w:val="Llegenda"/>
        <w:rPr>
          <w:rFonts w:cs="Arial"/>
        </w:rPr>
      </w:pPr>
      <w:bookmarkStart w:id="766" w:name="_Toc465293880"/>
      <w:r>
        <w:t xml:space="preserve">Gràfic </w:t>
      </w:r>
      <w:r w:rsidR="00DB496B">
        <w:fldChar w:fldCharType="begin"/>
      </w:r>
      <w:r w:rsidR="00DB496B">
        <w:instrText xml:space="preserve"> SEQ Il·lustració \* ARABIC </w:instrText>
      </w:r>
      <w:r w:rsidR="00DB496B">
        <w:fldChar w:fldCharType="separate"/>
      </w:r>
      <w:r w:rsidR="00C952DF">
        <w:rPr>
          <w:noProof/>
        </w:rPr>
        <w:t>73</w:t>
      </w:r>
      <w:r w:rsidR="00DB496B">
        <w:rPr>
          <w:noProof/>
        </w:rPr>
        <w:fldChar w:fldCharType="end"/>
      </w:r>
      <w:r>
        <w:t xml:space="preserve">. </w:t>
      </w:r>
      <w:r w:rsidRPr="008676DE">
        <w:t>Demandes de treballs en benefici de la comunitat: evolució recent</w:t>
      </w:r>
      <w:bookmarkEnd w:id="766"/>
    </w:p>
    <w:p w:rsidR="00507FE7" w:rsidRPr="000E6719" w:rsidRDefault="00507FE7" w:rsidP="00A41348">
      <w:pPr>
        <w:rPr>
          <w:rFonts w:cs="Arial"/>
        </w:rPr>
      </w:pPr>
    </w:p>
    <w:p w:rsidR="00507FE7" w:rsidRPr="000E6719" w:rsidRDefault="00507FE7" w:rsidP="00A97384">
      <w:pPr>
        <w:pStyle w:val="Ttol5"/>
      </w:pPr>
      <w:r w:rsidRPr="000E6719">
        <w:t>a. Les activitats</w:t>
      </w:r>
    </w:p>
    <w:p w:rsidR="00507FE7" w:rsidRPr="000E6719" w:rsidRDefault="00507FE7" w:rsidP="00904443">
      <w:pPr>
        <w:numPr>
          <w:ilvl w:val="0"/>
          <w:numId w:val="41"/>
        </w:numPr>
        <w:tabs>
          <w:tab w:val="num" w:pos="284"/>
          <w:tab w:val="num" w:pos="1069"/>
        </w:tabs>
        <w:spacing w:before="0" w:after="200"/>
        <w:ind w:left="568" w:hanging="284"/>
        <w:rPr>
          <w:rFonts w:cs="Arial"/>
        </w:rPr>
      </w:pPr>
      <w:bookmarkStart w:id="767" w:name="_Toc89604219"/>
      <w:r>
        <w:rPr>
          <w:rFonts w:cs="Arial"/>
        </w:rPr>
        <w:t xml:space="preserve">   E</w:t>
      </w:r>
      <w:r w:rsidRPr="000E6719">
        <w:rPr>
          <w:rFonts w:cs="Arial"/>
        </w:rPr>
        <w:t>n cap cas poden atemptar contra la dignitat del penat i han d’aportar elements positius, que possibilitin fer una tasca útil per a la societat. Els treballs han de ser facilitats per l’administració, la qual po</w:t>
      </w:r>
      <w:r>
        <w:rPr>
          <w:rFonts w:cs="Arial"/>
        </w:rPr>
        <w:t>t</w:t>
      </w:r>
      <w:r w:rsidRPr="000E6719">
        <w:rPr>
          <w:rFonts w:cs="Arial"/>
        </w:rPr>
        <w:t xml:space="preserve"> establir convenis amb aquesta finalitat. </w:t>
      </w:r>
    </w:p>
    <w:p w:rsidR="00507FE7" w:rsidRPr="000E6719" w:rsidRDefault="00507FE7" w:rsidP="00904443">
      <w:pPr>
        <w:numPr>
          <w:ilvl w:val="0"/>
          <w:numId w:val="41"/>
        </w:numPr>
        <w:tabs>
          <w:tab w:val="num" w:pos="284"/>
          <w:tab w:val="num" w:pos="1069"/>
        </w:tabs>
        <w:spacing w:before="0" w:after="200"/>
        <w:ind w:left="568" w:hanging="284"/>
        <w:rPr>
          <w:rFonts w:cs="Arial"/>
        </w:rPr>
      </w:pPr>
      <w:r>
        <w:rPr>
          <w:rFonts w:cs="Arial"/>
        </w:rPr>
        <w:t xml:space="preserve">   </w:t>
      </w:r>
      <w:r w:rsidRPr="000E6719">
        <w:rPr>
          <w:rFonts w:cs="Arial"/>
        </w:rPr>
        <w:t xml:space="preserve">L’esforç es tradueix a fer unes activitats que posen </w:t>
      </w:r>
      <w:r>
        <w:rPr>
          <w:rFonts w:cs="Arial"/>
        </w:rPr>
        <w:t xml:space="preserve">el penat </w:t>
      </w:r>
      <w:r w:rsidRPr="000E6719">
        <w:rPr>
          <w:rFonts w:cs="Arial"/>
        </w:rPr>
        <w:t>en contacte amb els serveis comunitaris i que no estan supeditades a aconseguir interessos econòmics.</w:t>
      </w:r>
      <w:bookmarkEnd w:id="767"/>
      <w:r w:rsidRPr="000E6719">
        <w:rPr>
          <w:rFonts w:cs="Arial"/>
        </w:rPr>
        <w:t xml:space="preserve"> El penat po</w:t>
      </w:r>
      <w:r>
        <w:rPr>
          <w:rFonts w:cs="Arial"/>
        </w:rPr>
        <w:t>t</w:t>
      </w:r>
      <w:r w:rsidRPr="000E6719">
        <w:rPr>
          <w:rFonts w:cs="Arial"/>
        </w:rPr>
        <w:t xml:space="preserve"> ser indemnitzat per les despeses de transport i, si escau, de manutenció. </w:t>
      </w:r>
      <w:bookmarkStart w:id="768" w:name="_Toc89604220"/>
    </w:p>
    <w:p w:rsidR="00507FE7" w:rsidRPr="000E6719" w:rsidRDefault="00507FE7" w:rsidP="00904443">
      <w:pPr>
        <w:numPr>
          <w:ilvl w:val="0"/>
          <w:numId w:val="41"/>
        </w:numPr>
        <w:tabs>
          <w:tab w:val="num" w:pos="284"/>
          <w:tab w:val="num" w:pos="1069"/>
        </w:tabs>
        <w:spacing w:before="0" w:after="200"/>
        <w:ind w:left="568" w:hanging="284"/>
        <w:rPr>
          <w:rFonts w:cs="Arial"/>
        </w:rPr>
      </w:pPr>
      <w:r>
        <w:rPr>
          <w:rFonts w:cs="Arial"/>
        </w:rPr>
        <w:t xml:space="preserve">   </w:t>
      </w:r>
      <w:r w:rsidRPr="000E6719">
        <w:rPr>
          <w:rFonts w:cs="Arial"/>
        </w:rPr>
        <w:t>Amb les activitats es pretén mobilitzar el penat perquè dugui a terme una acció positiva, d’utilitat pública i amb un interès social.</w:t>
      </w:r>
      <w:bookmarkEnd w:id="768"/>
    </w:p>
    <w:p w:rsidR="00507FE7" w:rsidRPr="000E6719" w:rsidRDefault="00507FE7" w:rsidP="00904443">
      <w:pPr>
        <w:numPr>
          <w:ilvl w:val="0"/>
          <w:numId w:val="41"/>
        </w:numPr>
        <w:tabs>
          <w:tab w:val="num" w:pos="284"/>
          <w:tab w:val="num" w:pos="1069"/>
        </w:tabs>
        <w:spacing w:before="0" w:after="200"/>
        <w:ind w:left="568" w:hanging="284"/>
        <w:rPr>
          <w:rFonts w:cs="Arial"/>
        </w:rPr>
      </w:pPr>
      <w:bookmarkStart w:id="769" w:name="_Toc89604221"/>
      <w:r>
        <w:rPr>
          <w:rFonts w:cs="Arial"/>
        </w:rPr>
        <w:t xml:space="preserve">   </w:t>
      </w:r>
      <w:r w:rsidRPr="000E6719">
        <w:rPr>
          <w:rFonts w:cs="Arial"/>
        </w:rPr>
        <w:t xml:space="preserve">Cal tenir en compte les característiques del penat i les seves circumstàncies socials i personals: les activitats han de permetre que entengui les conseqüències dels seus actes, tant </w:t>
      </w:r>
      <w:r>
        <w:rPr>
          <w:rFonts w:cs="Arial"/>
        </w:rPr>
        <w:t>en</w:t>
      </w:r>
      <w:r w:rsidRPr="000E6719">
        <w:rPr>
          <w:rFonts w:cs="Arial"/>
        </w:rPr>
        <w:t xml:space="preserve"> l’àmbit judicial, com </w:t>
      </w:r>
      <w:r>
        <w:rPr>
          <w:rFonts w:cs="Arial"/>
        </w:rPr>
        <w:t>per</w:t>
      </w:r>
      <w:r w:rsidRPr="000E6719">
        <w:rPr>
          <w:rFonts w:cs="Arial"/>
        </w:rPr>
        <w:t xml:space="preserve"> la repercussió social que tenen</w:t>
      </w:r>
      <w:r>
        <w:rPr>
          <w:rFonts w:cs="Arial"/>
        </w:rPr>
        <w:t>,</w:t>
      </w:r>
      <w:r w:rsidRPr="000E6719">
        <w:rPr>
          <w:rFonts w:cs="Arial"/>
        </w:rPr>
        <w:t xml:space="preserve"> i s’han de programar de manera que la persona entengui allò que se li demana i estigui en condicions de poder-ho fer sense que es produeixin situacions de risc per </w:t>
      </w:r>
      <w:r>
        <w:rPr>
          <w:rFonts w:cs="Arial"/>
        </w:rPr>
        <w:t xml:space="preserve">a </w:t>
      </w:r>
      <w:r w:rsidRPr="000E6719">
        <w:rPr>
          <w:rFonts w:cs="Arial"/>
        </w:rPr>
        <w:t xml:space="preserve">ella mateixa o per </w:t>
      </w:r>
      <w:r>
        <w:rPr>
          <w:rFonts w:cs="Arial"/>
        </w:rPr>
        <w:t xml:space="preserve">a </w:t>
      </w:r>
      <w:r w:rsidRPr="000E6719">
        <w:rPr>
          <w:rFonts w:cs="Arial"/>
        </w:rPr>
        <w:t>terceres persones</w:t>
      </w:r>
      <w:bookmarkEnd w:id="769"/>
      <w:r w:rsidRPr="000E6719">
        <w:rPr>
          <w:rFonts w:cs="Arial"/>
        </w:rPr>
        <w:t>.</w:t>
      </w:r>
    </w:p>
    <w:p w:rsidR="00507FE7" w:rsidRPr="000E6719" w:rsidRDefault="00507FE7" w:rsidP="00904443">
      <w:pPr>
        <w:numPr>
          <w:ilvl w:val="0"/>
          <w:numId w:val="41"/>
        </w:numPr>
        <w:tabs>
          <w:tab w:val="num" w:pos="284"/>
          <w:tab w:val="num" w:pos="1069"/>
        </w:tabs>
        <w:spacing w:before="0" w:after="200"/>
        <w:ind w:left="568" w:hanging="284"/>
        <w:rPr>
          <w:rFonts w:cs="Arial"/>
        </w:rPr>
      </w:pPr>
      <w:bookmarkStart w:id="770" w:name="_Toc89604223"/>
      <w:r>
        <w:rPr>
          <w:rFonts w:cs="Arial"/>
        </w:rPr>
        <w:t xml:space="preserve">   </w:t>
      </w:r>
      <w:r w:rsidRPr="000E6719">
        <w:rPr>
          <w:rFonts w:cs="Arial"/>
        </w:rPr>
        <w:t>Les activitats s’han de fer sempre en entitats públiques o privades que duguin a terme activitats d’interès públic i no poden suposar mai la realització d’una tasca que comporti l’ocupació d’un lloc de treball. Excepcionalment, el treball pot ser proposat directament pel penat. Aquesta proposta serà, en tot cas, valorada per l’administració i sotmesa a l’aprovació del jutjat competent.</w:t>
      </w:r>
      <w:bookmarkEnd w:id="770"/>
    </w:p>
    <w:p w:rsidR="00507FE7" w:rsidRPr="000E6719" w:rsidRDefault="00507FE7" w:rsidP="00904443">
      <w:pPr>
        <w:numPr>
          <w:ilvl w:val="0"/>
          <w:numId w:val="41"/>
        </w:numPr>
        <w:tabs>
          <w:tab w:val="num" w:pos="284"/>
          <w:tab w:val="num" w:pos="1069"/>
        </w:tabs>
        <w:spacing w:before="0" w:after="200"/>
        <w:ind w:left="568" w:hanging="284"/>
        <w:rPr>
          <w:rFonts w:cs="Arial"/>
        </w:rPr>
      </w:pPr>
      <w:bookmarkStart w:id="771" w:name="_Toc89604224"/>
      <w:r>
        <w:rPr>
          <w:rFonts w:cs="Arial"/>
        </w:rPr>
        <w:t xml:space="preserve">   </w:t>
      </w:r>
      <w:r w:rsidRPr="000E6719">
        <w:rPr>
          <w:rFonts w:cs="Arial"/>
        </w:rPr>
        <w:t>Les jornades pod</w:t>
      </w:r>
      <w:r>
        <w:rPr>
          <w:rFonts w:cs="Arial"/>
        </w:rPr>
        <w:t>e</w:t>
      </w:r>
      <w:r w:rsidRPr="000E6719">
        <w:rPr>
          <w:rFonts w:cs="Arial"/>
        </w:rPr>
        <w:t>n tenir una durada diària màxima de 8 hores. Per determinar la durada de la jornada s</w:t>
      </w:r>
      <w:r>
        <w:rPr>
          <w:rFonts w:cs="Arial"/>
        </w:rPr>
        <w:t>’han de</w:t>
      </w:r>
      <w:r w:rsidRPr="000E6719">
        <w:rPr>
          <w:rFonts w:cs="Arial"/>
        </w:rPr>
        <w:t xml:space="preserve"> t</w:t>
      </w:r>
      <w:r>
        <w:rPr>
          <w:rFonts w:cs="Arial"/>
        </w:rPr>
        <w:t>enir</w:t>
      </w:r>
      <w:r w:rsidRPr="000E6719">
        <w:rPr>
          <w:rFonts w:cs="Arial"/>
        </w:rPr>
        <w:t xml:space="preserve"> en compte les càrregues personals i familiars i les circumstàncies laborals. L’execució està regida pel principi de flexibilitat i</w:t>
      </w:r>
      <w:r>
        <w:rPr>
          <w:rFonts w:cs="Arial"/>
        </w:rPr>
        <w:t>,</w:t>
      </w:r>
      <w:r w:rsidRPr="000E6719">
        <w:rPr>
          <w:rFonts w:cs="Arial"/>
        </w:rPr>
        <w:t xml:space="preserve"> en aquest sentit</w:t>
      </w:r>
      <w:r>
        <w:rPr>
          <w:rFonts w:cs="Arial"/>
        </w:rPr>
        <w:t>,</w:t>
      </w:r>
      <w:r w:rsidRPr="000E6719">
        <w:rPr>
          <w:rFonts w:cs="Arial"/>
        </w:rPr>
        <w:t xml:space="preserve"> quan hi hagi causes justificades, el jutge o tribunal podrà autoritzar el compliment de </w:t>
      </w:r>
      <w:r>
        <w:rPr>
          <w:rFonts w:cs="Arial"/>
        </w:rPr>
        <w:t>for</w:t>
      </w:r>
      <w:r w:rsidRPr="000E6719">
        <w:rPr>
          <w:rFonts w:cs="Arial"/>
        </w:rPr>
        <w:t xml:space="preserve">ma partida, en el mateix </w:t>
      </w:r>
      <w:r>
        <w:rPr>
          <w:rFonts w:cs="Arial"/>
        </w:rPr>
        <w:t xml:space="preserve">dia </w:t>
      </w:r>
      <w:r w:rsidRPr="000E6719">
        <w:rPr>
          <w:rFonts w:cs="Arial"/>
        </w:rPr>
        <w:t xml:space="preserve">o </w:t>
      </w:r>
      <w:r>
        <w:rPr>
          <w:rFonts w:cs="Arial"/>
        </w:rPr>
        <w:t xml:space="preserve">en dies </w:t>
      </w:r>
      <w:r w:rsidRPr="000E6719">
        <w:rPr>
          <w:rFonts w:cs="Arial"/>
        </w:rPr>
        <w:t>diferents</w:t>
      </w:r>
      <w:bookmarkEnd w:id="771"/>
      <w:r w:rsidRPr="000E6719">
        <w:rPr>
          <w:rFonts w:cs="Arial"/>
        </w:rPr>
        <w:t>.</w:t>
      </w:r>
    </w:p>
    <w:p w:rsidR="00507FE7" w:rsidRPr="000E6719" w:rsidRDefault="00507FE7" w:rsidP="00904443">
      <w:pPr>
        <w:numPr>
          <w:ilvl w:val="0"/>
          <w:numId w:val="41"/>
        </w:numPr>
        <w:tabs>
          <w:tab w:val="num" w:pos="284"/>
          <w:tab w:val="num" w:pos="1069"/>
        </w:tabs>
        <w:spacing w:before="0" w:after="200"/>
        <w:ind w:left="568" w:hanging="284"/>
        <w:rPr>
          <w:rFonts w:cs="Arial"/>
        </w:rPr>
      </w:pPr>
      <w:bookmarkStart w:id="772" w:name="_Toc89604226"/>
      <w:r>
        <w:rPr>
          <w:rFonts w:cs="Arial"/>
        </w:rPr>
        <w:t xml:space="preserve">   </w:t>
      </w:r>
      <w:r w:rsidRPr="000E6719">
        <w:rPr>
          <w:rFonts w:cs="Arial"/>
        </w:rPr>
        <w:t xml:space="preserve">S’han de dur a terme, preferentment, en el mateix entorn del penat. </w:t>
      </w:r>
      <w:bookmarkStart w:id="773" w:name="_Toc89604227"/>
      <w:bookmarkEnd w:id="772"/>
    </w:p>
    <w:p w:rsidR="00507FE7" w:rsidRPr="000E6719" w:rsidRDefault="00507FE7" w:rsidP="00904443">
      <w:pPr>
        <w:numPr>
          <w:ilvl w:val="0"/>
          <w:numId w:val="41"/>
        </w:numPr>
        <w:tabs>
          <w:tab w:val="num" w:pos="284"/>
          <w:tab w:val="num" w:pos="1069"/>
        </w:tabs>
        <w:spacing w:before="0" w:after="200"/>
        <w:ind w:left="568" w:hanging="284"/>
        <w:rPr>
          <w:rFonts w:cs="Arial"/>
        </w:rPr>
      </w:pPr>
      <w:r>
        <w:rPr>
          <w:rFonts w:cs="Arial"/>
        </w:rPr>
        <w:t xml:space="preserve">   </w:t>
      </w:r>
      <w:r w:rsidRPr="000E6719">
        <w:rPr>
          <w:rFonts w:cs="Arial"/>
        </w:rPr>
        <w:t>Durant les activitats, l’</w:t>
      </w:r>
      <w:r>
        <w:rPr>
          <w:rFonts w:cs="Arial"/>
        </w:rPr>
        <w:t>A</w:t>
      </w:r>
      <w:r w:rsidRPr="000E6719">
        <w:rPr>
          <w:rFonts w:cs="Arial"/>
        </w:rPr>
        <w:t>dministració ha de garantir la protecció dispensada per la normativa laboral en matèria de seguretat i higiene en el treball i en matèria de seguretat social per accident de treball i malaltia professional</w:t>
      </w:r>
      <w:r>
        <w:rPr>
          <w:rFonts w:cs="Arial"/>
        </w:rPr>
        <w:t>,</w:t>
      </w:r>
      <w:r w:rsidRPr="000E6719">
        <w:rPr>
          <w:rFonts w:cs="Arial"/>
        </w:rPr>
        <w:t xml:space="preserve"> i </w:t>
      </w:r>
      <w:r>
        <w:rPr>
          <w:rFonts w:cs="Arial"/>
        </w:rPr>
        <w:t xml:space="preserve">també </w:t>
      </w:r>
      <w:r w:rsidRPr="000E6719">
        <w:rPr>
          <w:rFonts w:cs="Arial"/>
        </w:rPr>
        <w:t>la cobertura dels possibles danys que puguin ocasionar els penats, mitjançant una pòlissa de responsabilitat civil</w:t>
      </w:r>
      <w:bookmarkEnd w:id="773"/>
      <w:r w:rsidRPr="000E6719">
        <w:rPr>
          <w:rFonts w:cs="Arial"/>
        </w:rPr>
        <w:t xml:space="preserve">. </w:t>
      </w:r>
      <w:r>
        <w:rPr>
          <w:rFonts w:cs="Arial"/>
        </w:rPr>
        <w:t>L’article 11 de</w:t>
      </w:r>
      <w:r w:rsidRPr="000E6719">
        <w:rPr>
          <w:rFonts w:cs="Arial"/>
        </w:rPr>
        <w:t>l nou R</w:t>
      </w:r>
      <w:r>
        <w:rPr>
          <w:rFonts w:cs="Arial"/>
        </w:rPr>
        <w:t>eial decret</w:t>
      </w:r>
      <w:r w:rsidRPr="000E6719">
        <w:rPr>
          <w:rFonts w:cs="Arial"/>
        </w:rPr>
        <w:t xml:space="preserve"> 840/2011</w:t>
      </w:r>
      <w:r>
        <w:rPr>
          <w:rFonts w:cs="Arial"/>
        </w:rPr>
        <w:t xml:space="preserve"> </w:t>
      </w:r>
      <w:r w:rsidRPr="000E6719">
        <w:rPr>
          <w:rFonts w:cs="Arial"/>
        </w:rPr>
        <w:t>diu que els penats a treballs que e</w:t>
      </w:r>
      <w:r>
        <w:rPr>
          <w:rFonts w:cs="Arial"/>
        </w:rPr>
        <w:t>l</w:t>
      </w:r>
      <w:r w:rsidRPr="000E6719">
        <w:rPr>
          <w:rFonts w:cs="Arial"/>
        </w:rPr>
        <w:t xml:space="preserve">s </w:t>
      </w:r>
      <w:r>
        <w:rPr>
          <w:rFonts w:cs="Arial"/>
        </w:rPr>
        <w:t>estiguin</w:t>
      </w:r>
      <w:r w:rsidRPr="000E6719">
        <w:rPr>
          <w:rFonts w:cs="Arial"/>
        </w:rPr>
        <w:t xml:space="preserve"> complint, únicament estaran inclosos en l’acció protectora del </w:t>
      </w:r>
      <w:r>
        <w:rPr>
          <w:rFonts w:cs="Arial"/>
        </w:rPr>
        <w:t>r</w:t>
      </w:r>
      <w:r w:rsidRPr="000E6719">
        <w:rPr>
          <w:rFonts w:cs="Arial"/>
        </w:rPr>
        <w:t xml:space="preserve">ègim </w:t>
      </w:r>
      <w:r>
        <w:rPr>
          <w:rFonts w:cs="Arial"/>
        </w:rPr>
        <w:t>ge</w:t>
      </w:r>
      <w:r w:rsidRPr="000E6719">
        <w:rPr>
          <w:rFonts w:cs="Arial"/>
        </w:rPr>
        <w:t xml:space="preserve">neral de la Seguretat Social a efectes de les contingències d’accidents de treball i malalties professionals pels dies de prestació efectiva d’aquest treball, tret que realitzin el compliment d’aquesta pena mitjançant  la seva participació en tallers o programes formatius o de reeducació, laborals, culturals, d’educació vial, sexual i altres </w:t>
      </w:r>
      <w:r>
        <w:rPr>
          <w:rFonts w:cs="Arial"/>
        </w:rPr>
        <w:t xml:space="preserve">de </w:t>
      </w:r>
      <w:r w:rsidRPr="000E6719">
        <w:rPr>
          <w:rFonts w:cs="Arial"/>
        </w:rPr>
        <w:t xml:space="preserve">similars, cas </w:t>
      </w:r>
      <w:r>
        <w:rPr>
          <w:rFonts w:cs="Arial"/>
        </w:rPr>
        <w:t xml:space="preserve">en què </w:t>
      </w:r>
      <w:r w:rsidRPr="000E6719">
        <w:rPr>
          <w:rFonts w:cs="Arial"/>
        </w:rPr>
        <w:t>estaran exclosos de l’esmentada acció protectora. En les mateixes condicions previstes a l’apartat anterior, estaran protegits per la normativa laboral en matèria de prevenció de riscos laborals.</w:t>
      </w:r>
    </w:p>
    <w:p w:rsidR="00507FE7" w:rsidRPr="000E6719" w:rsidRDefault="00507FE7" w:rsidP="00A97384">
      <w:pPr>
        <w:pStyle w:val="Ttol5"/>
      </w:pPr>
      <w:bookmarkStart w:id="774" w:name="_Toc89604228"/>
      <w:bookmarkStart w:id="775" w:name="_Toc89655019"/>
      <w:r w:rsidRPr="000E6719">
        <w:t>b. La participació de la comunitat</w:t>
      </w:r>
      <w:bookmarkEnd w:id="774"/>
      <w:bookmarkEnd w:id="775"/>
    </w:p>
    <w:p w:rsidR="00507FE7" w:rsidRPr="000E6719" w:rsidRDefault="00507FE7" w:rsidP="00904443">
      <w:pPr>
        <w:numPr>
          <w:ilvl w:val="0"/>
          <w:numId w:val="41"/>
        </w:numPr>
        <w:tabs>
          <w:tab w:val="clear" w:pos="360"/>
          <w:tab w:val="num" w:pos="284"/>
          <w:tab w:val="num" w:pos="993"/>
          <w:tab w:val="num" w:pos="1069"/>
        </w:tabs>
        <w:spacing w:before="0" w:after="200"/>
        <w:ind w:left="568" w:hanging="284"/>
        <w:rPr>
          <w:rFonts w:cs="Arial"/>
        </w:rPr>
      </w:pPr>
      <w:bookmarkStart w:id="776" w:name="_Toc89604230"/>
      <w:r w:rsidRPr="000E6719">
        <w:rPr>
          <w:rFonts w:cs="Arial"/>
        </w:rPr>
        <w:t>La infracció comesa ha trencat l’equilibri social, i amb les activitats que fa es pretén restituir simbòlicament el dany que aquell fet ha ocasionat.</w:t>
      </w:r>
      <w:bookmarkEnd w:id="776"/>
    </w:p>
    <w:p w:rsidR="00507FE7" w:rsidRPr="000E6719" w:rsidRDefault="00507FE7" w:rsidP="00904443">
      <w:pPr>
        <w:numPr>
          <w:ilvl w:val="0"/>
          <w:numId w:val="41"/>
        </w:numPr>
        <w:tabs>
          <w:tab w:val="clear" w:pos="360"/>
          <w:tab w:val="num" w:pos="284"/>
          <w:tab w:val="num" w:pos="993"/>
          <w:tab w:val="num" w:pos="1069"/>
        </w:tabs>
        <w:spacing w:before="0" w:after="200"/>
        <w:ind w:left="568" w:hanging="284"/>
        <w:rPr>
          <w:rFonts w:cs="Arial"/>
        </w:rPr>
      </w:pPr>
      <w:bookmarkStart w:id="777" w:name="_Toc89604231"/>
      <w:r w:rsidRPr="000E6719">
        <w:rPr>
          <w:rFonts w:cs="Arial"/>
        </w:rPr>
        <w:lastRenderedPageBreak/>
        <w:t>Les entitats que presten serveis a la comunitat són un punt de referència per a la vida en societat, atès que poden facilitar que els penats s</w:t>
      </w:r>
      <w:r>
        <w:rPr>
          <w:rFonts w:cs="Arial"/>
        </w:rPr>
        <w:t>’hi</w:t>
      </w:r>
      <w:r w:rsidRPr="000E6719">
        <w:rPr>
          <w:rFonts w:cs="Arial"/>
        </w:rPr>
        <w:t xml:space="preserve"> facin un lloc i </w:t>
      </w:r>
      <w:r>
        <w:rPr>
          <w:rFonts w:cs="Arial"/>
        </w:rPr>
        <w:t xml:space="preserve">així </w:t>
      </w:r>
      <w:r w:rsidRPr="000E6719">
        <w:rPr>
          <w:rFonts w:cs="Arial"/>
        </w:rPr>
        <w:t>ser el vehicle que afavoreixi la inserció social</w:t>
      </w:r>
      <w:r>
        <w:rPr>
          <w:rFonts w:cs="Arial"/>
        </w:rPr>
        <w:t xml:space="preserve"> del penat</w:t>
      </w:r>
      <w:r w:rsidRPr="000E6719">
        <w:rPr>
          <w:rFonts w:cs="Arial"/>
        </w:rPr>
        <w:t>.</w:t>
      </w:r>
      <w:bookmarkEnd w:id="777"/>
    </w:p>
    <w:p w:rsidR="00507FE7" w:rsidRPr="000E6719" w:rsidRDefault="00507FE7" w:rsidP="00904443">
      <w:pPr>
        <w:numPr>
          <w:ilvl w:val="0"/>
          <w:numId w:val="41"/>
        </w:numPr>
        <w:tabs>
          <w:tab w:val="clear" w:pos="360"/>
          <w:tab w:val="num" w:pos="284"/>
          <w:tab w:val="num" w:pos="993"/>
          <w:tab w:val="num" w:pos="1069"/>
        </w:tabs>
        <w:spacing w:before="0" w:after="200"/>
        <w:ind w:left="568" w:hanging="284"/>
        <w:rPr>
          <w:rFonts w:cs="Arial"/>
        </w:rPr>
      </w:pPr>
      <w:bookmarkStart w:id="778" w:name="_Toc89604232"/>
      <w:r w:rsidRPr="000E6719">
        <w:rPr>
          <w:rFonts w:cs="Arial"/>
        </w:rPr>
        <w:t>A les entitats se’ls demana la col·laboració en l’execució del Programa. Aquesta col·laboració no vol dir controlar la pena, sinó que significa facilitar l’espai, la tasca i la incorporació del penat en les activitats que ha de fer i acompanyar-lo, així com donar les instruccions per a la realització de les activitats encomanades.</w:t>
      </w:r>
      <w:bookmarkEnd w:id="778"/>
    </w:p>
    <w:p w:rsidR="00507FE7" w:rsidRPr="000E6719" w:rsidRDefault="00507FE7" w:rsidP="00904443">
      <w:pPr>
        <w:numPr>
          <w:ilvl w:val="0"/>
          <w:numId w:val="41"/>
        </w:numPr>
        <w:tabs>
          <w:tab w:val="clear" w:pos="360"/>
          <w:tab w:val="num" w:pos="284"/>
          <w:tab w:val="num" w:pos="709"/>
          <w:tab w:val="num" w:pos="1069"/>
        </w:tabs>
        <w:spacing w:before="0" w:after="200"/>
        <w:ind w:left="568" w:hanging="284"/>
        <w:rPr>
          <w:rFonts w:cs="Arial"/>
        </w:rPr>
      </w:pPr>
      <w:bookmarkStart w:id="779" w:name="_Toc89604233"/>
      <w:r w:rsidRPr="000E6719">
        <w:rPr>
          <w:rFonts w:cs="Arial"/>
        </w:rPr>
        <w:t>És molt important que les entitats en les quals es duen a terme les activitats tinguin el suport institucional general</w:t>
      </w:r>
      <w:r>
        <w:rPr>
          <w:rFonts w:cs="Arial"/>
        </w:rPr>
        <w:t>,</w:t>
      </w:r>
      <w:r w:rsidRPr="000E6719">
        <w:rPr>
          <w:rFonts w:cs="Arial"/>
        </w:rPr>
        <w:t xml:space="preserve"> i </w:t>
      </w:r>
      <w:r>
        <w:rPr>
          <w:rFonts w:cs="Arial"/>
        </w:rPr>
        <w:t xml:space="preserve">també </w:t>
      </w:r>
      <w:r w:rsidRPr="000E6719">
        <w:rPr>
          <w:rFonts w:cs="Arial"/>
        </w:rPr>
        <w:t xml:space="preserve">un </w:t>
      </w:r>
      <w:r>
        <w:rPr>
          <w:rFonts w:cs="Arial"/>
        </w:rPr>
        <w:t>suport més</w:t>
      </w:r>
      <w:r w:rsidRPr="000E6719">
        <w:rPr>
          <w:rFonts w:cs="Arial"/>
        </w:rPr>
        <w:t xml:space="preserve"> específic mitjançant el seguiment del professional d’execució de mesures.</w:t>
      </w:r>
      <w:bookmarkEnd w:id="779"/>
    </w:p>
    <w:p w:rsidR="00507FE7" w:rsidRPr="000E6719" w:rsidRDefault="00507FE7" w:rsidP="00A97384">
      <w:pPr>
        <w:pStyle w:val="Ttol5"/>
      </w:pPr>
      <w:bookmarkStart w:id="780" w:name="_Toc89604234"/>
      <w:bookmarkStart w:id="781" w:name="_Toc89655020"/>
      <w:r w:rsidRPr="000E6719">
        <w:t>c. La responsabilització del penat</w:t>
      </w:r>
      <w:bookmarkEnd w:id="780"/>
      <w:bookmarkEnd w:id="781"/>
    </w:p>
    <w:p w:rsidR="00507FE7" w:rsidRDefault="00507FE7" w:rsidP="00904443">
      <w:pPr>
        <w:numPr>
          <w:ilvl w:val="0"/>
          <w:numId w:val="41"/>
        </w:numPr>
        <w:tabs>
          <w:tab w:val="clear" w:pos="360"/>
          <w:tab w:val="num" w:pos="568"/>
          <w:tab w:val="num" w:pos="993"/>
          <w:tab w:val="num" w:pos="1069"/>
        </w:tabs>
        <w:spacing w:before="0" w:after="200"/>
        <w:ind w:left="568" w:hanging="284"/>
        <w:rPr>
          <w:rFonts w:cs="Arial"/>
        </w:rPr>
      </w:pPr>
      <w:bookmarkStart w:id="782" w:name="_Toc89604235"/>
      <w:r w:rsidRPr="000E6719">
        <w:rPr>
          <w:rFonts w:cs="Arial"/>
        </w:rPr>
        <w:t>En el desenvolupament del Programa de treballs en benefici de la comunitat, el penat s'ha de comprometre a seguir-lo, ha d’assumir dur a terme unes activitats en un temps i lloc determinats; i, finalment i de ma</w:t>
      </w:r>
      <w:r>
        <w:rPr>
          <w:rFonts w:cs="Arial"/>
        </w:rPr>
        <w:t>nera</w:t>
      </w:r>
      <w:r w:rsidRPr="000E6719">
        <w:rPr>
          <w:rFonts w:cs="Arial"/>
        </w:rPr>
        <w:t xml:space="preserve"> voluntària, fer-ne una avaluació</w:t>
      </w:r>
      <w:r>
        <w:rPr>
          <w:rFonts w:cs="Arial"/>
        </w:rPr>
        <w:t>,</w:t>
      </w:r>
      <w:r w:rsidRPr="000E6719">
        <w:rPr>
          <w:rFonts w:cs="Arial"/>
        </w:rPr>
        <w:t xml:space="preserve"> en la qual estaran implicats ell mateix, l’entitat i el </w:t>
      </w:r>
      <w:bookmarkStart w:id="783" w:name="_Toc89604236"/>
      <w:bookmarkEnd w:id="782"/>
      <w:r w:rsidRPr="000E6719">
        <w:rPr>
          <w:rFonts w:cs="Arial"/>
        </w:rPr>
        <w:t>professional d’execució de mesures.</w:t>
      </w:r>
    </w:p>
    <w:p w:rsidR="00507FE7" w:rsidRPr="000E6719" w:rsidRDefault="00507FE7" w:rsidP="00904443">
      <w:pPr>
        <w:numPr>
          <w:ilvl w:val="0"/>
          <w:numId w:val="41"/>
        </w:numPr>
        <w:tabs>
          <w:tab w:val="clear" w:pos="360"/>
          <w:tab w:val="num" w:pos="284"/>
          <w:tab w:val="num" w:pos="993"/>
          <w:tab w:val="num" w:pos="1069"/>
          <w:tab w:val="num" w:pos="1276"/>
        </w:tabs>
        <w:spacing w:before="0" w:after="200"/>
        <w:ind w:left="568" w:hanging="284"/>
        <w:rPr>
          <w:rFonts w:cs="Arial"/>
        </w:rPr>
      </w:pPr>
      <w:r>
        <w:rPr>
          <w:rFonts w:cs="Arial"/>
        </w:rPr>
        <w:t>L’A</w:t>
      </w:r>
      <w:r w:rsidRPr="000E6719">
        <w:rPr>
          <w:rFonts w:cs="Arial"/>
        </w:rPr>
        <w:t xml:space="preserve">dministració ha de comunicar les incidències que es produeixin, </w:t>
      </w:r>
      <w:r>
        <w:rPr>
          <w:rFonts w:cs="Arial"/>
        </w:rPr>
        <w:t xml:space="preserve">i </w:t>
      </w:r>
      <w:r w:rsidRPr="000E6719">
        <w:rPr>
          <w:rFonts w:cs="Arial"/>
        </w:rPr>
        <w:t>en tot cas:</w:t>
      </w:r>
    </w:p>
    <w:p w:rsidR="00507FE7" w:rsidRPr="000E6719" w:rsidRDefault="00507FE7" w:rsidP="00904443">
      <w:pPr>
        <w:pStyle w:val="Pargrafdellista"/>
        <w:numPr>
          <w:ilvl w:val="0"/>
          <w:numId w:val="43"/>
        </w:numPr>
        <w:spacing w:before="0" w:after="200"/>
        <w:ind w:left="1004"/>
        <w:rPr>
          <w:rFonts w:cs="Arial"/>
        </w:rPr>
      </w:pPr>
      <w:r w:rsidRPr="000E6719">
        <w:rPr>
          <w:rFonts w:cs="Arial"/>
        </w:rPr>
        <w:t>Absentar-se del lloc de treball o abandonar l’activitat durant com a mínim dues jornades laborals, sempre que això suposi un rebuig volunt</w:t>
      </w:r>
      <w:r>
        <w:rPr>
          <w:rFonts w:cs="Arial"/>
        </w:rPr>
        <w:t>a</w:t>
      </w:r>
      <w:r w:rsidRPr="000E6719">
        <w:rPr>
          <w:rFonts w:cs="Arial"/>
        </w:rPr>
        <w:t>ri al compliment de la pena. Les faltes justificades no s’entenen com a abandonament de l’activitat</w:t>
      </w:r>
      <w:r>
        <w:rPr>
          <w:rFonts w:cs="Arial"/>
        </w:rPr>
        <w:t>,</w:t>
      </w:r>
      <w:r w:rsidRPr="000E6719">
        <w:rPr>
          <w:rFonts w:cs="Arial"/>
        </w:rPr>
        <w:t xml:space="preserve"> però no es comput</w:t>
      </w:r>
      <w:r>
        <w:rPr>
          <w:rFonts w:cs="Arial"/>
        </w:rPr>
        <w:t>e</w:t>
      </w:r>
      <w:r w:rsidRPr="000E6719">
        <w:rPr>
          <w:rFonts w:cs="Arial"/>
        </w:rPr>
        <w:t>n com a jornades complertes.</w:t>
      </w:r>
    </w:p>
    <w:p w:rsidR="00507FE7" w:rsidRPr="000E6719" w:rsidRDefault="00507FE7" w:rsidP="00904443">
      <w:pPr>
        <w:pStyle w:val="Pargrafdellista"/>
        <w:numPr>
          <w:ilvl w:val="0"/>
          <w:numId w:val="43"/>
        </w:numPr>
        <w:spacing w:before="0" w:after="200"/>
        <w:ind w:left="1004"/>
        <w:rPr>
          <w:rFonts w:cs="Arial"/>
        </w:rPr>
      </w:pPr>
      <w:r w:rsidRPr="000E6719">
        <w:rPr>
          <w:rFonts w:cs="Arial"/>
        </w:rPr>
        <w:t>Tenir un rendiment sensiblement inferior al mínim exigit, malgrat les indicacions prèvies i requeriments dels responsables del centre de treball.</w:t>
      </w:r>
    </w:p>
    <w:p w:rsidR="00507FE7" w:rsidRPr="000E6719" w:rsidRDefault="00507FE7" w:rsidP="00904443">
      <w:pPr>
        <w:pStyle w:val="Pargrafdellista"/>
        <w:numPr>
          <w:ilvl w:val="0"/>
          <w:numId w:val="43"/>
        </w:numPr>
        <w:spacing w:before="0" w:after="200"/>
        <w:ind w:left="1004"/>
        <w:rPr>
          <w:rFonts w:cs="Arial"/>
        </w:rPr>
      </w:pPr>
      <w:r w:rsidRPr="000E6719">
        <w:rPr>
          <w:rFonts w:cs="Arial"/>
        </w:rPr>
        <w:t>Oposar-se o incomplir de ma</w:t>
      </w:r>
      <w:r>
        <w:rPr>
          <w:rFonts w:cs="Arial"/>
        </w:rPr>
        <w:t>nera</w:t>
      </w:r>
      <w:r w:rsidRPr="000E6719">
        <w:rPr>
          <w:rFonts w:cs="Arial"/>
        </w:rPr>
        <w:t xml:space="preserve"> reiterada i manifesta les instruccions dels responsables relacionades amb el desenvolupament de l’activitat.</w:t>
      </w:r>
    </w:p>
    <w:p w:rsidR="00507FE7" w:rsidRPr="000E6719" w:rsidRDefault="00507FE7" w:rsidP="00904443">
      <w:pPr>
        <w:pStyle w:val="Pargrafdellista"/>
        <w:numPr>
          <w:ilvl w:val="0"/>
          <w:numId w:val="43"/>
        </w:numPr>
        <w:spacing w:before="0" w:after="200"/>
        <w:ind w:left="1004"/>
        <w:rPr>
          <w:rFonts w:cs="Arial"/>
        </w:rPr>
      </w:pPr>
      <w:r>
        <w:rPr>
          <w:rFonts w:cs="Arial"/>
        </w:rPr>
        <w:t>T</w:t>
      </w:r>
      <w:r w:rsidRPr="000E6719">
        <w:rPr>
          <w:rFonts w:cs="Arial"/>
        </w:rPr>
        <w:t>enir una conducta tal que el responsable del centre es negui a mantenir-lo allà.</w:t>
      </w:r>
    </w:p>
    <w:p w:rsidR="00507FE7" w:rsidRPr="000E6719" w:rsidRDefault="00507FE7" w:rsidP="00A41348">
      <w:pPr>
        <w:rPr>
          <w:rFonts w:cs="Arial"/>
          <w:i/>
        </w:rPr>
      </w:pPr>
      <w:bookmarkStart w:id="784" w:name="_Toc89604241"/>
      <w:bookmarkStart w:id="785" w:name="_Toc89655021"/>
      <w:bookmarkStart w:id="786" w:name="_Toc455061244"/>
      <w:bookmarkEnd w:id="783"/>
    </w:p>
    <w:p w:rsidR="00507FE7" w:rsidRPr="000E6719" w:rsidRDefault="00507FE7" w:rsidP="0070401F">
      <w:pPr>
        <w:pStyle w:val="Ttol4"/>
      </w:pPr>
      <w:r w:rsidRPr="000E6719">
        <w:t>O</w:t>
      </w:r>
      <w:bookmarkEnd w:id="784"/>
      <w:bookmarkEnd w:id="785"/>
      <w:r w:rsidRPr="000E6719">
        <w:t>bjectius</w:t>
      </w:r>
      <w:bookmarkEnd w:id="786"/>
    </w:p>
    <w:p w:rsidR="00507FE7" w:rsidRPr="000E6719" w:rsidRDefault="00507FE7" w:rsidP="00A41348">
      <w:pPr>
        <w:ind w:left="284"/>
        <w:rPr>
          <w:rFonts w:cs="Arial"/>
          <w:i/>
        </w:rPr>
      </w:pPr>
      <w:r w:rsidRPr="000E6719">
        <w:rPr>
          <w:rFonts w:cs="Arial"/>
          <w:i/>
        </w:rPr>
        <w:t>a. Pel que fa al penat</w:t>
      </w:r>
    </w:p>
    <w:p w:rsidR="00507FE7" w:rsidRPr="000E6719" w:rsidRDefault="00507FE7" w:rsidP="00904443">
      <w:pPr>
        <w:numPr>
          <w:ilvl w:val="0"/>
          <w:numId w:val="41"/>
        </w:numPr>
        <w:tabs>
          <w:tab w:val="clear" w:pos="360"/>
          <w:tab w:val="num" w:pos="568"/>
          <w:tab w:val="num" w:pos="993"/>
          <w:tab w:val="num" w:pos="1069"/>
          <w:tab w:val="num" w:pos="1276"/>
        </w:tabs>
        <w:spacing w:before="0" w:after="200"/>
        <w:ind w:left="568" w:hanging="284"/>
        <w:rPr>
          <w:rFonts w:cs="Arial"/>
        </w:rPr>
      </w:pPr>
      <w:r w:rsidRPr="000E6719">
        <w:rPr>
          <w:rFonts w:cs="Arial"/>
        </w:rPr>
        <w:t>Reparar simbòlicament a la comunitat el dany ocasionat.</w:t>
      </w:r>
    </w:p>
    <w:p w:rsidR="00507FE7" w:rsidRPr="000E6719" w:rsidRDefault="00507FE7" w:rsidP="00904443">
      <w:pPr>
        <w:numPr>
          <w:ilvl w:val="0"/>
          <w:numId w:val="41"/>
        </w:numPr>
        <w:tabs>
          <w:tab w:val="clear" w:pos="360"/>
          <w:tab w:val="num" w:pos="284"/>
          <w:tab w:val="num" w:pos="993"/>
          <w:tab w:val="num" w:pos="1069"/>
          <w:tab w:val="num" w:pos="1276"/>
        </w:tabs>
        <w:spacing w:before="0" w:after="200"/>
        <w:ind w:left="568" w:hanging="284"/>
        <w:rPr>
          <w:rFonts w:cs="Arial"/>
        </w:rPr>
      </w:pPr>
      <w:r w:rsidRPr="000E6719">
        <w:rPr>
          <w:rFonts w:cs="Arial"/>
        </w:rPr>
        <w:t>Responsabilitzar-se de les seves accions i confrontar-ho amb la resposta penal.</w:t>
      </w:r>
    </w:p>
    <w:p w:rsidR="00507FE7" w:rsidRPr="000E6719" w:rsidRDefault="00507FE7" w:rsidP="00904443">
      <w:pPr>
        <w:numPr>
          <w:ilvl w:val="0"/>
          <w:numId w:val="41"/>
        </w:numPr>
        <w:tabs>
          <w:tab w:val="clear" w:pos="360"/>
          <w:tab w:val="num" w:pos="284"/>
          <w:tab w:val="num" w:pos="993"/>
          <w:tab w:val="num" w:pos="1069"/>
          <w:tab w:val="num" w:pos="1276"/>
        </w:tabs>
        <w:spacing w:before="0" w:after="200"/>
        <w:ind w:left="568" w:hanging="284"/>
        <w:rPr>
          <w:rFonts w:cs="Arial"/>
        </w:rPr>
      </w:pPr>
      <w:r w:rsidRPr="000E6719">
        <w:rPr>
          <w:rFonts w:cs="Arial"/>
        </w:rPr>
        <w:t>Possibilitar que faci una acció positiva per a la comunitat.</w:t>
      </w:r>
    </w:p>
    <w:p w:rsidR="00507FE7" w:rsidRPr="000E6719" w:rsidRDefault="00507FE7" w:rsidP="00904443">
      <w:pPr>
        <w:numPr>
          <w:ilvl w:val="0"/>
          <w:numId w:val="41"/>
        </w:numPr>
        <w:tabs>
          <w:tab w:val="clear" w:pos="360"/>
          <w:tab w:val="num" w:pos="284"/>
          <w:tab w:val="num" w:pos="993"/>
          <w:tab w:val="num" w:pos="1069"/>
          <w:tab w:val="num" w:pos="1276"/>
        </w:tabs>
        <w:spacing w:before="0" w:after="200"/>
        <w:ind w:left="568" w:hanging="284"/>
        <w:rPr>
          <w:rFonts w:cs="Arial"/>
        </w:rPr>
      </w:pPr>
      <w:r>
        <w:rPr>
          <w:rFonts w:cs="Arial"/>
        </w:rPr>
        <w:t>Fer valdre</w:t>
      </w:r>
      <w:r w:rsidRPr="000E6719">
        <w:rPr>
          <w:rFonts w:cs="Arial"/>
        </w:rPr>
        <w:t xml:space="preserve"> la seva autoimatge i descobrir el sentit i la utilitat dels serveis que tenen una dimensió social per a la comunitat.</w:t>
      </w:r>
    </w:p>
    <w:p w:rsidR="00507FE7" w:rsidRPr="000E6719" w:rsidRDefault="00507FE7" w:rsidP="00A41348">
      <w:pPr>
        <w:ind w:left="284"/>
        <w:rPr>
          <w:rFonts w:cs="Arial"/>
          <w:i/>
        </w:rPr>
      </w:pPr>
      <w:bookmarkStart w:id="787" w:name="_Toc89655023"/>
      <w:r w:rsidRPr="000E6719">
        <w:rPr>
          <w:rFonts w:cs="Arial"/>
          <w:i/>
        </w:rPr>
        <w:t>b. Pel que fa a la comunitat</w:t>
      </w:r>
      <w:bookmarkEnd w:id="787"/>
    </w:p>
    <w:p w:rsidR="00507FE7" w:rsidRPr="000E6719" w:rsidRDefault="00507FE7" w:rsidP="00904443">
      <w:pPr>
        <w:numPr>
          <w:ilvl w:val="0"/>
          <w:numId w:val="41"/>
        </w:numPr>
        <w:tabs>
          <w:tab w:val="clear" w:pos="360"/>
          <w:tab w:val="num" w:pos="284"/>
          <w:tab w:val="num" w:pos="993"/>
          <w:tab w:val="num" w:pos="1069"/>
          <w:tab w:val="num" w:pos="1276"/>
        </w:tabs>
        <w:spacing w:before="0" w:after="200"/>
        <w:ind w:left="568" w:hanging="284"/>
        <w:rPr>
          <w:rFonts w:cs="Arial"/>
        </w:rPr>
      </w:pPr>
      <w:r w:rsidRPr="000E6719">
        <w:rPr>
          <w:rFonts w:cs="Arial"/>
        </w:rPr>
        <w:t>Implicar la comunitat en la resolució de conflictes.</w:t>
      </w:r>
    </w:p>
    <w:p w:rsidR="00507FE7" w:rsidRPr="000E6719" w:rsidRDefault="00507FE7" w:rsidP="00904443">
      <w:pPr>
        <w:numPr>
          <w:ilvl w:val="0"/>
          <w:numId w:val="41"/>
        </w:numPr>
        <w:tabs>
          <w:tab w:val="clear" w:pos="360"/>
          <w:tab w:val="num" w:pos="284"/>
          <w:tab w:val="num" w:pos="993"/>
          <w:tab w:val="num" w:pos="1069"/>
          <w:tab w:val="num" w:pos="1276"/>
        </w:tabs>
        <w:spacing w:before="0" w:after="200"/>
        <w:ind w:left="568" w:hanging="284"/>
        <w:rPr>
          <w:rFonts w:cs="Arial"/>
        </w:rPr>
      </w:pPr>
      <w:r w:rsidRPr="000E6719">
        <w:rPr>
          <w:rFonts w:cs="Arial"/>
        </w:rPr>
        <w:t>Fer participar activament les institucions públiques i les entitats d’iniciativa social en la reinserció dels penats.</w:t>
      </w:r>
    </w:p>
    <w:p w:rsidR="00507FE7" w:rsidRPr="000E6719" w:rsidRDefault="00507FE7" w:rsidP="00904443">
      <w:pPr>
        <w:numPr>
          <w:ilvl w:val="0"/>
          <w:numId w:val="41"/>
        </w:numPr>
        <w:tabs>
          <w:tab w:val="clear" w:pos="360"/>
          <w:tab w:val="num" w:pos="284"/>
          <w:tab w:val="num" w:pos="993"/>
          <w:tab w:val="num" w:pos="1069"/>
          <w:tab w:val="num" w:pos="1276"/>
        </w:tabs>
        <w:spacing w:before="0" w:after="200"/>
        <w:ind w:left="568" w:hanging="284"/>
        <w:rPr>
          <w:rFonts w:cs="Arial"/>
        </w:rPr>
      </w:pPr>
      <w:r w:rsidRPr="000E6719">
        <w:rPr>
          <w:rFonts w:cs="Arial"/>
        </w:rPr>
        <w:t>Minimitzar els estereotips sobre la delinqüència i els seus protagonistes.</w:t>
      </w:r>
    </w:p>
    <w:p w:rsidR="00507FE7" w:rsidRPr="000E6719" w:rsidRDefault="00507FE7" w:rsidP="00A41348">
      <w:pPr>
        <w:rPr>
          <w:rFonts w:cs="Arial"/>
          <w:b/>
          <w:sz w:val="28"/>
          <w:szCs w:val="28"/>
        </w:rPr>
      </w:pPr>
    </w:p>
    <w:p w:rsidR="00507FE7" w:rsidRPr="000E6719" w:rsidRDefault="00507FE7" w:rsidP="0070401F">
      <w:pPr>
        <w:pStyle w:val="Ttol4"/>
      </w:pPr>
      <w:bookmarkStart w:id="788" w:name="_Toc89604242"/>
      <w:bookmarkStart w:id="789" w:name="_Toc89655024"/>
      <w:bookmarkStart w:id="790" w:name="_Toc455061245"/>
      <w:r w:rsidRPr="000E6719">
        <w:lastRenderedPageBreak/>
        <w:t>Criteris bàsics d’intervenció</w:t>
      </w:r>
      <w:bookmarkEnd w:id="788"/>
      <w:bookmarkEnd w:id="789"/>
      <w:bookmarkEnd w:id="790"/>
    </w:p>
    <w:p w:rsidR="00507FE7" w:rsidRPr="000E6719" w:rsidRDefault="00507FE7" w:rsidP="00A41348">
      <w:pPr>
        <w:ind w:left="284"/>
        <w:rPr>
          <w:rFonts w:cs="Arial"/>
          <w:i/>
        </w:rPr>
      </w:pPr>
      <w:r w:rsidRPr="000E6719">
        <w:rPr>
          <w:rFonts w:cs="Arial"/>
          <w:i/>
        </w:rPr>
        <w:t>a. Pel que fa al penat</w:t>
      </w:r>
    </w:p>
    <w:p w:rsidR="00507FE7" w:rsidRPr="000E6719" w:rsidRDefault="00507FE7" w:rsidP="00904443">
      <w:pPr>
        <w:numPr>
          <w:ilvl w:val="0"/>
          <w:numId w:val="41"/>
        </w:numPr>
        <w:tabs>
          <w:tab w:val="clear" w:pos="360"/>
          <w:tab w:val="num" w:pos="568"/>
          <w:tab w:val="num" w:pos="993"/>
          <w:tab w:val="num" w:pos="1069"/>
          <w:tab w:val="num" w:pos="1276"/>
        </w:tabs>
        <w:spacing w:before="0" w:after="200"/>
        <w:ind w:left="568" w:hanging="284"/>
        <w:rPr>
          <w:rFonts w:cs="Arial"/>
        </w:rPr>
      </w:pPr>
      <w:r w:rsidRPr="000E6719">
        <w:rPr>
          <w:rFonts w:cs="Arial"/>
        </w:rPr>
        <w:t>El consentiment del penat per fer treballs en benefici de la comunitat és previ a la imposició per part del jutge o tribunal d’aquesta pena.</w:t>
      </w:r>
    </w:p>
    <w:p w:rsidR="00507FE7" w:rsidRPr="000E6719" w:rsidRDefault="00507FE7" w:rsidP="00904443">
      <w:pPr>
        <w:numPr>
          <w:ilvl w:val="0"/>
          <w:numId w:val="41"/>
        </w:numPr>
        <w:tabs>
          <w:tab w:val="clear" w:pos="360"/>
          <w:tab w:val="num" w:pos="284"/>
          <w:tab w:val="num" w:pos="993"/>
          <w:tab w:val="num" w:pos="1069"/>
          <w:tab w:val="num" w:pos="1276"/>
        </w:tabs>
        <w:spacing w:before="0" w:after="200"/>
        <w:ind w:left="568" w:hanging="284"/>
        <w:rPr>
          <w:rFonts w:cs="Arial"/>
        </w:rPr>
      </w:pPr>
      <w:r w:rsidRPr="000E6719">
        <w:rPr>
          <w:rFonts w:cs="Arial"/>
        </w:rPr>
        <w:t xml:space="preserve">El tècnic </w:t>
      </w:r>
      <w:r>
        <w:rPr>
          <w:rFonts w:cs="Arial"/>
        </w:rPr>
        <w:t xml:space="preserve">ha de </w:t>
      </w:r>
      <w:r w:rsidRPr="000E6719">
        <w:rPr>
          <w:rFonts w:cs="Arial"/>
        </w:rPr>
        <w:t>valorar la viabilitat del treball en benefici de la comunitat en funció de les característiques i condicions personals, socials i familiars</w:t>
      </w:r>
      <w:r>
        <w:rPr>
          <w:rFonts w:cs="Arial"/>
        </w:rPr>
        <w:t xml:space="preserve"> del penat</w:t>
      </w:r>
      <w:r w:rsidRPr="000E6719">
        <w:rPr>
          <w:rFonts w:cs="Arial"/>
        </w:rPr>
        <w:t>.</w:t>
      </w:r>
    </w:p>
    <w:p w:rsidR="00507FE7" w:rsidRPr="000E6719" w:rsidRDefault="00507FE7" w:rsidP="00904443">
      <w:pPr>
        <w:numPr>
          <w:ilvl w:val="0"/>
          <w:numId w:val="41"/>
        </w:numPr>
        <w:tabs>
          <w:tab w:val="clear" w:pos="360"/>
          <w:tab w:val="num" w:pos="284"/>
          <w:tab w:val="num" w:pos="993"/>
          <w:tab w:val="num" w:pos="1069"/>
          <w:tab w:val="num" w:pos="1276"/>
        </w:tabs>
        <w:spacing w:before="0" w:after="200"/>
        <w:ind w:left="568" w:hanging="284"/>
        <w:rPr>
          <w:rFonts w:cs="Arial"/>
        </w:rPr>
      </w:pPr>
      <w:r w:rsidRPr="000E6719">
        <w:rPr>
          <w:rFonts w:cs="Arial"/>
        </w:rPr>
        <w:t>El compromís es materialitza amb el document proposta del treball en benefici de la comunitat que signen el penat, el representant de l’entitat i el professional d’execució de mesures.</w:t>
      </w:r>
    </w:p>
    <w:p w:rsidR="00507FE7" w:rsidRPr="000E6719" w:rsidRDefault="00507FE7" w:rsidP="00904443">
      <w:pPr>
        <w:numPr>
          <w:ilvl w:val="0"/>
          <w:numId w:val="41"/>
        </w:numPr>
        <w:tabs>
          <w:tab w:val="clear" w:pos="360"/>
          <w:tab w:val="num" w:pos="284"/>
          <w:tab w:val="num" w:pos="993"/>
          <w:tab w:val="num" w:pos="1069"/>
          <w:tab w:val="num" w:pos="1210"/>
          <w:tab w:val="num" w:pos="1276"/>
        </w:tabs>
        <w:spacing w:before="0" w:after="200"/>
        <w:ind w:left="568" w:hanging="284"/>
        <w:rPr>
          <w:rFonts w:cs="Arial"/>
        </w:rPr>
      </w:pPr>
      <w:r w:rsidRPr="000E6719">
        <w:rPr>
          <w:rFonts w:cs="Arial"/>
        </w:rPr>
        <w:t>Aquest document s'ha de trametre a l’òrgan judicial corresponent per</w:t>
      </w:r>
      <w:r>
        <w:rPr>
          <w:rFonts w:cs="Arial"/>
        </w:rPr>
        <w:t>què l’aprovi</w:t>
      </w:r>
      <w:r w:rsidRPr="000E6719">
        <w:rPr>
          <w:rFonts w:cs="Arial"/>
        </w:rPr>
        <w:t>.</w:t>
      </w:r>
    </w:p>
    <w:p w:rsidR="00507FE7" w:rsidRPr="000E6719" w:rsidRDefault="00507FE7" w:rsidP="00A41348">
      <w:pPr>
        <w:ind w:left="284"/>
        <w:rPr>
          <w:rFonts w:cs="Arial"/>
          <w:i/>
        </w:rPr>
      </w:pPr>
      <w:bookmarkStart w:id="791" w:name="_Toc89655026"/>
      <w:r w:rsidRPr="000E6719">
        <w:rPr>
          <w:rFonts w:cs="Arial"/>
          <w:i/>
        </w:rPr>
        <w:t>b. En relació a</w:t>
      </w:r>
      <w:r>
        <w:rPr>
          <w:rFonts w:cs="Arial"/>
          <w:i/>
        </w:rPr>
        <w:t>mb</w:t>
      </w:r>
      <w:r w:rsidRPr="000E6719">
        <w:rPr>
          <w:rFonts w:cs="Arial"/>
          <w:i/>
        </w:rPr>
        <w:t xml:space="preserve"> les entitats</w:t>
      </w:r>
      <w:bookmarkEnd w:id="791"/>
    </w:p>
    <w:p w:rsidR="00507FE7" w:rsidRPr="000E6719" w:rsidRDefault="00507FE7" w:rsidP="00904443">
      <w:pPr>
        <w:numPr>
          <w:ilvl w:val="0"/>
          <w:numId w:val="41"/>
        </w:numPr>
        <w:tabs>
          <w:tab w:val="clear" w:pos="360"/>
          <w:tab w:val="num" w:pos="284"/>
          <w:tab w:val="num" w:pos="993"/>
          <w:tab w:val="num" w:pos="1069"/>
          <w:tab w:val="num" w:pos="1276"/>
        </w:tabs>
        <w:spacing w:before="0" w:after="200"/>
        <w:ind w:left="568" w:hanging="284"/>
        <w:rPr>
          <w:rFonts w:cs="Arial"/>
        </w:rPr>
      </w:pPr>
      <w:r w:rsidRPr="000E6719">
        <w:rPr>
          <w:rFonts w:cs="Arial"/>
        </w:rPr>
        <w:t>Les entitats en les quals es facin les activitats han de ser públiques o privades, legalment constituïdes i d’utilitat social.</w:t>
      </w:r>
    </w:p>
    <w:p w:rsidR="00507FE7" w:rsidRPr="000E6719" w:rsidRDefault="00507FE7" w:rsidP="00904443">
      <w:pPr>
        <w:numPr>
          <w:ilvl w:val="0"/>
          <w:numId w:val="41"/>
        </w:numPr>
        <w:tabs>
          <w:tab w:val="clear" w:pos="360"/>
          <w:tab w:val="num" w:pos="284"/>
          <w:tab w:val="num" w:pos="993"/>
          <w:tab w:val="num" w:pos="1069"/>
          <w:tab w:val="num" w:pos="1276"/>
        </w:tabs>
        <w:spacing w:before="0" w:after="200"/>
        <w:ind w:left="568" w:hanging="284"/>
        <w:rPr>
          <w:rFonts w:cs="Arial"/>
        </w:rPr>
      </w:pPr>
      <w:r w:rsidRPr="000E6719">
        <w:rPr>
          <w:rFonts w:cs="Arial"/>
        </w:rPr>
        <w:t>En les activitats s'ha de prioritzar:</w:t>
      </w:r>
    </w:p>
    <w:p w:rsidR="00507FE7" w:rsidRPr="000E6719" w:rsidRDefault="00507FE7" w:rsidP="00904443">
      <w:pPr>
        <w:pStyle w:val="Pargrafdellista"/>
        <w:numPr>
          <w:ilvl w:val="0"/>
          <w:numId w:val="43"/>
        </w:numPr>
        <w:spacing w:before="0" w:after="200"/>
        <w:ind w:left="1004"/>
        <w:rPr>
          <w:rFonts w:cs="Arial"/>
        </w:rPr>
      </w:pPr>
      <w:r w:rsidRPr="000E6719">
        <w:rPr>
          <w:rFonts w:cs="Arial"/>
        </w:rPr>
        <w:t>Les entitats que tinguin una incidència real en l’entorn de la persona.</w:t>
      </w:r>
    </w:p>
    <w:p w:rsidR="00507FE7" w:rsidRPr="000E6719" w:rsidRDefault="00507FE7" w:rsidP="00904443">
      <w:pPr>
        <w:pStyle w:val="Pargrafdellista"/>
        <w:numPr>
          <w:ilvl w:val="0"/>
          <w:numId w:val="43"/>
        </w:numPr>
        <w:spacing w:before="0" w:after="200"/>
        <w:ind w:left="1004"/>
        <w:rPr>
          <w:rFonts w:cs="Arial"/>
        </w:rPr>
      </w:pPr>
      <w:r w:rsidRPr="000E6719">
        <w:rPr>
          <w:rFonts w:cs="Arial"/>
        </w:rPr>
        <w:t>Aquelles que puguin oferir activitats adaptables a les característiques de les persones que han de complir aquesta pena.</w:t>
      </w:r>
    </w:p>
    <w:p w:rsidR="00507FE7" w:rsidRPr="000E6719" w:rsidRDefault="00507FE7" w:rsidP="00904443">
      <w:pPr>
        <w:numPr>
          <w:ilvl w:val="0"/>
          <w:numId w:val="41"/>
        </w:numPr>
        <w:tabs>
          <w:tab w:val="clear" w:pos="360"/>
          <w:tab w:val="num" w:pos="284"/>
          <w:tab w:val="num" w:pos="993"/>
          <w:tab w:val="num" w:pos="1069"/>
          <w:tab w:val="num" w:pos="1276"/>
        </w:tabs>
        <w:spacing w:before="0" w:after="200"/>
        <w:ind w:left="568" w:hanging="284"/>
        <w:rPr>
          <w:rFonts w:cs="Arial"/>
        </w:rPr>
      </w:pPr>
      <w:r w:rsidRPr="000E6719">
        <w:rPr>
          <w:rFonts w:cs="Arial"/>
        </w:rPr>
        <w:t>Cal que l’entitat entengui i accepti que està col·laborant en l’execució d’una pena i per tant:</w:t>
      </w:r>
    </w:p>
    <w:p w:rsidR="00507FE7" w:rsidRPr="000E6719" w:rsidRDefault="00507FE7" w:rsidP="00904443">
      <w:pPr>
        <w:pStyle w:val="Pargrafdellista"/>
        <w:numPr>
          <w:ilvl w:val="0"/>
          <w:numId w:val="43"/>
        </w:numPr>
        <w:spacing w:before="0" w:after="200"/>
        <w:ind w:left="1004"/>
        <w:rPr>
          <w:rFonts w:cs="Arial"/>
        </w:rPr>
      </w:pPr>
      <w:r w:rsidRPr="000E6719">
        <w:rPr>
          <w:rFonts w:cs="Arial"/>
        </w:rPr>
        <w:t>Participa en els objectius del Programa i els accepta.</w:t>
      </w:r>
    </w:p>
    <w:p w:rsidR="00507FE7" w:rsidRPr="000E6719" w:rsidRDefault="00507FE7" w:rsidP="00904443">
      <w:pPr>
        <w:pStyle w:val="Pargrafdellista"/>
        <w:numPr>
          <w:ilvl w:val="0"/>
          <w:numId w:val="43"/>
        </w:numPr>
        <w:spacing w:before="0" w:after="200"/>
        <w:ind w:left="1004"/>
        <w:rPr>
          <w:rFonts w:cs="Arial"/>
        </w:rPr>
      </w:pPr>
      <w:r w:rsidRPr="000E6719">
        <w:rPr>
          <w:rFonts w:cs="Arial"/>
        </w:rPr>
        <w:t>Dóna suport a la institució que ha de donar compliment a la pena.</w:t>
      </w:r>
    </w:p>
    <w:p w:rsidR="00507FE7" w:rsidRPr="000E6719" w:rsidRDefault="00507FE7" w:rsidP="00904443">
      <w:pPr>
        <w:pStyle w:val="Pargrafdellista"/>
        <w:numPr>
          <w:ilvl w:val="0"/>
          <w:numId w:val="43"/>
        </w:numPr>
        <w:spacing w:before="0" w:after="200"/>
        <w:ind w:left="1004"/>
        <w:rPr>
          <w:rFonts w:cs="Arial"/>
        </w:rPr>
      </w:pPr>
      <w:r w:rsidRPr="000E6719">
        <w:rPr>
          <w:rFonts w:cs="Arial"/>
        </w:rPr>
        <w:t>Facilita la possibilitat de complir la pena.</w:t>
      </w:r>
    </w:p>
    <w:p w:rsidR="00507FE7" w:rsidRPr="000E6719" w:rsidRDefault="00507FE7" w:rsidP="00904443">
      <w:pPr>
        <w:numPr>
          <w:ilvl w:val="0"/>
          <w:numId w:val="41"/>
        </w:numPr>
        <w:tabs>
          <w:tab w:val="clear" w:pos="360"/>
          <w:tab w:val="num" w:pos="284"/>
          <w:tab w:val="num" w:pos="993"/>
          <w:tab w:val="num" w:pos="1069"/>
          <w:tab w:val="num" w:pos="1276"/>
        </w:tabs>
        <w:spacing w:before="0" w:after="200"/>
        <w:ind w:left="568" w:hanging="284"/>
        <w:rPr>
          <w:rFonts w:cs="Arial"/>
        </w:rPr>
      </w:pPr>
      <w:r w:rsidRPr="000E6719">
        <w:rPr>
          <w:rFonts w:cs="Arial"/>
        </w:rPr>
        <w:t>L’entitat ha de:</w:t>
      </w:r>
    </w:p>
    <w:p w:rsidR="00507FE7" w:rsidRPr="000E6719" w:rsidRDefault="00507FE7" w:rsidP="00904443">
      <w:pPr>
        <w:pStyle w:val="Pargrafdellista"/>
        <w:numPr>
          <w:ilvl w:val="0"/>
          <w:numId w:val="43"/>
        </w:numPr>
        <w:spacing w:before="0" w:after="200"/>
        <w:ind w:left="1004"/>
        <w:rPr>
          <w:rFonts w:cs="Arial"/>
        </w:rPr>
      </w:pPr>
      <w:r w:rsidRPr="000E6719">
        <w:rPr>
          <w:rFonts w:cs="Arial"/>
        </w:rPr>
        <w:t>Facilitar la figura d’un interlocutor que canalitzi les demandes dels professionals d</w:t>
      </w:r>
      <w:r>
        <w:rPr>
          <w:rFonts w:cs="Arial"/>
        </w:rPr>
        <w:t xml:space="preserve">e </w:t>
      </w:r>
      <w:r w:rsidRPr="000E6719">
        <w:rPr>
          <w:rFonts w:cs="Arial"/>
        </w:rPr>
        <w:t>MPA.</w:t>
      </w:r>
    </w:p>
    <w:p w:rsidR="00507FE7" w:rsidRPr="000E6719" w:rsidRDefault="00507FE7" w:rsidP="00904443">
      <w:pPr>
        <w:pStyle w:val="Pargrafdellista"/>
        <w:numPr>
          <w:ilvl w:val="0"/>
          <w:numId w:val="43"/>
        </w:numPr>
        <w:spacing w:before="0" w:after="200"/>
        <w:ind w:left="1004"/>
        <w:rPr>
          <w:rFonts w:cs="Arial"/>
        </w:rPr>
      </w:pPr>
      <w:r w:rsidRPr="000E6719">
        <w:rPr>
          <w:rFonts w:cs="Arial"/>
        </w:rPr>
        <w:t>Acompanyar la persona penada mentre fa l’activitat.</w:t>
      </w:r>
    </w:p>
    <w:p w:rsidR="00507FE7" w:rsidRPr="000E6719" w:rsidRDefault="00507FE7" w:rsidP="00904443">
      <w:pPr>
        <w:pStyle w:val="Pargrafdellista"/>
        <w:numPr>
          <w:ilvl w:val="0"/>
          <w:numId w:val="43"/>
        </w:numPr>
        <w:spacing w:before="0" w:after="200"/>
        <w:ind w:left="1004"/>
        <w:rPr>
          <w:rFonts w:cs="Arial"/>
        </w:rPr>
      </w:pPr>
      <w:r w:rsidRPr="000E6719">
        <w:rPr>
          <w:rFonts w:cs="Arial"/>
        </w:rPr>
        <w:t>Informar el professional d</w:t>
      </w:r>
      <w:r>
        <w:rPr>
          <w:rFonts w:cs="Arial"/>
        </w:rPr>
        <w:t xml:space="preserve">e </w:t>
      </w:r>
      <w:r w:rsidRPr="000E6719">
        <w:rPr>
          <w:rFonts w:cs="Arial"/>
        </w:rPr>
        <w:t>MPA de les incidències que es produeixin.</w:t>
      </w:r>
    </w:p>
    <w:p w:rsidR="00507FE7" w:rsidRPr="000E6719" w:rsidRDefault="00507FE7" w:rsidP="00904443">
      <w:pPr>
        <w:pStyle w:val="Pargrafdellista"/>
        <w:numPr>
          <w:ilvl w:val="0"/>
          <w:numId w:val="43"/>
        </w:numPr>
        <w:spacing w:before="0" w:after="200"/>
        <w:ind w:left="1004"/>
        <w:rPr>
          <w:rFonts w:cs="Arial"/>
        </w:rPr>
      </w:pPr>
      <w:r w:rsidRPr="000E6719">
        <w:rPr>
          <w:rFonts w:cs="Arial"/>
        </w:rPr>
        <w:t>Fer la valoració final de l’activitat que s'ha dut a terme i fer-la arribar al professional que controla l’execució.</w:t>
      </w:r>
    </w:p>
    <w:p w:rsidR="00507FE7" w:rsidRPr="000E6719" w:rsidRDefault="00507FE7" w:rsidP="00904443">
      <w:pPr>
        <w:numPr>
          <w:ilvl w:val="0"/>
          <w:numId w:val="41"/>
        </w:numPr>
        <w:tabs>
          <w:tab w:val="clear" w:pos="360"/>
          <w:tab w:val="num" w:pos="284"/>
          <w:tab w:val="num" w:pos="993"/>
          <w:tab w:val="num" w:pos="1069"/>
          <w:tab w:val="num" w:pos="1276"/>
        </w:tabs>
        <w:spacing w:before="0" w:after="200"/>
        <w:ind w:left="568" w:hanging="284"/>
        <w:rPr>
          <w:rFonts w:cs="Arial"/>
        </w:rPr>
      </w:pPr>
      <w:r w:rsidRPr="000E6719">
        <w:rPr>
          <w:rFonts w:cs="Arial"/>
        </w:rPr>
        <w:t>Durant les activitats, l’</w:t>
      </w:r>
      <w:r>
        <w:rPr>
          <w:rFonts w:cs="Arial"/>
        </w:rPr>
        <w:t>A</w:t>
      </w:r>
      <w:r w:rsidRPr="000E6719">
        <w:rPr>
          <w:rFonts w:cs="Arial"/>
        </w:rPr>
        <w:t>dministració ha de garantir:</w:t>
      </w:r>
    </w:p>
    <w:p w:rsidR="00507FE7" w:rsidRPr="000E6719" w:rsidRDefault="00507FE7" w:rsidP="00904443">
      <w:pPr>
        <w:pStyle w:val="Pargrafdellista"/>
        <w:numPr>
          <w:ilvl w:val="0"/>
          <w:numId w:val="43"/>
        </w:numPr>
        <w:spacing w:before="0" w:after="200"/>
        <w:ind w:left="1004"/>
        <w:rPr>
          <w:rFonts w:cs="Arial"/>
        </w:rPr>
      </w:pPr>
      <w:r w:rsidRPr="000E6719">
        <w:rPr>
          <w:rFonts w:cs="Arial"/>
        </w:rPr>
        <w:t xml:space="preserve">La protecció dispensada per la normativa laboral en matèria de seguretat i higiene en el treball i per la legislació penitenciària en matèria de seguretat social per </w:t>
      </w:r>
      <w:r>
        <w:rPr>
          <w:rFonts w:cs="Arial"/>
        </w:rPr>
        <w:t xml:space="preserve">a </w:t>
      </w:r>
      <w:r w:rsidRPr="000E6719">
        <w:rPr>
          <w:rFonts w:cs="Arial"/>
        </w:rPr>
        <w:t>totes les persones que compleixin aquesta pena.</w:t>
      </w:r>
    </w:p>
    <w:p w:rsidR="00507FE7" w:rsidRPr="000E6719" w:rsidRDefault="00507FE7" w:rsidP="00904443">
      <w:pPr>
        <w:pStyle w:val="Pargrafdellista"/>
        <w:numPr>
          <w:ilvl w:val="0"/>
          <w:numId w:val="43"/>
        </w:numPr>
        <w:spacing w:before="0" w:after="200"/>
        <w:ind w:left="1004"/>
        <w:rPr>
          <w:rFonts w:cs="Arial"/>
        </w:rPr>
      </w:pPr>
      <w:r w:rsidRPr="000E6719">
        <w:rPr>
          <w:rFonts w:cs="Arial"/>
        </w:rPr>
        <w:t>La protecció de l’entitat, cobrint els possibles danys que puguin ocasionar aquestes persones durant la realització dels treballs, mitjançant una pòlissa de responsabilitat civil.</w:t>
      </w:r>
    </w:p>
    <w:p w:rsidR="00507FE7" w:rsidRPr="000E6719" w:rsidRDefault="00507FE7" w:rsidP="00A41348">
      <w:pPr>
        <w:rPr>
          <w:rFonts w:cs="Arial"/>
          <w:b/>
          <w:sz w:val="28"/>
          <w:szCs w:val="28"/>
        </w:rPr>
      </w:pPr>
    </w:p>
    <w:p w:rsidR="00507FE7" w:rsidRPr="000E6719" w:rsidRDefault="00507FE7" w:rsidP="0070401F">
      <w:pPr>
        <w:pStyle w:val="Ttol4"/>
      </w:pPr>
      <w:bookmarkStart w:id="792" w:name="_Toc89604243"/>
      <w:bookmarkStart w:id="793" w:name="_Toc89655027"/>
      <w:bookmarkStart w:id="794" w:name="_Toc455061246"/>
      <w:r w:rsidRPr="000E6719">
        <w:lastRenderedPageBreak/>
        <w:t>Metodologia de la intervenció</w:t>
      </w:r>
      <w:bookmarkEnd w:id="792"/>
      <w:bookmarkEnd w:id="793"/>
      <w:bookmarkEnd w:id="794"/>
    </w:p>
    <w:p w:rsidR="00507FE7" w:rsidRPr="000E6719" w:rsidRDefault="00507FE7" w:rsidP="00A41348">
      <w:pPr>
        <w:rPr>
          <w:rFonts w:cs="Arial"/>
        </w:rPr>
      </w:pPr>
      <w:r w:rsidRPr="000E6719">
        <w:rPr>
          <w:rFonts w:cs="Arial"/>
        </w:rPr>
        <w:t xml:space="preserve">Un cop rebuda la documentació judicial necessària, s’entrevista el penat per conèixer les seves característiques i determinar l’activitat més adequada. Un cop hagi donat la conformitat, s’envia el pla de treball al </w:t>
      </w:r>
      <w:r>
        <w:rPr>
          <w:rFonts w:cs="Arial"/>
        </w:rPr>
        <w:t>j</w:t>
      </w:r>
      <w:r w:rsidRPr="000E6719">
        <w:rPr>
          <w:rFonts w:cs="Arial"/>
        </w:rPr>
        <w:t xml:space="preserve">utjat de </w:t>
      </w:r>
      <w:r>
        <w:rPr>
          <w:rFonts w:cs="Arial"/>
        </w:rPr>
        <w:t>v</w:t>
      </w:r>
      <w:r w:rsidRPr="000E6719">
        <w:rPr>
          <w:rFonts w:cs="Arial"/>
        </w:rPr>
        <w:t xml:space="preserve">igilància </w:t>
      </w:r>
      <w:r>
        <w:rPr>
          <w:rFonts w:cs="Arial"/>
        </w:rPr>
        <w:t>p</w:t>
      </w:r>
      <w:r w:rsidRPr="000E6719">
        <w:rPr>
          <w:rFonts w:cs="Arial"/>
        </w:rPr>
        <w:t xml:space="preserve">enitenciaria </w:t>
      </w:r>
      <w:r>
        <w:rPr>
          <w:rFonts w:cs="Arial"/>
        </w:rPr>
        <w:t>(</w:t>
      </w:r>
      <w:r w:rsidRPr="000E6719">
        <w:rPr>
          <w:rFonts w:cs="Arial"/>
        </w:rPr>
        <w:t>JVP</w:t>
      </w:r>
      <w:r>
        <w:rPr>
          <w:rFonts w:cs="Arial"/>
        </w:rPr>
        <w:t>)</w:t>
      </w:r>
      <w:r w:rsidRPr="000E6719">
        <w:rPr>
          <w:rFonts w:cs="Arial"/>
        </w:rPr>
        <w:t xml:space="preserve"> per</w:t>
      </w:r>
      <w:r>
        <w:rPr>
          <w:rFonts w:cs="Arial"/>
        </w:rPr>
        <w:t>què</w:t>
      </w:r>
      <w:r w:rsidRPr="000E6719">
        <w:rPr>
          <w:rFonts w:cs="Arial"/>
        </w:rPr>
        <w:t xml:space="preserve"> </w:t>
      </w:r>
      <w:r>
        <w:rPr>
          <w:rFonts w:cs="Arial"/>
        </w:rPr>
        <w:t>es faci</w:t>
      </w:r>
      <w:r w:rsidRPr="000E6719">
        <w:rPr>
          <w:rFonts w:cs="Arial"/>
        </w:rPr>
        <w:t xml:space="preserve"> </w:t>
      </w:r>
      <w:r>
        <w:rPr>
          <w:rFonts w:cs="Arial"/>
        </w:rPr>
        <w:t xml:space="preserve">el </w:t>
      </w:r>
      <w:r w:rsidRPr="000E6719">
        <w:rPr>
          <w:rFonts w:cs="Arial"/>
        </w:rPr>
        <w:t>control</w:t>
      </w:r>
      <w:r>
        <w:rPr>
          <w:rFonts w:cs="Arial"/>
        </w:rPr>
        <w:t>,</w:t>
      </w:r>
      <w:r w:rsidRPr="000E6719">
        <w:rPr>
          <w:rFonts w:cs="Arial"/>
        </w:rPr>
        <w:t xml:space="preserve"> sens perjudici de la seva efectivitat immediata. L’execució es duu a terme sota el control del jutge de vigilància penitenciària, al qual e</w:t>
      </w:r>
      <w:r>
        <w:rPr>
          <w:rFonts w:cs="Arial"/>
        </w:rPr>
        <w:t>s</w:t>
      </w:r>
      <w:r w:rsidRPr="000E6719">
        <w:rPr>
          <w:rFonts w:cs="Arial"/>
        </w:rPr>
        <w:t xml:space="preserve"> remeten informes. El penat ha de seguir les instruccions que rebi del JVP, de l’</w:t>
      </w:r>
      <w:r>
        <w:rPr>
          <w:rFonts w:cs="Arial"/>
        </w:rPr>
        <w:t>A</w:t>
      </w:r>
      <w:r w:rsidRPr="000E6719">
        <w:rPr>
          <w:rFonts w:cs="Arial"/>
        </w:rPr>
        <w:t>dministració i de l’entitat.</w:t>
      </w:r>
    </w:p>
    <w:p w:rsidR="00507FE7" w:rsidRPr="000E6719" w:rsidRDefault="00507FE7" w:rsidP="00A41348">
      <w:pPr>
        <w:rPr>
          <w:rFonts w:cs="Arial"/>
        </w:rPr>
      </w:pPr>
      <w:r w:rsidRPr="000E6719">
        <w:rPr>
          <w:rFonts w:cs="Arial"/>
        </w:rPr>
        <w:t>Quan es tract</w:t>
      </w:r>
      <w:r>
        <w:rPr>
          <w:rFonts w:cs="Arial"/>
        </w:rPr>
        <w:t>a</w:t>
      </w:r>
      <w:r w:rsidRPr="000E6719">
        <w:rPr>
          <w:rFonts w:cs="Arial"/>
        </w:rPr>
        <w:t xml:space="preserve"> d’una obligació de TBC imposada com a condició d’una suspensió de la pena privativa de llibertat, </w:t>
      </w:r>
      <w:r>
        <w:rPr>
          <w:rFonts w:cs="Arial"/>
        </w:rPr>
        <w:t xml:space="preserve">és </w:t>
      </w:r>
      <w:r w:rsidRPr="000E6719">
        <w:rPr>
          <w:rFonts w:cs="Arial"/>
        </w:rPr>
        <w:t xml:space="preserve">el jutjat o tribunal executor qui </w:t>
      </w:r>
      <w:r>
        <w:rPr>
          <w:rFonts w:cs="Arial"/>
        </w:rPr>
        <w:t xml:space="preserve">en </w:t>
      </w:r>
      <w:r w:rsidRPr="000E6719">
        <w:rPr>
          <w:rFonts w:cs="Arial"/>
        </w:rPr>
        <w:t>control</w:t>
      </w:r>
      <w:r>
        <w:rPr>
          <w:rFonts w:cs="Arial"/>
        </w:rPr>
        <w:t>a</w:t>
      </w:r>
      <w:r w:rsidRPr="000E6719">
        <w:rPr>
          <w:rFonts w:cs="Arial"/>
        </w:rPr>
        <w:t xml:space="preserve"> l</w:t>
      </w:r>
      <w:r>
        <w:rPr>
          <w:rFonts w:cs="Arial"/>
        </w:rPr>
        <w:t>’</w:t>
      </w:r>
      <w:r w:rsidRPr="000E6719">
        <w:rPr>
          <w:rFonts w:cs="Arial"/>
        </w:rPr>
        <w:t>execució, tal com està previst per a la resta d’obligacions.</w:t>
      </w:r>
    </w:p>
    <w:p w:rsidR="00507FE7" w:rsidRPr="000E6719" w:rsidRDefault="00507FE7" w:rsidP="00A41348">
      <w:pPr>
        <w:rPr>
          <w:rFonts w:cs="Arial"/>
        </w:rPr>
      </w:pPr>
      <w:r w:rsidRPr="000E6719">
        <w:rPr>
          <w:rFonts w:cs="Arial"/>
        </w:rPr>
        <w:t xml:space="preserve">Un cop complertes les jornades imposades, es remetrà </w:t>
      </w:r>
      <w:r>
        <w:rPr>
          <w:rFonts w:cs="Arial"/>
        </w:rPr>
        <w:t>l’</w:t>
      </w:r>
      <w:r w:rsidRPr="000E6719">
        <w:rPr>
          <w:rFonts w:cs="Arial"/>
        </w:rPr>
        <w:t>informe final. S’ha d’informar de les incidències que s</w:t>
      </w:r>
      <w:r>
        <w:rPr>
          <w:rFonts w:cs="Arial"/>
        </w:rPr>
        <w:t>’hagin</w:t>
      </w:r>
      <w:r w:rsidRPr="000E6719">
        <w:rPr>
          <w:rFonts w:cs="Arial"/>
        </w:rPr>
        <w:t xml:space="preserve"> produ</w:t>
      </w:r>
      <w:r>
        <w:rPr>
          <w:rFonts w:cs="Arial"/>
        </w:rPr>
        <w:t>ït</w:t>
      </w:r>
      <w:r w:rsidRPr="000E6719">
        <w:rPr>
          <w:rFonts w:cs="Arial"/>
        </w:rPr>
        <w:t xml:space="preserve"> durant l’execució i, sempre, de les que s’han esmentat més amunt. El JVP o el jutjat o tribunal executor, un cop valorat l’informe, podrà acordar l’execució en el mateix centre, en un altre, o entendre que s’ha incomplert la pena. En aquest cas, </w:t>
      </w:r>
      <w:r w:rsidRPr="00595D4F">
        <w:rPr>
          <w:rFonts w:cs="Arial"/>
        </w:rPr>
        <w:t>deduirà testimoni</w:t>
      </w:r>
      <w:r w:rsidRPr="000E6719">
        <w:rPr>
          <w:rFonts w:cs="Arial"/>
        </w:rPr>
        <w:t xml:space="preserve"> d’acord amb </w:t>
      </w:r>
      <w:r>
        <w:rPr>
          <w:rFonts w:cs="Arial"/>
        </w:rPr>
        <w:t>l’</w:t>
      </w:r>
      <w:r w:rsidRPr="000E6719">
        <w:rPr>
          <w:rFonts w:cs="Arial"/>
        </w:rPr>
        <w:t>art</w:t>
      </w:r>
      <w:r>
        <w:rPr>
          <w:rFonts w:cs="Arial"/>
        </w:rPr>
        <w:t>icle</w:t>
      </w:r>
      <w:r w:rsidRPr="000E6719">
        <w:rPr>
          <w:rFonts w:cs="Arial"/>
        </w:rPr>
        <w:t xml:space="preserve"> 468 </w:t>
      </w:r>
      <w:r>
        <w:rPr>
          <w:rFonts w:cs="Arial"/>
        </w:rPr>
        <w:t>del Codi penal</w:t>
      </w:r>
      <w:r w:rsidRPr="000E6719">
        <w:rPr>
          <w:rFonts w:cs="Arial"/>
        </w:rPr>
        <w:t xml:space="preserve"> (delicte de trencament de condemna).</w:t>
      </w:r>
    </w:p>
    <w:p w:rsidR="00507FE7" w:rsidRPr="000E6719" w:rsidRDefault="00507FE7" w:rsidP="00A41348">
      <w:pPr>
        <w:rPr>
          <w:rFonts w:cs="Arial"/>
        </w:rPr>
      </w:pPr>
      <w:r w:rsidRPr="000E6719">
        <w:rPr>
          <w:rFonts w:cs="Arial"/>
        </w:rPr>
        <w:t>En cas que el TBC incomplert s</w:t>
      </w:r>
      <w:r>
        <w:rPr>
          <w:rFonts w:cs="Arial"/>
        </w:rPr>
        <w:t>igui</w:t>
      </w:r>
      <w:r w:rsidRPr="000E6719">
        <w:rPr>
          <w:rFonts w:cs="Arial"/>
        </w:rPr>
        <w:t xml:space="preserve"> </w:t>
      </w:r>
      <w:r>
        <w:rPr>
          <w:rFonts w:cs="Arial"/>
        </w:rPr>
        <w:t xml:space="preserve">una </w:t>
      </w:r>
      <w:r w:rsidRPr="000E6719">
        <w:rPr>
          <w:rFonts w:cs="Arial"/>
        </w:rPr>
        <w:t>pena substitutiva d’una altra, o una condició de la suspensió, s’executarà la pena inicialment imposada, descomptant</w:t>
      </w:r>
      <w:r>
        <w:rPr>
          <w:rFonts w:cs="Arial"/>
        </w:rPr>
        <w:t>-ne</w:t>
      </w:r>
      <w:r w:rsidRPr="000E6719">
        <w:rPr>
          <w:rFonts w:cs="Arial"/>
        </w:rPr>
        <w:t xml:space="preserve"> l’equivalent de les jornades realitzades.</w:t>
      </w:r>
    </w:p>
    <w:p w:rsidR="00507FE7" w:rsidRDefault="00507FE7">
      <w:pPr>
        <w:rPr>
          <w:rFonts w:cs="Arial"/>
          <w:b/>
          <w:sz w:val="28"/>
          <w:szCs w:val="28"/>
        </w:rPr>
      </w:pPr>
      <w:r>
        <w:rPr>
          <w:rFonts w:cs="Arial"/>
          <w:b/>
          <w:sz w:val="28"/>
          <w:szCs w:val="28"/>
        </w:rPr>
        <w:br w:type="page"/>
      </w:r>
    </w:p>
    <w:p w:rsidR="00507FE7" w:rsidRPr="000E6719" w:rsidRDefault="00507FE7" w:rsidP="0070401F">
      <w:pPr>
        <w:pStyle w:val="Ttol3"/>
      </w:pPr>
      <w:bookmarkStart w:id="795" w:name="_Toc462140450"/>
      <w:bookmarkStart w:id="796" w:name="_Toc455061248"/>
      <w:bookmarkStart w:id="797" w:name="_Toc464685775"/>
      <w:bookmarkStart w:id="798" w:name="_Toc465293523"/>
      <w:r w:rsidRPr="000E6719">
        <w:lastRenderedPageBreak/>
        <w:t>Programa de les formes suspensives de l’execució de les penes privatives de llibertat</w:t>
      </w:r>
      <w:bookmarkEnd w:id="795"/>
      <w:bookmarkEnd w:id="796"/>
      <w:bookmarkEnd w:id="797"/>
      <w:bookmarkEnd w:id="798"/>
    </w:p>
    <w:p w:rsidR="00507FE7" w:rsidRPr="000E6719" w:rsidRDefault="00507FE7" w:rsidP="00A41348">
      <w:pPr>
        <w:rPr>
          <w:rFonts w:cs="Arial"/>
          <w:i/>
        </w:rPr>
      </w:pPr>
      <w:bookmarkStart w:id="799" w:name="_Toc89604246"/>
      <w:bookmarkStart w:id="800" w:name="_Toc89655033"/>
      <w:bookmarkStart w:id="801" w:name="_Toc455061249"/>
    </w:p>
    <w:p w:rsidR="00507FE7" w:rsidRPr="000E6719" w:rsidRDefault="00507FE7" w:rsidP="0070401F">
      <w:pPr>
        <w:pStyle w:val="Ttol4"/>
      </w:pPr>
      <w:r w:rsidRPr="000E6719">
        <w:t>M</w:t>
      </w:r>
      <w:bookmarkEnd w:id="799"/>
      <w:bookmarkEnd w:id="800"/>
      <w:r w:rsidRPr="000E6719">
        <w:t>arc legal</w:t>
      </w:r>
      <w:bookmarkEnd w:id="801"/>
    </w:p>
    <w:p w:rsidR="00507FE7" w:rsidRPr="000E6719" w:rsidRDefault="00507FE7" w:rsidP="00A41348">
      <w:pPr>
        <w:rPr>
          <w:rFonts w:cs="Arial"/>
        </w:rPr>
      </w:pPr>
      <w:r w:rsidRPr="000E6719">
        <w:rPr>
          <w:rFonts w:cs="Arial"/>
        </w:rPr>
        <w:t>El Codi penal preveu la suspensió  de l’execució de les penes privatives de llibertat. En aquest cas, els òrgans judicials poden imposar condicions per atorgar la suspensió, entre les quals hi ha el compliment de determinades obligacions o deures. A continuació es detalla el programa d’aquelles obligacions que són competència d</w:t>
      </w:r>
      <w:r>
        <w:rPr>
          <w:rFonts w:cs="Arial"/>
        </w:rPr>
        <w:t>e la</w:t>
      </w:r>
      <w:r w:rsidRPr="007F2324">
        <w:rPr>
          <w:rFonts w:cs="Arial"/>
        </w:rPr>
        <w:t xml:space="preserve"> Subdirecció</w:t>
      </w:r>
      <w:r>
        <w:rPr>
          <w:rFonts w:cs="Arial"/>
        </w:rPr>
        <w:t xml:space="preserve"> General de Reparació i Execució Penal a la Comunitat.</w:t>
      </w:r>
    </w:p>
    <w:p w:rsidR="00507FE7" w:rsidRPr="000E6719" w:rsidRDefault="00507FE7" w:rsidP="00A41348">
      <w:pPr>
        <w:ind w:left="708"/>
        <w:rPr>
          <w:rFonts w:cs="Arial"/>
          <w:i/>
        </w:rPr>
      </w:pPr>
      <w:r w:rsidRPr="000E6719">
        <w:rPr>
          <w:rFonts w:cs="Arial"/>
          <w:i/>
        </w:rPr>
        <w:t>a. La suspensió de l’execució de les penes privatives de llibertat</w:t>
      </w:r>
    </w:p>
    <w:p w:rsidR="00507FE7" w:rsidRPr="000E6719" w:rsidRDefault="00507FE7" w:rsidP="00A41348">
      <w:pPr>
        <w:ind w:left="708"/>
        <w:rPr>
          <w:rFonts w:cs="Arial"/>
        </w:rPr>
      </w:pPr>
      <w:r w:rsidRPr="000E6719">
        <w:rPr>
          <w:rFonts w:cs="Arial"/>
        </w:rPr>
        <w:t xml:space="preserve">És la facultat que la llei atorga als jutges i magistrats de deixar en suspens durant un temps el compliment de determinades penes privatives de llibertat. La suspensió pot estar condicionada al compliment de determinades obligacions o deures: programes formatius, tractaments de salut mental o deshabituació, realitzar un treball en benefici de la </w:t>
      </w:r>
      <w:r>
        <w:rPr>
          <w:rFonts w:cs="Arial"/>
        </w:rPr>
        <w:t>c</w:t>
      </w:r>
      <w:r w:rsidRPr="000E6719">
        <w:rPr>
          <w:rFonts w:cs="Arial"/>
        </w:rPr>
        <w:t xml:space="preserve">omunitat i altres. </w:t>
      </w:r>
    </w:p>
    <w:p w:rsidR="00507FE7" w:rsidRPr="000E6719" w:rsidRDefault="00507FE7" w:rsidP="00904443">
      <w:pPr>
        <w:numPr>
          <w:ilvl w:val="0"/>
          <w:numId w:val="41"/>
        </w:numPr>
        <w:tabs>
          <w:tab w:val="clear" w:pos="360"/>
          <w:tab w:val="num" w:pos="992"/>
          <w:tab w:val="num" w:pos="1069"/>
          <w:tab w:val="num" w:pos="1276"/>
        </w:tabs>
        <w:spacing w:before="0" w:after="200"/>
        <w:ind w:left="992" w:hanging="284"/>
        <w:rPr>
          <w:rFonts w:cs="Arial"/>
        </w:rPr>
      </w:pPr>
      <w:r w:rsidRPr="000E6719">
        <w:rPr>
          <w:rFonts w:cs="Arial"/>
        </w:rPr>
        <w:t>Suspensió ordinària (art</w:t>
      </w:r>
      <w:r>
        <w:rPr>
          <w:rFonts w:cs="Arial"/>
        </w:rPr>
        <w:t>icle</w:t>
      </w:r>
      <w:r w:rsidRPr="000E6719">
        <w:rPr>
          <w:rFonts w:cs="Arial"/>
        </w:rPr>
        <w:t xml:space="preserve"> 80 i </w:t>
      </w:r>
      <w:r>
        <w:rPr>
          <w:rFonts w:cs="Arial"/>
        </w:rPr>
        <w:t>següents del</w:t>
      </w:r>
      <w:r w:rsidRPr="000E6719">
        <w:rPr>
          <w:rFonts w:cs="Arial"/>
        </w:rPr>
        <w:t xml:space="preserve"> </w:t>
      </w:r>
      <w:r>
        <w:rPr>
          <w:rFonts w:cs="Arial"/>
        </w:rPr>
        <w:t>Codi penal</w:t>
      </w:r>
      <w:r w:rsidRPr="000E6719">
        <w:rPr>
          <w:rFonts w:cs="Arial"/>
        </w:rPr>
        <w:t>)</w:t>
      </w:r>
      <w:r>
        <w:rPr>
          <w:rFonts w:cs="Arial"/>
        </w:rPr>
        <w:t>,</w:t>
      </w:r>
      <w:r w:rsidRPr="000E6719">
        <w:rPr>
          <w:rFonts w:cs="Arial"/>
        </w:rPr>
        <w:t xml:space="preserve"> </w:t>
      </w:r>
      <w:r>
        <w:rPr>
          <w:rFonts w:cs="Arial"/>
        </w:rPr>
        <w:t xml:space="preserve">per a </w:t>
      </w:r>
      <w:r w:rsidRPr="000E6719">
        <w:rPr>
          <w:rFonts w:cs="Arial"/>
        </w:rPr>
        <w:t xml:space="preserve">penes privatives de llibertat no superiors a </w:t>
      </w:r>
      <w:r>
        <w:rPr>
          <w:rFonts w:cs="Arial"/>
        </w:rPr>
        <w:t>dos</w:t>
      </w:r>
      <w:r w:rsidRPr="000E6719">
        <w:rPr>
          <w:rFonts w:cs="Arial"/>
        </w:rPr>
        <w:t xml:space="preserve"> anys, a persones penades sense antecedents.</w:t>
      </w:r>
    </w:p>
    <w:p w:rsidR="00507FE7" w:rsidRPr="000E6719" w:rsidRDefault="00507FE7" w:rsidP="00904443">
      <w:pPr>
        <w:numPr>
          <w:ilvl w:val="0"/>
          <w:numId w:val="41"/>
        </w:numPr>
        <w:tabs>
          <w:tab w:val="clear" w:pos="360"/>
          <w:tab w:val="num" w:pos="284"/>
          <w:tab w:val="num" w:pos="993"/>
          <w:tab w:val="num" w:pos="1069"/>
          <w:tab w:val="num" w:pos="1276"/>
        </w:tabs>
        <w:spacing w:before="0" w:after="200"/>
        <w:ind w:left="992" w:hanging="284"/>
        <w:rPr>
          <w:rFonts w:cs="Arial"/>
        </w:rPr>
      </w:pPr>
      <w:r w:rsidRPr="000E6719">
        <w:rPr>
          <w:rFonts w:cs="Arial"/>
        </w:rPr>
        <w:t>Suspensió excepcional (art</w:t>
      </w:r>
      <w:r>
        <w:rPr>
          <w:rFonts w:cs="Arial"/>
        </w:rPr>
        <w:t>icle</w:t>
      </w:r>
      <w:r w:rsidRPr="000E6719">
        <w:rPr>
          <w:rFonts w:cs="Arial"/>
        </w:rPr>
        <w:t xml:space="preserve"> 80.3 </w:t>
      </w:r>
      <w:r>
        <w:rPr>
          <w:rFonts w:cs="Arial"/>
        </w:rPr>
        <w:t>del Codi penal</w:t>
      </w:r>
      <w:r w:rsidRPr="000E6719">
        <w:rPr>
          <w:rFonts w:cs="Arial"/>
        </w:rPr>
        <w:t xml:space="preserve">, en la nova redacció donada per la reforma de la </w:t>
      </w:r>
      <w:r>
        <w:rPr>
          <w:rFonts w:cs="Arial"/>
        </w:rPr>
        <w:t>Llei orgànica</w:t>
      </w:r>
      <w:r w:rsidRPr="000E6719">
        <w:rPr>
          <w:rFonts w:cs="Arial"/>
        </w:rPr>
        <w:t>1/2015)</w:t>
      </w:r>
      <w:r>
        <w:rPr>
          <w:rFonts w:cs="Arial"/>
        </w:rPr>
        <w:t>,</w:t>
      </w:r>
      <w:r w:rsidRPr="000E6719">
        <w:rPr>
          <w:rFonts w:cs="Arial"/>
        </w:rPr>
        <w:t xml:space="preserve"> </w:t>
      </w:r>
      <w:r>
        <w:rPr>
          <w:rFonts w:cs="Arial"/>
        </w:rPr>
        <w:t>e</w:t>
      </w:r>
      <w:r w:rsidRPr="000E6719">
        <w:rPr>
          <w:rFonts w:cs="Arial"/>
        </w:rPr>
        <w:t xml:space="preserve">xcepcionalment, encara que no concorrin les condicions 1a i 2a de l’article 80. 2 (que el condemnat hagi delinquit per primera vegada i que la pena o la suma de les </w:t>
      </w:r>
      <w:r>
        <w:rPr>
          <w:rFonts w:cs="Arial"/>
        </w:rPr>
        <w:t xml:space="preserve">penes </w:t>
      </w:r>
      <w:r w:rsidRPr="000E6719">
        <w:rPr>
          <w:rFonts w:cs="Arial"/>
        </w:rPr>
        <w:t xml:space="preserve">imposades no sigui superior a </w:t>
      </w:r>
      <w:r>
        <w:rPr>
          <w:rFonts w:cs="Arial"/>
        </w:rPr>
        <w:t>dos</w:t>
      </w:r>
      <w:r w:rsidRPr="000E6719">
        <w:rPr>
          <w:rFonts w:cs="Arial"/>
        </w:rPr>
        <w:t xml:space="preserve"> anys), i sempre que no es tracti de reus habituals, es pot acordar la suspensió de les penes de presó que individualment no excedeixin els dos anys quan les circumstàncies personals del reu, la naturalesa del fet, la seva conducta i, en particular, l’esforç per reparar el dany causat, ho aconsellin.</w:t>
      </w:r>
    </w:p>
    <w:p w:rsidR="00507FE7" w:rsidRPr="000E6719" w:rsidRDefault="00507FE7" w:rsidP="00904443">
      <w:pPr>
        <w:numPr>
          <w:ilvl w:val="0"/>
          <w:numId w:val="41"/>
        </w:numPr>
        <w:tabs>
          <w:tab w:val="clear" w:pos="360"/>
          <w:tab w:val="num" w:pos="284"/>
          <w:tab w:val="num" w:pos="993"/>
          <w:tab w:val="num" w:pos="1069"/>
          <w:tab w:val="num" w:pos="1276"/>
        </w:tabs>
        <w:spacing w:before="0" w:after="200"/>
        <w:ind w:left="992" w:hanging="284"/>
        <w:rPr>
          <w:rFonts w:cs="Arial"/>
        </w:rPr>
      </w:pPr>
      <w:r w:rsidRPr="000E6719">
        <w:rPr>
          <w:rFonts w:cs="Arial"/>
        </w:rPr>
        <w:t>Suspensió extraordinària (art</w:t>
      </w:r>
      <w:r>
        <w:rPr>
          <w:rFonts w:cs="Arial"/>
        </w:rPr>
        <w:t>icle</w:t>
      </w:r>
      <w:r w:rsidRPr="000E6719">
        <w:rPr>
          <w:rFonts w:cs="Arial"/>
        </w:rPr>
        <w:t xml:space="preserve"> 80.5)</w:t>
      </w:r>
      <w:r>
        <w:rPr>
          <w:rFonts w:cs="Arial"/>
        </w:rPr>
        <w:t>,</w:t>
      </w:r>
      <w:r w:rsidRPr="000E6719">
        <w:rPr>
          <w:rFonts w:cs="Arial"/>
        </w:rPr>
        <w:t xml:space="preserve"> per  penes privatives de llibertat no superiors a 5 anys (abans de </w:t>
      </w:r>
      <w:r>
        <w:rPr>
          <w:rFonts w:cs="Arial"/>
        </w:rPr>
        <w:t xml:space="preserve">la </w:t>
      </w:r>
      <w:r w:rsidRPr="000E6719">
        <w:rPr>
          <w:rFonts w:cs="Arial"/>
        </w:rPr>
        <w:t>LO 15/03 era fins a 3 anys) i només es pot acordar en aquells casos que la persona condemnada ho hagi estat per la comissió d’un delicte a causa de la seva drogodependència i estigui en tractament</w:t>
      </w:r>
    </w:p>
    <w:p w:rsidR="00507FE7" w:rsidRPr="000E6719" w:rsidRDefault="00507FE7" w:rsidP="00904443">
      <w:pPr>
        <w:numPr>
          <w:ilvl w:val="0"/>
          <w:numId w:val="41"/>
        </w:numPr>
        <w:tabs>
          <w:tab w:val="clear" w:pos="360"/>
          <w:tab w:val="num" w:pos="284"/>
          <w:tab w:val="num" w:pos="993"/>
          <w:tab w:val="num" w:pos="1069"/>
          <w:tab w:val="num" w:pos="1276"/>
        </w:tabs>
        <w:spacing w:before="0" w:after="200"/>
        <w:ind w:left="992" w:hanging="284"/>
        <w:rPr>
          <w:rFonts w:cs="Arial"/>
        </w:rPr>
      </w:pPr>
      <w:r w:rsidRPr="000E6719">
        <w:rPr>
          <w:rFonts w:cs="Arial"/>
        </w:rPr>
        <w:t>Suspensió per malaltia greu amb patiments incurables (art</w:t>
      </w:r>
      <w:r>
        <w:rPr>
          <w:rFonts w:cs="Arial"/>
        </w:rPr>
        <w:t>icle</w:t>
      </w:r>
      <w:r w:rsidRPr="000E6719">
        <w:rPr>
          <w:rFonts w:cs="Arial"/>
        </w:rPr>
        <w:t xml:space="preserve"> 80.4 </w:t>
      </w:r>
      <w:r>
        <w:rPr>
          <w:rFonts w:cs="Arial"/>
        </w:rPr>
        <w:t>del Codi penal</w:t>
      </w:r>
      <w:r w:rsidRPr="000E6719">
        <w:rPr>
          <w:rFonts w:cs="Arial"/>
        </w:rPr>
        <w:t>)</w:t>
      </w:r>
    </w:p>
    <w:p w:rsidR="00507FE7" w:rsidRPr="000E6719" w:rsidRDefault="00507FE7" w:rsidP="00904443">
      <w:pPr>
        <w:numPr>
          <w:ilvl w:val="0"/>
          <w:numId w:val="41"/>
        </w:numPr>
        <w:tabs>
          <w:tab w:val="clear" w:pos="360"/>
          <w:tab w:val="num" w:pos="284"/>
          <w:tab w:val="num" w:pos="993"/>
          <w:tab w:val="num" w:pos="1069"/>
          <w:tab w:val="num" w:pos="1276"/>
        </w:tabs>
        <w:spacing w:before="0" w:after="200"/>
        <w:ind w:left="992" w:hanging="284"/>
        <w:rPr>
          <w:rFonts w:cs="Arial"/>
        </w:rPr>
      </w:pPr>
      <w:r w:rsidRPr="000E6719">
        <w:rPr>
          <w:rFonts w:cs="Arial"/>
        </w:rPr>
        <w:t>Suspensió per trastorn mental greu sobr</w:t>
      </w:r>
      <w:bookmarkStart w:id="802" w:name="_Toc89604248"/>
      <w:bookmarkStart w:id="803" w:name="_Toc89655035"/>
      <w:r w:rsidRPr="000E6719">
        <w:rPr>
          <w:rFonts w:cs="Arial"/>
        </w:rPr>
        <w:t>evingut (art</w:t>
      </w:r>
      <w:r>
        <w:rPr>
          <w:rFonts w:cs="Arial"/>
        </w:rPr>
        <w:t>icle</w:t>
      </w:r>
      <w:r w:rsidRPr="000E6719">
        <w:rPr>
          <w:rFonts w:cs="Arial"/>
        </w:rPr>
        <w:t xml:space="preserve"> 60 </w:t>
      </w:r>
      <w:r>
        <w:rPr>
          <w:rFonts w:cs="Arial"/>
        </w:rPr>
        <w:t>del Codi penal</w:t>
      </w:r>
      <w:r w:rsidRPr="000E6719">
        <w:rPr>
          <w:rFonts w:cs="Arial"/>
        </w:rPr>
        <w:t>)</w:t>
      </w:r>
    </w:p>
    <w:p w:rsidR="00507FE7" w:rsidRDefault="00507FE7" w:rsidP="00A41348">
      <w:pPr>
        <w:rPr>
          <w:rFonts w:cs="Arial"/>
          <w:i/>
          <w:color w:val="548DD4" w:themeColor="text2" w:themeTint="99"/>
          <w:sz w:val="20"/>
          <w:szCs w:val="20"/>
          <w:u w:val="single"/>
        </w:rPr>
      </w:pPr>
    </w:p>
    <w:p w:rsidR="00124A65" w:rsidRDefault="00507FE7" w:rsidP="00124A65">
      <w:pPr>
        <w:keepNext/>
        <w:tabs>
          <w:tab w:val="num" w:pos="993"/>
          <w:tab w:val="num" w:pos="1069"/>
          <w:tab w:val="num" w:pos="1276"/>
        </w:tabs>
      </w:pPr>
      <w:r w:rsidRPr="000E6719">
        <w:rPr>
          <w:rFonts w:cs="Arial"/>
          <w:noProof/>
          <w:lang w:eastAsia="ca-ES"/>
        </w:rPr>
        <w:lastRenderedPageBreak/>
        <w:drawing>
          <wp:inline distT="0" distB="0" distL="0" distR="0" wp14:anchorId="5CA1E3E5" wp14:editId="49B0AB8C">
            <wp:extent cx="5741774" cy="2093118"/>
            <wp:effectExtent l="0" t="0" r="0" b="2540"/>
            <wp:docPr id="58" name="Imat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743575" cy="2093774"/>
                    </a:xfrm>
                    <a:prstGeom prst="rect">
                      <a:avLst/>
                    </a:prstGeom>
                    <a:noFill/>
                  </pic:spPr>
                </pic:pic>
              </a:graphicData>
            </a:graphic>
          </wp:inline>
        </w:drawing>
      </w:r>
    </w:p>
    <w:p w:rsidR="00507FE7" w:rsidRDefault="00124A65" w:rsidP="00124A65">
      <w:pPr>
        <w:pStyle w:val="Llegenda"/>
      </w:pPr>
      <w:bookmarkStart w:id="804" w:name="_Toc465293881"/>
      <w:r>
        <w:t xml:space="preserve">Gràfic </w:t>
      </w:r>
      <w:r w:rsidR="00DB496B">
        <w:fldChar w:fldCharType="begin"/>
      </w:r>
      <w:r w:rsidR="00DB496B">
        <w:instrText xml:space="preserve"> SEQ Il·lustració \* ARABIC </w:instrText>
      </w:r>
      <w:r w:rsidR="00DB496B">
        <w:fldChar w:fldCharType="separate"/>
      </w:r>
      <w:r w:rsidR="00C952DF">
        <w:rPr>
          <w:noProof/>
        </w:rPr>
        <w:t>74</w:t>
      </w:r>
      <w:r w:rsidR="00DB496B">
        <w:rPr>
          <w:noProof/>
        </w:rPr>
        <w:fldChar w:fldCharType="end"/>
      </w:r>
      <w:r>
        <w:t xml:space="preserve">. </w:t>
      </w:r>
      <w:r w:rsidRPr="00874377">
        <w:t>Demandes d’obligacions substitutives de penes privatives de llibertat: evolució recent</w:t>
      </w:r>
      <w:bookmarkEnd w:id="804"/>
    </w:p>
    <w:p w:rsidR="003C42C9" w:rsidRPr="003C42C9" w:rsidRDefault="003C42C9" w:rsidP="003C42C9"/>
    <w:p w:rsidR="00507FE7" w:rsidRPr="000E6719" w:rsidRDefault="00507FE7" w:rsidP="0070401F">
      <w:pPr>
        <w:pStyle w:val="Ttol4"/>
      </w:pPr>
      <w:bookmarkStart w:id="805" w:name="_Toc455061250"/>
      <w:r w:rsidRPr="000E6719">
        <w:t>Contingut i elements definitoris</w:t>
      </w:r>
      <w:bookmarkEnd w:id="802"/>
      <w:bookmarkEnd w:id="803"/>
      <w:bookmarkEnd w:id="805"/>
    </w:p>
    <w:p w:rsidR="00507FE7" w:rsidRPr="000E6719" w:rsidRDefault="00507FE7" w:rsidP="00A41348">
      <w:pPr>
        <w:rPr>
          <w:rFonts w:cs="Arial"/>
        </w:rPr>
      </w:pPr>
      <w:r w:rsidRPr="000E6719">
        <w:rPr>
          <w:rFonts w:cs="Arial"/>
        </w:rPr>
        <w:t xml:space="preserve">En aquests casos, la tasca que fan els equips de MPA consisteix en la recerca del recurs i la derivació de la persona, i en el seguiment del compliment de les obligacions i deures imposats, amb tramesa d’informes periòdics a l’òrgan judicial. </w:t>
      </w:r>
    </w:p>
    <w:p w:rsidR="00507FE7" w:rsidRPr="000E6719" w:rsidRDefault="00507FE7" w:rsidP="00A41348">
      <w:pPr>
        <w:rPr>
          <w:rFonts w:cs="Arial"/>
        </w:rPr>
      </w:pPr>
      <w:r w:rsidRPr="000E6719">
        <w:rPr>
          <w:rFonts w:cs="Arial"/>
        </w:rPr>
        <w:t>Per portar a terme el compliment d’aquestes obligacions comptem amb els recursos de la xarxa comunitària, tant pel que fa a la Xarxa psiquiàtrica i de salut mental de Catalunya, com pel que fa a la xarxa d’</w:t>
      </w:r>
      <w:r>
        <w:rPr>
          <w:rFonts w:cs="Arial"/>
        </w:rPr>
        <w:t>a</w:t>
      </w:r>
      <w:r w:rsidRPr="000E6719">
        <w:rPr>
          <w:rFonts w:cs="Arial"/>
        </w:rPr>
        <w:t xml:space="preserve">tenció en </w:t>
      </w:r>
      <w:r>
        <w:rPr>
          <w:rFonts w:cs="Arial"/>
        </w:rPr>
        <w:t>d</w:t>
      </w:r>
      <w:r w:rsidRPr="000E6719">
        <w:rPr>
          <w:rFonts w:cs="Arial"/>
        </w:rPr>
        <w:t>rogodependències.</w:t>
      </w:r>
    </w:p>
    <w:p w:rsidR="00507FE7" w:rsidRPr="000E6719" w:rsidRDefault="00507FE7" w:rsidP="00A41348">
      <w:pPr>
        <w:rPr>
          <w:rFonts w:cs="Arial"/>
        </w:rPr>
      </w:pPr>
      <w:r w:rsidRPr="000E6719">
        <w:rPr>
          <w:rFonts w:cs="Arial"/>
        </w:rPr>
        <w:t xml:space="preserve">Quan la suspensió està condicionada a la realització d’un tractament de deshabituació, de salut mental, </w:t>
      </w:r>
      <w:r>
        <w:rPr>
          <w:rFonts w:cs="Arial"/>
        </w:rPr>
        <w:t xml:space="preserve">de </w:t>
      </w:r>
      <w:r w:rsidRPr="000E6719">
        <w:rPr>
          <w:rFonts w:cs="Arial"/>
        </w:rPr>
        <w:t xml:space="preserve">programes formatius o altres deures, el tècnic responsable del seguiment </w:t>
      </w:r>
      <w:r>
        <w:rPr>
          <w:rFonts w:cs="Arial"/>
        </w:rPr>
        <w:t>ha d’emetre</w:t>
      </w:r>
      <w:r w:rsidRPr="000E6719">
        <w:rPr>
          <w:rFonts w:cs="Arial"/>
        </w:rPr>
        <w:t xml:space="preserve"> informes periòdics </w:t>
      </w:r>
      <w:r>
        <w:rPr>
          <w:rFonts w:cs="Arial"/>
        </w:rPr>
        <w:t xml:space="preserve">en què s’explicitarà </w:t>
      </w:r>
      <w:r w:rsidRPr="000E6719">
        <w:rPr>
          <w:rFonts w:cs="Arial"/>
        </w:rPr>
        <w:t>l’inici del tractament, l’evolució del compliment, les modificacions que es produeixin i la finalització del tractament o programa</w:t>
      </w:r>
      <w:r>
        <w:rPr>
          <w:rFonts w:cs="Arial"/>
        </w:rPr>
        <w:t>, i</w:t>
      </w:r>
      <w:r w:rsidRPr="000E6719">
        <w:rPr>
          <w:rFonts w:cs="Arial"/>
        </w:rPr>
        <w:t xml:space="preserve"> </w:t>
      </w:r>
      <w:r>
        <w:rPr>
          <w:rFonts w:cs="Arial"/>
        </w:rPr>
        <w:t>hi ha d’</w:t>
      </w:r>
      <w:r w:rsidRPr="000E6719">
        <w:rPr>
          <w:rFonts w:cs="Arial"/>
        </w:rPr>
        <w:t>adjunta</w:t>
      </w:r>
      <w:r>
        <w:rPr>
          <w:rFonts w:cs="Arial"/>
        </w:rPr>
        <w:t xml:space="preserve">r </w:t>
      </w:r>
      <w:r w:rsidRPr="000E6719">
        <w:rPr>
          <w:rFonts w:cs="Arial"/>
        </w:rPr>
        <w:t>els l’informes sobre l’evolució del penat que elabori el centre on la persona estigui rebent el tractament o duent a terme l’obligació.</w:t>
      </w:r>
    </w:p>
    <w:p w:rsidR="00507FE7" w:rsidRPr="000E6719" w:rsidRDefault="00507FE7" w:rsidP="00A41348">
      <w:pPr>
        <w:ind w:left="708"/>
        <w:rPr>
          <w:rFonts w:cs="Arial"/>
          <w:i/>
        </w:rPr>
      </w:pPr>
      <w:r w:rsidRPr="000E6719">
        <w:rPr>
          <w:rFonts w:cs="Arial"/>
          <w:i/>
        </w:rPr>
        <w:t>a. El seguiment i el control</w:t>
      </w:r>
    </w:p>
    <w:p w:rsidR="00507FE7" w:rsidRPr="000E6719" w:rsidRDefault="00507FE7" w:rsidP="00A41348">
      <w:pPr>
        <w:ind w:left="708"/>
        <w:rPr>
          <w:rFonts w:cs="Arial"/>
        </w:rPr>
      </w:pPr>
      <w:r w:rsidRPr="000E6719">
        <w:rPr>
          <w:rFonts w:cs="Arial"/>
        </w:rPr>
        <w:t>El seguiment i control de l’evolució del penat es du</w:t>
      </w:r>
      <w:r>
        <w:rPr>
          <w:rFonts w:cs="Arial"/>
        </w:rPr>
        <w:t>u</w:t>
      </w:r>
      <w:r w:rsidRPr="000E6719">
        <w:rPr>
          <w:rFonts w:cs="Arial"/>
        </w:rPr>
        <w:t xml:space="preserve"> a terme </w:t>
      </w:r>
      <w:r>
        <w:rPr>
          <w:rFonts w:cs="Arial"/>
        </w:rPr>
        <w:t>per mitjà</w:t>
      </w:r>
      <w:r w:rsidRPr="000E6719">
        <w:rPr>
          <w:rFonts w:cs="Arial"/>
        </w:rPr>
        <w:t xml:space="preserve"> de les entrevistes periòdiques i</w:t>
      </w:r>
      <w:r>
        <w:rPr>
          <w:rFonts w:cs="Arial"/>
        </w:rPr>
        <w:t xml:space="preserve"> </w:t>
      </w:r>
      <w:r w:rsidRPr="000E6719">
        <w:rPr>
          <w:rFonts w:cs="Arial"/>
        </w:rPr>
        <w:t xml:space="preserve">de les coordinacions corresponents amb els professionals del recurs especialitzat. El responsable del recurs facilitarà periòdicament els informes sobre l’evolució, </w:t>
      </w:r>
      <w:r>
        <w:rPr>
          <w:rFonts w:cs="Arial"/>
        </w:rPr>
        <w:t>i hi farà</w:t>
      </w:r>
      <w:r w:rsidRPr="000E6719">
        <w:rPr>
          <w:rFonts w:cs="Arial"/>
        </w:rPr>
        <w:t xml:space="preserve"> constar tant la situació actual com la valoració corresponent.</w:t>
      </w:r>
    </w:p>
    <w:p w:rsidR="00507FE7" w:rsidRPr="000E6719" w:rsidRDefault="00507FE7" w:rsidP="00A41348">
      <w:pPr>
        <w:ind w:left="708"/>
        <w:rPr>
          <w:rFonts w:cs="Arial"/>
        </w:rPr>
      </w:pPr>
      <w:r w:rsidRPr="000E6719">
        <w:rPr>
          <w:rFonts w:cs="Arial"/>
        </w:rPr>
        <w:t xml:space="preserve">El professional de treball en medi obert actua com a interlocutor entre la instància judicial i el recurs especialitzat, </w:t>
      </w:r>
      <w:r>
        <w:rPr>
          <w:rFonts w:cs="Arial"/>
        </w:rPr>
        <w:t>i així fa p</w:t>
      </w:r>
      <w:r w:rsidRPr="000E6719">
        <w:rPr>
          <w:rFonts w:cs="Arial"/>
        </w:rPr>
        <w:t>ossibl</w:t>
      </w:r>
      <w:r>
        <w:rPr>
          <w:rFonts w:cs="Arial"/>
        </w:rPr>
        <w:t>e l’</w:t>
      </w:r>
      <w:r w:rsidRPr="000E6719">
        <w:rPr>
          <w:rFonts w:cs="Arial"/>
        </w:rPr>
        <w:t xml:space="preserve">intercanvi d’informació entre les institucions, </w:t>
      </w:r>
      <w:r>
        <w:rPr>
          <w:rFonts w:cs="Arial"/>
        </w:rPr>
        <w:t xml:space="preserve">en </w:t>
      </w:r>
      <w:r w:rsidRPr="000E6719">
        <w:rPr>
          <w:rFonts w:cs="Arial"/>
        </w:rPr>
        <w:t>canalitza les demandes i proposa canvis que millor</w:t>
      </w:r>
      <w:r>
        <w:rPr>
          <w:rFonts w:cs="Arial"/>
        </w:rPr>
        <w:t>in</w:t>
      </w:r>
      <w:r w:rsidRPr="000E6719">
        <w:rPr>
          <w:rFonts w:cs="Arial"/>
        </w:rPr>
        <w:t xml:space="preserve"> </w:t>
      </w:r>
      <w:r>
        <w:rPr>
          <w:rFonts w:cs="Arial"/>
        </w:rPr>
        <w:t>l’</w:t>
      </w:r>
      <w:r w:rsidRPr="000E6719">
        <w:rPr>
          <w:rFonts w:cs="Arial"/>
        </w:rPr>
        <w:t>adequació de la mesura a les característiques del penat.</w:t>
      </w:r>
    </w:p>
    <w:p w:rsidR="00507FE7" w:rsidRPr="000E6719" w:rsidRDefault="00507FE7" w:rsidP="00A41348">
      <w:pPr>
        <w:ind w:left="708"/>
        <w:rPr>
          <w:rFonts w:cs="Arial"/>
          <w:i/>
        </w:rPr>
      </w:pPr>
      <w:r w:rsidRPr="000E6719">
        <w:rPr>
          <w:rFonts w:cs="Arial"/>
          <w:i/>
        </w:rPr>
        <w:t>b. Compliment de les obligacions o deures</w:t>
      </w:r>
    </w:p>
    <w:p w:rsidR="00507FE7" w:rsidRPr="000E6719" w:rsidRDefault="00507FE7" w:rsidP="00A41348">
      <w:pPr>
        <w:ind w:left="708"/>
        <w:rPr>
          <w:rFonts w:cs="Arial"/>
        </w:rPr>
      </w:pPr>
      <w:r w:rsidRPr="000E6719">
        <w:rPr>
          <w:rFonts w:cs="Arial"/>
        </w:rPr>
        <w:t>Comporta la participació i implicació del penat en programes formatius, laborals, culturals o altres, prèviament aprovats pel jutge o tribunal, adequats a les característiques personals i encaminats a atendre les dificultats o mancances que presenta el penat.</w:t>
      </w:r>
    </w:p>
    <w:p w:rsidR="00507FE7" w:rsidRPr="000E6719" w:rsidRDefault="00507FE7" w:rsidP="00A41348">
      <w:pPr>
        <w:ind w:left="708"/>
        <w:rPr>
          <w:rFonts w:cs="Arial"/>
          <w:i/>
        </w:rPr>
      </w:pPr>
      <w:r w:rsidRPr="000E6719">
        <w:rPr>
          <w:rFonts w:cs="Arial"/>
          <w:i/>
        </w:rPr>
        <w:t>c. Tractament</w:t>
      </w:r>
    </w:p>
    <w:p w:rsidR="00507FE7" w:rsidRPr="000E6719" w:rsidRDefault="00507FE7" w:rsidP="00A41348">
      <w:pPr>
        <w:ind w:left="708"/>
        <w:rPr>
          <w:rFonts w:cs="Arial"/>
        </w:rPr>
      </w:pPr>
      <w:r w:rsidRPr="000E6719">
        <w:rPr>
          <w:rFonts w:cs="Arial"/>
        </w:rPr>
        <w:t xml:space="preserve">Comporta el compliment per part del penat d’un tractament especialitzat encaminat a atendre els trastorns i dificultats que presenta i que han influït en la comissió del </w:t>
      </w:r>
      <w:r w:rsidRPr="000E6719">
        <w:rPr>
          <w:rFonts w:cs="Arial"/>
        </w:rPr>
        <w:lastRenderedPageBreak/>
        <w:t>delicte. El tipus de tractament s’</w:t>
      </w:r>
      <w:r>
        <w:rPr>
          <w:rFonts w:cs="Arial"/>
        </w:rPr>
        <w:t>ha d’</w:t>
      </w:r>
      <w:r w:rsidRPr="000E6719">
        <w:rPr>
          <w:rFonts w:cs="Arial"/>
        </w:rPr>
        <w:t>adequar a les característiques del penat, d’acord amb el diagnòstic emès pels professionals especialitzats. El tractament t</w:t>
      </w:r>
      <w:r>
        <w:rPr>
          <w:rFonts w:cs="Arial"/>
        </w:rPr>
        <w:t>é</w:t>
      </w:r>
      <w:r w:rsidRPr="000E6719">
        <w:rPr>
          <w:rFonts w:cs="Arial"/>
        </w:rPr>
        <w:t xml:space="preserve"> una finalitat terapèutica </w:t>
      </w:r>
      <w:r>
        <w:rPr>
          <w:rFonts w:cs="Arial"/>
        </w:rPr>
        <w:t xml:space="preserve">i </w:t>
      </w:r>
      <w:r w:rsidRPr="000E6719">
        <w:rPr>
          <w:rFonts w:cs="Arial"/>
        </w:rPr>
        <w:t xml:space="preserve">potencia la integració progressiva </w:t>
      </w:r>
      <w:r>
        <w:rPr>
          <w:rFonts w:cs="Arial"/>
        </w:rPr>
        <w:t xml:space="preserve">del penat </w:t>
      </w:r>
      <w:r w:rsidRPr="000E6719">
        <w:rPr>
          <w:rFonts w:cs="Arial"/>
        </w:rPr>
        <w:t>a la comunitat.</w:t>
      </w:r>
    </w:p>
    <w:p w:rsidR="00507FE7" w:rsidRPr="000E6719" w:rsidRDefault="00507FE7" w:rsidP="00A41348">
      <w:pPr>
        <w:ind w:left="708"/>
        <w:rPr>
          <w:rFonts w:cs="Arial"/>
          <w:i/>
        </w:rPr>
      </w:pPr>
      <w:bookmarkStart w:id="806" w:name="_Toc89604249"/>
      <w:bookmarkStart w:id="807" w:name="_Toc89655036"/>
      <w:bookmarkStart w:id="808" w:name="_Toc455061251"/>
      <w:r w:rsidRPr="000E6719">
        <w:rPr>
          <w:rFonts w:cs="Arial"/>
          <w:i/>
        </w:rPr>
        <w:t>d. O</w:t>
      </w:r>
      <w:bookmarkEnd w:id="806"/>
      <w:bookmarkEnd w:id="807"/>
      <w:r w:rsidRPr="000E6719">
        <w:rPr>
          <w:rFonts w:cs="Arial"/>
          <w:i/>
        </w:rPr>
        <w:t>bjectius</w:t>
      </w:r>
      <w:bookmarkEnd w:id="808"/>
    </w:p>
    <w:p w:rsidR="00507FE7" w:rsidRPr="000E6719" w:rsidRDefault="00507FE7" w:rsidP="00904443">
      <w:pPr>
        <w:numPr>
          <w:ilvl w:val="0"/>
          <w:numId w:val="41"/>
        </w:numPr>
        <w:tabs>
          <w:tab w:val="clear" w:pos="360"/>
          <w:tab w:val="num" w:pos="284"/>
          <w:tab w:val="num" w:pos="993"/>
          <w:tab w:val="num" w:pos="1069"/>
          <w:tab w:val="num" w:pos="1276"/>
        </w:tabs>
        <w:spacing w:before="0" w:after="200"/>
        <w:ind w:left="992" w:hanging="284"/>
        <w:rPr>
          <w:rFonts w:cs="Arial"/>
        </w:rPr>
      </w:pPr>
      <w:r w:rsidRPr="000E6719">
        <w:rPr>
          <w:rFonts w:cs="Arial"/>
        </w:rPr>
        <w:t>Garantir el compliment formal de les formes  suspensives de les penes privatives de llibertat.</w:t>
      </w:r>
    </w:p>
    <w:p w:rsidR="00507FE7" w:rsidRPr="000E6719" w:rsidRDefault="00507FE7" w:rsidP="00904443">
      <w:pPr>
        <w:numPr>
          <w:ilvl w:val="0"/>
          <w:numId w:val="41"/>
        </w:numPr>
        <w:tabs>
          <w:tab w:val="clear" w:pos="360"/>
          <w:tab w:val="num" w:pos="284"/>
          <w:tab w:val="num" w:pos="993"/>
          <w:tab w:val="num" w:pos="1069"/>
          <w:tab w:val="num" w:pos="1276"/>
        </w:tabs>
        <w:spacing w:before="0" w:after="200"/>
        <w:ind w:left="992" w:hanging="284"/>
        <w:rPr>
          <w:rFonts w:cs="Arial"/>
        </w:rPr>
      </w:pPr>
      <w:r w:rsidRPr="000E6719">
        <w:rPr>
          <w:rFonts w:cs="Arial"/>
        </w:rPr>
        <w:t>Desenvolupar els continguts responsabilitzadors i socialitzadors propis del Programa d’intervenció de les formes  suspensives.</w:t>
      </w:r>
    </w:p>
    <w:p w:rsidR="00507FE7" w:rsidRPr="000E6719" w:rsidRDefault="00507FE7" w:rsidP="00904443">
      <w:pPr>
        <w:numPr>
          <w:ilvl w:val="0"/>
          <w:numId w:val="41"/>
        </w:numPr>
        <w:tabs>
          <w:tab w:val="clear" w:pos="360"/>
          <w:tab w:val="num" w:pos="284"/>
          <w:tab w:val="num" w:pos="993"/>
          <w:tab w:val="num" w:pos="1069"/>
          <w:tab w:val="num" w:pos="1276"/>
        </w:tabs>
        <w:spacing w:before="0" w:after="200"/>
        <w:ind w:left="992" w:hanging="284"/>
        <w:rPr>
          <w:rFonts w:cs="Arial"/>
        </w:rPr>
      </w:pPr>
      <w:r w:rsidRPr="000E6719">
        <w:rPr>
          <w:rFonts w:cs="Arial"/>
        </w:rPr>
        <w:t xml:space="preserve">Vetllar per una evolució positiva si el penat es troba </w:t>
      </w:r>
      <w:r>
        <w:rPr>
          <w:rFonts w:cs="Arial"/>
        </w:rPr>
        <w:t>en</w:t>
      </w:r>
      <w:r w:rsidRPr="000E6719">
        <w:rPr>
          <w:rFonts w:cs="Arial"/>
        </w:rPr>
        <w:t xml:space="preserve"> tractament de deshabituació o bé si participa </w:t>
      </w:r>
      <w:bookmarkStart w:id="809" w:name="_Toc455061252"/>
      <w:r w:rsidRPr="000E6719">
        <w:rPr>
          <w:rFonts w:cs="Arial"/>
        </w:rPr>
        <w:t>en programes formatius o altres.</w:t>
      </w:r>
    </w:p>
    <w:p w:rsidR="00507FE7" w:rsidRPr="000E6719" w:rsidRDefault="00507FE7" w:rsidP="00A41348">
      <w:pPr>
        <w:tabs>
          <w:tab w:val="num" w:pos="993"/>
          <w:tab w:val="num" w:pos="1069"/>
          <w:tab w:val="num" w:pos="1276"/>
        </w:tabs>
        <w:rPr>
          <w:rFonts w:cs="Arial"/>
        </w:rPr>
      </w:pPr>
    </w:p>
    <w:p w:rsidR="00507FE7" w:rsidRPr="000E6719" w:rsidRDefault="00507FE7" w:rsidP="0070401F">
      <w:pPr>
        <w:pStyle w:val="Ttol4"/>
      </w:pPr>
      <w:r w:rsidRPr="000E6719">
        <w:t>Metodologia de la intervenció</w:t>
      </w:r>
      <w:bookmarkEnd w:id="809"/>
    </w:p>
    <w:p w:rsidR="00507FE7" w:rsidRPr="000E6719" w:rsidRDefault="00507FE7" w:rsidP="00A41348">
      <w:pPr>
        <w:rPr>
          <w:rFonts w:cs="Arial"/>
        </w:rPr>
      </w:pPr>
      <w:r w:rsidRPr="000E6719">
        <w:rPr>
          <w:rFonts w:cs="Arial"/>
        </w:rPr>
        <w:t xml:space="preserve">Tant el contingut del Programa d’intervenció com els objectius específics i la temporalitat, estaran determinats per la demanda recollida en la resolució judicial.  Així, respecte </w:t>
      </w:r>
      <w:r>
        <w:rPr>
          <w:rFonts w:cs="Arial"/>
        </w:rPr>
        <w:t xml:space="preserve">de </w:t>
      </w:r>
      <w:r w:rsidRPr="000E6719">
        <w:rPr>
          <w:rFonts w:cs="Arial"/>
        </w:rPr>
        <w:t>la suspensió de la pena amb compliment d’obligacions o deures, caldrà distingir els casos en què la intervenció principal es duu a terme en un recurs especialitzat, amb seguiment i control per part del professional de medi obert, d’aquells altres casos (bàsicament les obligacions de comparèixer davant l’</w:t>
      </w:r>
      <w:r>
        <w:rPr>
          <w:rFonts w:cs="Arial"/>
        </w:rPr>
        <w:t>A</w:t>
      </w:r>
      <w:r w:rsidRPr="000E6719">
        <w:rPr>
          <w:rFonts w:cs="Arial"/>
        </w:rPr>
        <w:t xml:space="preserve">dministració) en </w:t>
      </w:r>
      <w:r w:rsidRPr="009C57CE">
        <w:rPr>
          <w:rFonts w:cs="Arial"/>
        </w:rPr>
        <w:t xml:space="preserve">què aquest </w:t>
      </w:r>
      <w:r>
        <w:rPr>
          <w:rFonts w:cs="Arial"/>
        </w:rPr>
        <w:t xml:space="preserve">mateix </w:t>
      </w:r>
      <w:r w:rsidRPr="009C57CE">
        <w:rPr>
          <w:rFonts w:cs="Arial"/>
        </w:rPr>
        <w:t>professional</w:t>
      </w:r>
      <w:r w:rsidRPr="000E6719">
        <w:rPr>
          <w:rFonts w:cs="Arial"/>
        </w:rPr>
        <w:t xml:space="preserve"> és el referent principal de la intervenció.</w:t>
      </w:r>
    </w:p>
    <w:p w:rsidR="00507FE7" w:rsidRPr="000E6719" w:rsidRDefault="00507FE7" w:rsidP="00A41348">
      <w:pPr>
        <w:rPr>
          <w:rFonts w:cs="Arial"/>
          <w:b/>
          <w:sz w:val="28"/>
          <w:szCs w:val="28"/>
        </w:rPr>
      </w:pPr>
    </w:p>
    <w:p w:rsidR="00507FE7" w:rsidRPr="000E6719" w:rsidRDefault="00507FE7" w:rsidP="0070401F">
      <w:pPr>
        <w:pStyle w:val="Ttol4"/>
      </w:pPr>
      <w:bookmarkStart w:id="810" w:name="_Toc455061253"/>
      <w:bookmarkStart w:id="811" w:name="_Toc89604253"/>
      <w:bookmarkStart w:id="812" w:name="_Toc89655040"/>
      <w:r w:rsidRPr="000E6719">
        <w:t>Recursos especialitzats</w:t>
      </w:r>
      <w:bookmarkEnd w:id="810"/>
    </w:p>
    <w:p w:rsidR="00507FE7" w:rsidRPr="000E6719" w:rsidRDefault="00507FE7" w:rsidP="00A41348">
      <w:pPr>
        <w:rPr>
          <w:rFonts w:cs="Arial"/>
        </w:rPr>
      </w:pPr>
      <w:r w:rsidRPr="000E6719">
        <w:rPr>
          <w:rFonts w:cs="Arial"/>
        </w:rPr>
        <w:t>L’execució de les obligacions es porta a terme mitjançant recursos especialitzats, preferentment de la xarxa pública, en què es pugui rebre el tractament adequat.</w:t>
      </w:r>
    </w:p>
    <w:p w:rsidR="00507FE7" w:rsidRPr="000E6719" w:rsidRDefault="00507FE7" w:rsidP="00A41348">
      <w:pPr>
        <w:ind w:left="708"/>
        <w:rPr>
          <w:rFonts w:cs="Arial"/>
          <w:i/>
        </w:rPr>
      </w:pPr>
      <w:r w:rsidRPr="000E6719">
        <w:rPr>
          <w:rFonts w:cs="Arial"/>
          <w:i/>
        </w:rPr>
        <w:t>a. Àmbit de salut mental</w:t>
      </w:r>
    </w:p>
    <w:p w:rsidR="00507FE7" w:rsidRPr="000E6719" w:rsidRDefault="00507FE7" w:rsidP="00A41348">
      <w:pPr>
        <w:ind w:left="708"/>
        <w:rPr>
          <w:rFonts w:cs="Arial"/>
        </w:rPr>
      </w:pPr>
      <w:r w:rsidRPr="000E6719">
        <w:rPr>
          <w:rFonts w:cs="Arial"/>
        </w:rPr>
        <w:t xml:space="preserve">Es realitzen en els centres psiquiàtrics que pertanyen a la xarxa pública de salut mental i estan sectoritzats d’acord amb les directrius del Departament de Salut (cada persona té, segons el seu lloc de residència, un hospital psiquiàtric de referència) i en els centres de salut mental, d’acord amb la xarxa sectoritzada d’atenció en salut mental del  Departament de Salut. </w:t>
      </w:r>
    </w:p>
    <w:p w:rsidR="00507FE7" w:rsidRPr="000E6719" w:rsidRDefault="00507FE7" w:rsidP="00A41348">
      <w:pPr>
        <w:ind w:left="708"/>
        <w:rPr>
          <w:rFonts w:cs="Arial"/>
          <w:i/>
        </w:rPr>
      </w:pPr>
      <w:r w:rsidRPr="000E6719">
        <w:rPr>
          <w:rFonts w:cs="Arial"/>
          <w:i/>
        </w:rPr>
        <w:t>b. Àmbit de toxicomanies</w:t>
      </w:r>
    </w:p>
    <w:p w:rsidR="00507FE7" w:rsidRPr="000E6719" w:rsidRDefault="00507FE7" w:rsidP="00A41348">
      <w:pPr>
        <w:ind w:left="708"/>
        <w:rPr>
          <w:rFonts w:cs="Arial"/>
        </w:rPr>
      </w:pPr>
      <w:r w:rsidRPr="000E6719">
        <w:rPr>
          <w:rFonts w:cs="Arial"/>
        </w:rPr>
        <w:t>Es realitzen en els centres d’atenció en drogodependències dependents de la xarxa pública sectoritzada i en els centres conveniats, homologats o acreditats pel</w:t>
      </w:r>
      <w:r>
        <w:rPr>
          <w:rFonts w:cs="Arial"/>
        </w:rPr>
        <w:t>s</w:t>
      </w:r>
      <w:r w:rsidRPr="000E6719">
        <w:rPr>
          <w:rFonts w:cs="Arial"/>
        </w:rPr>
        <w:t xml:space="preserve"> </w:t>
      </w:r>
      <w:r>
        <w:rPr>
          <w:rFonts w:cs="Arial"/>
        </w:rPr>
        <w:t>de</w:t>
      </w:r>
      <w:r w:rsidRPr="000E6719">
        <w:rPr>
          <w:rFonts w:cs="Arial"/>
        </w:rPr>
        <w:t xml:space="preserve">partaments de Salut o de Benestar i Família, i en els centres d’assistència i seguiment de drogodependència (CAS), d’acord amb la xarxa sectoritzada d’atenció a drogodependències del Departament de Salut. </w:t>
      </w:r>
    </w:p>
    <w:p w:rsidR="00507FE7" w:rsidRPr="000E6719" w:rsidRDefault="00507FE7" w:rsidP="00A41348">
      <w:pPr>
        <w:ind w:left="708"/>
        <w:rPr>
          <w:rFonts w:cs="Arial"/>
          <w:i/>
        </w:rPr>
      </w:pPr>
      <w:r w:rsidRPr="000E6719">
        <w:rPr>
          <w:rFonts w:cs="Arial"/>
          <w:i/>
        </w:rPr>
        <w:t>c. Àmbit d’alteracions en la percepció</w:t>
      </w:r>
    </w:p>
    <w:p w:rsidR="00507FE7" w:rsidRPr="000E6719" w:rsidRDefault="00507FE7" w:rsidP="00A41348">
      <w:pPr>
        <w:ind w:left="708"/>
        <w:rPr>
          <w:rFonts w:cs="Arial"/>
        </w:rPr>
      </w:pPr>
      <w:r w:rsidRPr="000E6719">
        <w:rPr>
          <w:rFonts w:cs="Arial"/>
        </w:rPr>
        <w:t>S’executen mitjançant els serveis socials d’acolliment residencial de l'ICASS per</w:t>
      </w:r>
      <w:r>
        <w:rPr>
          <w:rFonts w:cs="Arial"/>
        </w:rPr>
        <w:t xml:space="preserve"> a</w:t>
      </w:r>
      <w:r w:rsidRPr="000E6719">
        <w:rPr>
          <w:rFonts w:cs="Arial"/>
        </w:rPr>
        <w:t xml:space="preserve"> persones amb disminució; </w:t>
      </w:r>
      <w:r>
        <w:rPr>
          <w:rFonts w:cs="Arial"/>
        </w:rPr>
        <w:t>i</w:t>
      </w:r>
      <w:r w:rsidRPr="000E6719">
        <w:rPr>
          <w:rFonts w:cs="Arial"/>
        </w:rPr>
        <w:t xml:space="preserve">nstitucions tutelars i </w:t>
      </w:r>
      <w:r>
        <w:rPr>
          <w:rFonts w:cs="Arial"/>
        </w:rPr>
        <w:t>e</w:t>
      </w:r>
      <w:r w:rsidRPr="000E6719">
        <w:rPr>
          <w:rFonts w:cs="Arial"/>
        </w:rPr>
        <w:t xml:space="preserve">ntitats d’iniciativa social reconegudes per la Generalitat; </w:t>
      </w:r>
      <w:r>
        <w:rPr>
          <w:rFonts w:cs="Arial"/>
        </w:rPr>
        <w:t>u</w:t>
      </w:r>
      <w:r w:rsidRPr="000E6719">
        <w:rPr>
          <w:rFonts w:cs="Arial"/>
        </w:rPr>
        <w:t xml:space="preserve">nitats residencials per </w:t>
      </w:r>
      <w:r>
        <w:rPr>
          <w:rFonts w:cs="Arial"/>
        </w:rPr>
        <w:t xml:space="preserve">a </w:t>
      </w:r>
      <w:r w:rsidRPr="000E6719">
        <w:rPr>
          <w:rFonts w:cs="Arial"/>
        </w:rPr>
        <w:t xml:space="preserve">disminuïts en hospitals psiquiàtrics amb unitats de mitjana i llarga estada; entitats territorials que tinguin delegada la competència; o </w:t>
      </w:r>
      <w:r>
        <w:rPr>
          <w:rFonts w:cs="Arial"/>
        </w:rPr>
        <w:t xml:space="preserve">bé </w:t>
      </w:r>
      <w:r w:rsidRPr="000E6719">
        <w:rPr>
          <w:rFonts w:cs="Arial"/>
        </w:rPr>
        <w:t>el corresponent equip de valoració i orientació del Centre d'Atenció a Disminuïts (EVO-CAD) de l'ICASS, amb la finalitat de valorar el Programa d’educació especial que es dissenyi i de col·laborar-hi.</w:t>
      </w:r>
    </w:p>
    <w:p w:rsidR="00507FE7" w:rsidRPr="000E6719" w:rsidRDefault="00507FE7">
      <w:pPr>
        <w:rPr>
          <w:rFonts w:cs="Arial"/>
          <w:b/>
        </w:rPr>
      </w:pPr>
      <w:bookmarkStart w:id="813" w:name="_Toc455061254"/>
      <w:bookmarkStart w:id="814" w:name="_Toc462140451"/>
    </w:p>
    <w:p w:rsidR="00507FE7" w:rsidRPr="000E6719" w:rsidRDefault="00507FE7" w:rsidP="0070401F">
      <w:pPr>
        <w:pStyle w:val="Ttol3"/>
      </w:pPr>
      <w:bookmarkStart w:id="815" w:name="_Toc464685776"/>
      <w:bookmarkStart w:id="816" w:name="_Toc465293524"/>
      <w:r w:rsidRPr="000E6719">
        <w:t>Programa de mesures de seguretat</w:t>
      </w:r>
      <w:bookmarkEnd w:id="811"/>
      <w:bookmarkEnd w:id="812"/>
      <w:bookmarkEnd w:id="813"/>
      <w:bookmarkEnd w:id="814"/>
      <w:bookmarkEnd w:id="815"/>
      <w:bookmarkEnd w:id="816"/>
    </w:p>
    <w:p w:rsidR="00507FE7" w:rsidRPr="000E6719" w:rsidRDefault="00507FE7" w:rsidP="00A41348">
      <w:pPr>
        <w:rPr>
          <w:rFonts w:cs="Arial"/>
          <w:i/>
        </w:rPr>
      </w:pPr>
      <w:bookmarkStart w:id="817" w:name="_Toc89604254"/>
      <w:bookmarkStart w:id="818" w:name="_Toc89655041"/>
      <w:bookmarkStart w:id="819" w:name="_Toc455061255"/>
    </w:p>
    <w:p w:rsidR="00507FE7" w:rsidRPr="000E6719" w:rsidRDefault="00507FE7" w:rsidP="0070401F">
      <w:pPr>
        <w:pStyle w:val="Ttol4"/>
      </w:pPr>
      <w:r w:rsidRPr="000E6719">
        <w:t>M</w:t>
      </w:r>
      <w:bookmarkEnd w:id="817"/>
      <w:bookmarkEnd w:id="818"/>
      <w:r w:rsidRPr="000E6719">
        <w:t>arc legal</w:t>
      </w:r>
      <w:bookmarkEnd w:id="819"/>
    </w:p>
    <w:p w:rsidR="00507FE7" w:rsidRPr="000E6719" w:rsidRDefault="00507FE7" w:rsidP="00A41348">
      <w:pPr>
        <w:rPr>
          <w:rFonts w:cs="Arial"/>
        </w:rPr>
      </w:pPr>
      <w:r w:rsidRPr="000E6719">
        <w:rPr>
          <w:rFonts w:cs="Arial"/>
        </w:rPr>
        <w:t xml:space="preserve">Les mesures de seguretat estan regulades </w:t>
      </w:r>
      <w:r>
        <w:rPr>
          <w:rFonts w:cs="Arial"/>
        </w:rPr>
        <w:t>per</w:t>
      </w:r>
      <w:r w:rsidRPr="000E6719">
        <w:rPr>
          <w:rFonts w:cs="Arial"/>
        </w:rPr>
        <w:t xml:space="preserve"> l’article 95 i següents del Codi penal. </w:t>
      </w:r>
      <w:r>
        <w:rPr>
          <w:rFonts w:cs="Arial"/>
        </w:rPr>
        <w:t>Les pot</w:t>
      </w:r>
      <w:r w:rsidRPr="000E6719">
        <w:rPr>
          <w:rFonts w:cs="Arial"/>
        </w:rPr>
        <w:t xml:space="preserve"> imposar el jutge o tribunal, amb els informes previs que consideri</w:t>
      </w:r>
      <w:r>
        <w:rPr>
          <w:rFonts w:cs="Arial"/>
        </w:rPr>
        <w:t>n</w:t>
      </w:r>
      <w:r w:rsidRPr="000E6719">
        <w:rPr>
          <w:rFonts w:cs="Arial"/>
        </w:rPr>
        <w:t xml:space="preserve"> necessaris, quan concorrin les següents circumstàncies: que el fet comès sigui delicte i que del fet i les circumstàncies personals del subjecte s</w:t>
      </w:r>
      <w:r>
        <w:rPr>
          <w:rFonts w:cs="Arial"/>
        </w:rPr>
        <w:t>e’n</w:t>
      </w:r>
      <w:r w:rsidRPr="000E6719">
        <w:rPr>
          <w:rFonts w:cs="Arial"/>
        </w:rPr>
        <w:t xml:space="preserve"> pugui deduir un pronòstic de comportament futur amb possibilitat de comissió de nous delictes. Podem diferenciar dos supòsits:</w:t>
      </w:r>
    </w:p>
    <w:p w:rsidR="00507FE7" w:rsidRPr="000E6719" w:rsidRDefault="00507FE7" w:rsidP="00904443">
      <w:pPr>
        <w:numPr>
          <w:ilvl w:val="0"/>
          <w:numId w:val="41"/>
        </w:numPr>
        <w:tabs>
          <w:tab w:val="clear" w:pos="360"/>
          <w:tab w:val="num" w:pos="284"/>
          <w:tab w:val="num" w:pos="993"/>
          <w:tab w:val="num" w:pos="1069"/>
          <w:tab w:val="num" w:pos="1276"/>
        </w:tabs>
        <w:spacing w:before="0" w:after="200"/>
        <w:ind w:left="568" w:hanging="284"/>
        <w:rPr>
          <w:rFonts w:cs="Arial"/>
        </w:rPr>
      </w:pPr>
      <w:r w:rsidRPr="000E6719">
        <w:rPr>
          <w:rFonts w:cs="Arial"/>
        </w:rPr>
        <w:t>Mesures de seguretat per eximents complets</w:t>
      </w:r>
    </w:p>
    <w:p w:rsidR="00507FE7" w:rsidRPr="000E6719" w:rsidRDefault="00507FE7" w:rsidP="00904443">
      <w:pPr>
        <w:numPr>
          <w:ilvl w:val="0"/>
          <w:numId w:val="41"/>
        </w:numPr>
        <w:tabs>
          <w:tab w:val="clear" w:pos="360"/>
          <w:tab w:val="num" w:pos="284"/>
          <w:tab w:val="num" w:pos="993"/>
          <w:tab w:val="num" w:pos="1069"/>
          <w:tab w:val="num" w:pos="1276"/>
        </w:tabs>
        <w:spacing w:before="0" w:after="200"/>
        <w:ind w:left="568" w:hanging="284"/>
        <w:rPr>
          <w:rFonts w:cs="Arial"/>
        </w:rPr>
      </w:pPr>
      <w:r w:rsidRPr="000E6719">
        <w:rPr>
          <w:rFonts w:cs="Arial"/>
        </w:rPr>
        <w:t>Mesures de seguretat per eximents incomplets</w:t>
      </w:r>
    </w:p>
    <w:p w:rsidR="00507FE7" w:rsidRPr="000E6719" w:rsidRDefault="00507FE7" w:rsidP="00A41348">
      <w:pPr>
        <w:rPr>
          <w:rFonts w:cs="Arial"/>
        </w:rPr>
      </w:pPr>
      <w:r w:rsidRPr="000E6719">
        <w:rPr>
          <w:rFonts w:cs="Arial"/>
        </w:rPr>
        <w:t>En ambdós supòsits es poden imposar mesures de seguretat no privatives de llibertat: inhabilitació professional</w:t>
      </w:r>
      <w:r>
        <w:rPr>
          <w:rFonts w:cs="Arial"/>
        </w:rPr>
        <w:t>,</w:t>
      </w:r>
      <w:r w:rsidRPr="000E6719">
        <w:rPr>
          <w:rFonts w:cs="Arial"/>
        </w:rPr>
        <w:t xml:space="preserve"> expulsió del territori nacional per a</w:t>
      </w:r>
      <w:r w:rsidRPr="000E6719">
        <w:rPr>
          <w:rFonts w:cs="Arial"/>
          <w:b/>
          <w:sz w:val="28"/>
          <w:szCs w:val="28"/>
        </w:rPr>
        <w:t xml:space="preserve"> </w:t>
      </w:r>
      <w:r w:rsidRPr="000E6719">
        <w:rPr>
          <w:rFonts w:cs="Arial"/>
        </w:rPr>
        <w:t>estrangers no residents legalment a Espanya</w:t>
      </w:r>
      <w:r>
        <w:rPr>
          <w:rFonts w:cs="Arial"/>
        </w:rPr>
        <w:t>,</w:t>
      </w:r>
      <w:r w:rsidRPr="000E6719">
        <w:rPr>
          <w:rFonts w:cs="Arial"/>
        </w:rPr>
        <w:t xml:space="preserve"> custòdia familiar</w:t>
      </w:r>
      <w:r>
        <w:rPr>
          <w:rFonts w:cs="Arial"/>
        </w:rPr>
        <w:t>,</w:t>
      </w:r>
      <w:r w:rsidRPr="000E6719">
        <w:rPr>
          <w:rFonts w:cs="Arial"/>
        </w:rPr>
        <w:t xml:space="preserve"> privació de</w:t>
      </w:r>
      <w:r>
        <w:rPr>
          <w:rFonts w:cs="Arial"/>
        </w:rPr>
        <w:t>l</w:t>
      </w:r>
      <w:r w:rsidRPr="000E6719">
        <w:rPr>
          <w:rFonts w:cs="Arial"/>
        </w:rPr>
        <w:t xml:space="preserve"> dret a conduir vehicles </w:t>
      </w:r>
      <w:r>
        <w:rPr>
          <w:rFonts w:cs="Arial"/>
        </w:rPr>
        <w:t>de</w:t>
      </w:r>
      <w:r w:rsidRPr="000E6719">
        <w:rPr>
          <w:rFonts w:cs="Arial"/>
        </w:rPr>
        <w:t xml:space="preserve"> motor i ciclomotors</w:t>
      </w:r>
      <w:r>
        <w:rPr>
          <w:rFonts w:cs="Arial"/>
        </w:rPr>
        <w:t>,</w:t>
      </w:r>
      <w:r w:rsidRPr="000E6719">
        <w:rPr>
          <w:rFonts w:cs="Arial"/>
        </w:rPr>
        <w:t xml:space="preserve"> privació del dret </w:t>
      </w:r>
      <w:r>
        <w:rPr>
          <w:rFonts w:cs="Arial"/>
        </w:rPr>
        <w:t>de</w:t>
      </w:r>
      <w:r w:rsidRPr="000E6719">
        <w:rPr>
          <w:rFonts w:cs="Arial"/>
        </w:rPr>
        <w:t xml:space="preserve"> tenir o portar armes i ll</w:t>
      </w:r>
      <w:r>
        <w:rPr>
          <w:rFonts w:cs="Arial"/>
        </w:rPr>
        <w:t>ibertat vigilada.</w:t>
      </w:r>
    </w:p>
    <w:p w:rsidR="00507FE7" w:rsidRPr="000E6719" w:rsidRDefault="00507FE7" w:rsidP="00A41348">
      <w:pPr>
        <w:rPr>
          <w:rFonts w:cs="Arial"/>
        </w:rPr>
      </w:pPr>
      <w:r w:rsidRPr="000E6719">
        <w:rPr>
          <w:rFonts w:cs="Arial"/>
        </w:rPr>
        <w:t>Les mesures que són objecte de seguiment per l’àrea de mesures penals alternatives són els internaments en centres mèdics o de salut mental, en centres de deshabituació o en centres d’educació especial; i</w:t>
      </w:r>
      <w:r>
        <w:rPr>
          <w:rFonts w:cs="Arial"/>
        </w:rPr>
        <w:t>,</w:t>
      </w:r>
      <w:r w:rsidRPr="000E6719">
        <w:rPr>
          <w:rFonts w:cs="Arial"/>
        </w:rPr>
        <w:t xml:space="preserve"> respecte de les mesures no privatives de llibertat, la custòdia familiar i la llibertat vigilada quan aquesta consisteix en la submissió del condemnat al control judicial a través del compliment per part seva d’alguna o algunes d’aquestes mesures: l’obligació de presentar-se periòdicament al lloc que el jutge o tribunal estableixi, l’obligació de seguir un tractament mèdic extern o de sotmetre’s a un control mèdic periòdic i l’obligació de participar en programes formatius, laborals, culturals, d’educació sexual o altres de semblants (art</w:t>
      </w:r>
      <w:r>
        <w:rPr>
          <w:rFonts w:cs="Arial"/>
        </w:rPr>
        <w:t>icle</w:t>
      </w:r>
      <w:r w:rsidRPr="000E6719">
        <w:rPr>
          <w:rFonts w:cs="Arial"/>
        </w:rPr>
        <w:t xml:space="preserve"> 106.1). </w:t>
      </w:r>
    </w:p>
    <w:p w:rsidR="00C952DF" w:rsidRDefault="00507FE7" w:rsidP="00C952DF">
      <w:pPr>
        <w:keepNext/>
      </w:pPr>
      <w:bookmarkStart w:id="820" w:name="_Toc455061256"/>
      <w:r w:rsidRPr="000E6719">
        <w:rPr>
          <w:rFonts w:cs="Arial"/>
          <w:i/>
          <w:noProof/>
          <w:lang w:eastAsia="ca-ES"/>
        </w:rPr>
        <w:drawing>
          <wp:inline distT="0" distB="0" distL="0" distR="0" wp14:anchorId="2CA1ABF2" wp14:editId="514E24ED">
            <wp:extent cx="5729566" cy="1800225"/>
            <wp:effectExtent l="0" t="0" r="5080" b="0"/>
            <wp:docPr id="59" name="Imat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733326" cy="1801406"/>
                    </a:xfrm>
                    <a:prstGeom prst="rect">
                      <a:avLst/>
                    </a:prstGeom>
                    <a:noFill/>
                  </pic:spPr>
                </pic:pic>
              </a:graphicData>
            </a:graphic>
          </wp:inline>
        </w:drawing>
      </w:r>
    </w:p>
    <w:p w:rsidR="00507FE7" w:rsidRDefault="00752E4C" w:rsidP="00C952DF">
      <w:pPr>
        <w:pStyle w:val="Llegenda"/>
      </w:pPr>
      <w:bookmarkStart w:id="821" w:name="_Toc465293882"/>
      <w:r>
        <w:t>Gràfic</w:t>
      </w:r>
      <w:r w:rsidR="00C952DF">
        <w:t xml:space="preserve"> </w:t>
      </w:r>
      <w:r w:rsidR="00DB496B">
        <w:fldChar w:fldCharType="begin"/>
      </w:r>
      <w:r w:rsidR="00DB496B">
        <w:instrText xml:space="preserve"> SEQ Il·lustració \* ARABIC </w:instrText>
      </w:r>
      <w:r w:rsidR="00DB496B">
        <w:fldChar w:fldCharType="separate"/>
      </w:r>
      <w:r w:rsidR="00C952DF">
        <w:rPr>
          <w:noProof/>
        </w:rPr>
        <w:t>75</w:t>
      </w:r>
      <w:r w:rsidR="00DB496B">
        <w:rPr>
          <w:noProof/>
        </w:rPr>
        <w:fldChar w:fldCharType="end"/>
      </w:r>
      <w:r w:rsidR="00C952DF">
        <w:t xml:space="preserve">. </w:t>
      </w:r>
      <w:r w:rsidR="00C952DF" w:rsidRPr="00F41D29">
        <w:t>Demandes de mesures de seguretat: evolució recent</w:t>
      </w:r>
      <w:bookmarkEnd w:id="821"/>
    </w:p>
    <w:p w:rsidR="00C952DF" w:rsidRPr="00C952DF" w:rsidRDefault="00C952DF" w:rsidP="00C952DF"/>
    <w:p w:rsidR="00507FE7" w:rsidRPr="000E6719" w:rsidRDefault="00507FE7" w:rsidP="0070401F">
      <w:pPr>
        <w:pStyle w:val="Ttol4"/>
      </w:pPr>
      <w:r w:rsidRPr="000E6719">
        <w:t>Contingut i elements definitoris</w:t>
      </w:r>
      <w:bookmarkEnd w:id="820"/>
    </w:p>
    <w:p w:rsidR="00507FE7" w:rsidRDefault="00507FE7" w:rsidP="00A41348">
      <w:pPr>
        <w:rPr>
          <w:rFonts w:cs="Arial"/>
        </w:rPr>
      </w:pPr>
      <w:r w:rsidRPr="000E6719">
        <w:rPr>
          <w:rFonts w:cs="Arial"/>
        </w:rPr>
        <w:t xml:space="preserve">El Programa consisteix en el seguiment i control de l’evolució del tractament que </w:t>
      </w:r>
      <w:r>
        <w:rPr>
          <w:rFonts w:cs="Arial"/>
        </w:rPr>
        <w:t>l’usuari fa en el recurs especialitzat i</w:t>
      </w:r>
      <w:r w:rsidRPr="000E6719">
        <w:rPr>
          <w:rFonts w:cs="Arial"/>
        </w:rPr>
        <w:t xml:space="preserve"> </w:t>
      </w:r>
      <w:r>
        <w:rPr>
          <w:rFonts w:cs="Arial"/>
        </w:rPr>
        <w:t xml:space="preserve">li </w:t>
      </w:r>
      <w:r w:rsidRPr="000E6719">
        <w:rPr>
          <w:rFonts w:cs="Arial"/>
        </w:rPr>
        <w:t>ofer</w:t>
      </w:r>
      <w:r>
        <w:rPr>
          <w:rFonts w:cs="Arial"/>
        </w:rPr>
        <w:t>eix</w:t>
      </w:r>
      <w:r w:rsidRPr="000E6719">
        <w:rPr>
          <w:rFonts w:cs="Arial"/>
        </w:rPr>
        <w:t xml:space="preserve"> </w:t>
      </w:r>
      <w:r>
        <w:rPr>
          <w:rFonts w:cs="Arial"/>
        </w:rPr>
        <w:t>–</w:t>
      </w:r>
      <w:r w:rsidRPr="000E6719">
        <w:rPr>
          <w:rFonts w:cs="Arial"/>
        </w:rPr>
        <w:t>alhora</w:t>
      </w:r>
      <w:r>
        <w:rPr>
          <w:rFonts w:cs="Arial"/>
        </w:rPr>
        <w:t>−</w:t>
      </w:r>
      <w:r w:rsidRPr="000E6719">
        <w:rPr>
          <w:rFonts w:cs="Arial"/>
        </w:rPr>
        <w:t xml:space="preserve"> un suport socioeducatiu encaminat a la </w:t>
      </w:r>
      <w:r>
        <w:rPr>
          <w:rFonts w:cs="Arial"/>
        </w:rPr>
        <w:t xml:space="preserve">seva </w:t>
      </w:r>
      <w:r w:rsidRPr="000E6719">
        <w:rPr>
          <w:rFonts w:cs="Arial"/>
        </w:rPr>
        <w:t xml:space="preserve">integració social. </w:t>
      </w:r>
      <w:r>
        <w:rPr>
          <w:rFonts w:cs="Arial"/>
        </w:rPr>
        <w:t>Si</w:t>
      </w:r>
      <w:r w:rsidRPr="000E6719">
        <w:rPr>
          <w:rFonts w:cs="Arial"/>
        </w:rPr>
        <w:t xml:space="preserve"> la persona sota mesura encara no ha iniciat cap tractament, el Programa preveu el treball de recerca del recurs adient i la derivació corresponent, per tal de facilitar-</w:t>
      </w:r>
      <w:r>
        <w:rPr>
          <w:rFonts w:cs="Arial"/>
        </w:rPr>
        <w:t>li</w:t>
      </w:r>
      <w:r w:rsidRPr="000E6719">
        <w:rPr>
          <w:rFonts w:cs="Arial"/>
        </w:rPr>
        <w:t xml:space="preserve"> la incorporació.</w:t>
      </w:r>
    </w:p>
    <w:p w:rsidR="003C42C9" w:rsidRDefault="003C42C9" w:rsidP="00A41348">
      <w:pPr>
        <w:rPr>
          <w:rFonts w:cs="Arial"/>
        </w:rPr>
      </w:pPr>
    </w:p>
    <w:p w:rsidR="00507FE7" w:rsidRPr="000E6719" w:rsidRDefault="00507FE7" w:rsidP="00A41348">
      <w:pPr>
        <w:ind w:left="708"/>
        <w:rPr>
          <w:rFonts w:cs="Arial"/>
          <w:i/>
        </w:rPr>
      </w:pPr>
      <w:r w:rsidRPr="000E6719">
        <w:rPr>
          <w:rFonts w:cs="Arial"/>
          <w:i/>
        </w:rPr>
        <w:lastRenderedPageBreak/>
        <w:t>a. Seguiment i control de l’execució de la mesura</w:t>
      </w:r>
    </w:p>
    <w:p w:rsidR="00507FE7" w:rsidRDefault="00507FE7" w:rsidP="00A41348">
      <w:pPr>
        <w:ind w:left="708"/>
        <w:rPr>
          <w:rFonts w:cs="Arial"/>
        </w:rPr>
      </w:pPr>
      <w:r w:rsidRPr="000E6719">
        <w:rPr>
          <w:rFonts w:cs="Arial"/>
        </w:rPr>
        <w:t>El seguiment i control de l’evolució del tractament es du</w:t>
      </w:r>
      <w:r>
        <w:rPr>
          <w:rFonts w:cs="Arial"/>
        </w:rPr>
        <w:t>u</w:t>
      </w:r>
      <w:r w:rsidRPr="000E6719">
        <w:rPr>
          <w:rFonts w:cs="Arial"/>
        </w:rPr>
        <w:t xml:space="preserve"> a terme</w:t>
      </w:r>
      <w:r>
        <w:rPr>
          <w:rFonts w:cs="Arial"/>
        </w:rPr>
        <w:t xml:space="preserve"> per mitjà</w:t>
      </w:r>
      <w:r w:rsidRPr="000E6719">
        <w:rPr>
          <w:rFonts w:cs="Arial"/>
        </w:rPr>
        <w:t xml:space="preserve"> d</w:t>
      </w:r>
      <w:r>
        <w:rPr>
          <w:rFonts w:cs="Arial"/>
        </w:rPr>
        <w:t xml:space="preserve">e les </w:t>
      </w:r>
      <w:r w:rsidRPr="000E6719">
        <w:rPr>
          <w:rFonts w:cs="Arial"/>
        </w:rPr>
        <w:t>entrevistes periòdiques amb la persona sota mesura i</w:t>
      </w:r>
      <w:r>
        <w:rPr>
          <w:rFonts w:cs="Arial"/>
        </w:rPr>
        <w:t xml:space="preserve"> </w:t>
      </w:r>
      <w:r w:rsidRPr="000E6719">
        <w:rPr>
          <w:rFonts w:cs="Arial"/>
        </w:rPr>
        <w:t xml:space="preserve">de les coordinacions corresponents amb els professionals del recurs especialitzat, preferentment de la xarxa pública on es porta a terme el tractament. El responsable del recurs facilitarà periòdicament els informes sobre l’evolució del tractament, </w:t>
      </w:r>
      <w:r>
        <w:rPr>
          <w:rFonts w:cs="Arial"/>
        </w:rPr>
        <w:t xml:space="preserve">i </w:t>
      </w:r>
      <w:r w:rsidRPr="000E6719">
        <w:rPr>
          <w:rFonts w:cs="Arial"/>
        </w:rPr>
        <w:t xml:space="preserve">hi </w:t>
      </w:r>
      <w:r>
        <w:rPr>
          <w:rFonts w:cs="Arial"/>
        </w:rPr>
        <w:t xml:space="preserve">farà </w:t>
      </w:r>
      <w:r w:rsidRPr="000E6719">
        <w:rPr>
          <w:rFonts w:cs="Arial"/>
        </w:rPr>
        <w:t>constar tant la situació actual com la valoració corresponent.</w:t>
      </w:r>
    </w:p>
    <w:p w:rsidR="00507FE7" w:rsidRPr="000E6719" w:rsidRDefault="00507FE7" w:rsidP="00A41348">
      <w:pPr>
        <w:ind w:left="708"/>
        <w:rPr>
          <w:rFonts w:cs="Arial"/>
          <w:i/>
        </w:rPr>
      </w:pPr>
      <w:r w:rsidRPr="000E6719">
        <w:rPr>
          <w:rFonts w:cs="Arial"/>
          <w:i/>
        </w:rPr>
        <w:t>b. Tractament</w:t>
      </w:r>
    </w:p>
    <w:p w:rsidR="00507FE7" w:rsidRPr="000E6719" w:rsidRDefault="00507FE7" w:rsidP="00A41348">
      <w:pPr>
        <w:ind w:left="708"/>
        <w:rPr>
          <w:rFonts w:cs="Arial"/>
        </w:rPr>
      </w:pPr>
      <w:r w:rsidRPr="000E6719">
        <w:rPr>
          <w:rFonts w:cs="Arial"/>
        </w:rPr>
        <w:t xml:space="preserve">Les mesures de seguretat comporten el compliment per part de la persona </w:t>
      </w:r>
      <w:r>
        <w:rPr>
          <w:rFonts w:cs="Arial"/>
        </w:rPr>
        <w:t xml:space="preserve">sota mesura </w:t>
      </w:r>
      <w:r w:rsidRPr="000E6719">
        <w:rPr>
          <w:rFonts w:cs="Arial"/>
        </w:rPr>
        <w:t xml:space="preserve">d’un tractament especialitzat encaminat a atendre els trastorns i dificultats que presenta i que han influït en la comissió del delicte. </w:t>
      </w:r>
    </w:p>
    <w:p w:rsidR="00507FE7" w:rsidRPr="000E6719" w:rsidRDefault="00507FE7" w:rsidP="00A41348">
      <w:pPr>
        <w:ind w:left="708"/>
        <w:rPr>
          <w:rFonts w:cs="Arial"/>
        </w:rPr>
      </w:pPr>
      <w:r w:rsidRPr="000E6719">
        <w:rPr>
          <w:rFonts w:cs="Arial"/>
        </w:rPr>
        <w:t>El tipus de tractament s’</w:t>
      </w:r>
      <w:r>
        <w:rPr>
          <w:rFonts w:cs="Arial"/>
        </w:rPr>
        <w:t>ha d’</w:t>
      </w:r>
      <w:r w:rsidRPr="000E6719">
        <w:rPr>
          <w:rFonts w:cs="Arial"/>
        </w:rPr>
        <w:t>adequar a les característiques del subjecte, d’acord amb el diagnòstic emès pels professionals especialitzats. El tractament t</w:t>
      </w:r>
      <w:r>
        <w:rPr>
          <w:rFonts w:cs="Arial"/>
        </w:rPr>
        <w:t>é</w:t>
      </w:r>
      <w:r w:rsidRPr="000E6719">
        <w:rPr>
          <w:rFonts w:cs="Arial"/>
        </w:rPr>
        <w:t xml:space="preserve"> una finalitat terapèutica </w:t>
      </w:r>
      <w:r>
        <w:rPr>
          <w:rFonts w:cs="Arial"/>
        </w:rPr>
        <w:t>i ha de pote</w:t>
      </w:r>
      <w:r w:rsidRPr="000E6719">
        <w:rPr>
          <w:rFonts w:cs="Arial"/>
        </w:rPr>
        <w:t>ncia</w:t>
      </w:r>
      <w:r>
        <w:rPr>
          <w:rFonts w:cs="Arial"/>
        </w:rPr>
        <w:t>r</w:t>
      </w:r>
      <w:r w:rsidRPr="000E6719">
        <w:rPr>
          <w:rFonts w:cs="Arial"/>
        </w:rPr>
        <w:t xml:space="preserve"> la seva integració progressiva a la comunitat. </w:t>
      </w:r>
    </w:p>
    <w:p w:rsidR="00507FE7" w:rsidRPr="000E6719" w:rsidRDefault="00507FE7" w:rsidP="00A41348">
      <w:pPr>
        <w:ind w:left="708"/>
        <w:rPr>
          <w:rFonts w:cs="Arial"/>
          <w:i/>
        </w:rPr>
      </w:pPr>
      <w:r w:rsidRPr="000E6719">
        <w:rPr>
          <w:rFonts w:cs="Arial"/>
          <w:i/>
        </w:rPr>
        <w:t>c. Suport socioeducatiu</w:t>
      </w:r>
    </w:p>
    <w:p w:rsidR="00507FE7" w:rsidRPr="000E6719" w:rsidRDefault="00507FE7" w:rsidP="00A41348">
      <w:pPr>
        <w:ind w:left="708"/>
        <w:rPr>
          <w:rFonts w:cs="Arial"/>
        </w:rPr>
      </w:pPr>
      <w:r w:rsidRPr="000E6719">
        <w:rPr>
          <w:rFonts w:cs="Arial"/>
        </w:rPr>
        <w:t xml:space="preserve">Tenint en compte que  les penes i les mesures de seguretat han d’estar orientades cap a la reeducació i reinserció social del subjecte, el control del compliment de la mesura ha d’anar acompanyat del seguiment socioeducatiu que porta a terme el professional de medi obert. Aquest seguiment ha de potenciar els elements de responsabilització tot implicant </w:t>
      </w:r>
      <w:r w:rsidRPr="00FE395C">
        <w:rPr>
          <w:rFonts w:cs="Arial"/>
        </w:rPr>
        <w:t>la persona sota mesura</w:t>
      </w:r>
      <w:r w:rsidRPr="000E6719">
        <w:rPr>
          <w:rFonts w:cs="Arial"/>
        </w:rPr>
        <w:t xml:space="preserve"> en el tractament. </w:t>
      </w:r>
    </w:p>
    <w:p w:rsidR="00507FE7" w:rsidRPr="000E6719" w:rsidRDefault="00507FE7" w:rsidP="00A41348">
      <w:pPr>
        <w:ind w:left="708"/>
        <w:rPr>
          <w:rFonts w:cs="Arial"/>
        </w:rPr>
      </w:pPr>
      <w:r w:rsidRPr="000E6719">
        <w:rPr>
          <w:rFonts w:cs="Arial"/>
        </w:rPr>
        <w:t>El  procés de responsabilització s’</w:t>
      </w:r>
      <w:r>
        <w:rPr>
          <w:rFonts w:cs="Arial"/>
        </w:rPr>
        <w:t>ha d’</w:t>
      </w:r>
      <w:r w:rsidRPr="000E6719">
        <w:rPr>
          <w:rFonts w:cs="Arial"/>
        </w:rPr>
        <w:t xml:space="preserve">adaptar a les capacitats del subjecte i </w:t>
      </w:r>
      <w:r>
        <w:rPr>
          <w:rFonts w:cs="Arial"/>
        </w:rPr>
        <w:t>a</w:t>
      </w:r>
      <w:r w:rsidRPr="000E6719">
        <w:rPr>
          <w:rFonts w:cs="Arial"/>
        </w:rPr>
        <w:t xml:space="preserve"> les possibilitats de portar-lo a terme. La  intervenció del professional de medi obert ha de facilitar-li el compliment de la mesura clarificant i enquadrant els seus aspectes formals. Alhora, es planteja una relació d’ajuda i suport socioeducatiu </w:t>
      </w:r>
      <w:r>
        <w:rPr>
          <w:rFonts w:cs="Arial"/>
        </w:rPr>
        <w:t xml:space="preserve">al subjecte </w:t>
      </w:r>
      <w:r w:rsidRPr="000E6719">
        <w:rPr>
          <w:rFonts w:cs="Arial"/>
        </w:rPr>
        <w:t>per tal d’abordar la seva situació global, tenint present els aspectes relacionats amb la salut</w:t>
      </w:r>
      <w:r>
        <w:rPr>
          <w:rFonts w:cs="Arial"/>
        </w:rPr>
        <w:t>,</w:t>
      </w:r>
      <w:r w:rsidRPr="000E6719">
        <w:rPr>
          <w:rFonts w:cs="Arial"/>
        </w:rPr>
        <w:t xml:space="preserve"> i també els altres àmbits de la seva situació personal, familiar, social i judicial que influeixen en la seva evolució general.</w:t>
      </w:r>
    </w:p>
    <w:p w:rsidR="00507FE7" w:rsidRPr="000E6719" w:rsidRDefault="00507FE7" w:rsidP="00A41348">
      <w:pPr>
        <w:ind w:left="708"/>
        <w:rPr>
          <w:rFonts w:cs="Arial"/>
          <w:i/>
        </w:rPr>
      </w:pPr>
      <w:r w:rsidRPr="000E6719">
        <w:rPr>
          <w:rFonts w:cs="Arial"/>
          <w:i/>
        </w:rPr>
        <w:t xml:space="preserve">d. Integració social </w:t>
      </w:r>
    </w:p>
    <w:p w:rsidR="00507FE7" w:rsidRPr="000E6719" w:rsidRDefault="00507FE7" w:rsidP="00A41348">
      <w:pPr>
        <w:ind w:left="708"/>
        <w:rPr>
          <w:rFonts w:cs="Arial"/>
        </w:rPr>
      </w:pPr>
      <w:r w:rsidRPr="000E6719">
        <w:rPr>
          <w:rFonts w:cs="Arial"/>
        </w:rPr>
        <w:t>El Programa vol promoure les potencialitats, capacitats i habilitats del subjecte per tal d’augmentar el seu nivell de competència social i millorar la seva qualitat de vida. La intervenció del professional s’emmarca en un treball de coordinació regular amb els  recursos comunitaris de l’entorn més immediat, per tal que aquests i la mateixa comunitat puguin acollir la persona que està en tractament</w:t>
      </w:r>
      <w:r w:rsidRPr="000512F1">
        <w:rPr>
          <w:rFonts w:cs="Arial"/>
        </w:rPr>
        <w:t xml:space="preserve"> </w:t>
      </w:r>
      <w:r w:rsidRPr="000E6719">
        <w:rPr>
          <w:rFonts w:cs="Arial"/>
        </w:rPr>
        <w:t>i donar</w:t>
      </w:r>
      <w:r>
        <w:rPr>
          <w:rFonts w:cs="Arial"/>
        </w:rPr>
        <w:t>-li</w:t>
      </w:r>
      <w:r w:rsidRPr="000E6719">
        <w:rPr>
          <w:rFonts w:cs="Arial"/>
        </w:rPr>
        <w:t xml:space="preserve"> suport. La participació activa de la comunitat amb els </w:t>
      </w:r>
      <w:r>
        <w:rPr>
          <w:rFonts w:cs="Arial"/>
        </w:rPr>
        <w:t xml:space="preserve">seus </w:t>
      </w:r>
      <w:r w:rsidRPr="000E6719">
        <w:rPr>
          <w:rFonts w:cs="Arial"/>
        </w:rPr>
        <w:t xml:space="preserve">recursos institucionals i humans és un element fonamental per garantir a la persona una adequada socialització. </w:t>
      </w:r>
    </w:p>
    <w:p w:rsidR="00507FE7" w:rsidRPr="000E6719" w:rsidRDefault="00507FE7" w:rsidP="00A41348">
      <w:pPr>
        <w:ind w:left="708"/>
        <w:rPr>
          <w:rFonts w:cs="Arial"/>
          <w:i/>
        </w:rPr>
      </w:pPr>
      <w:bookmarkStart w:id="822" w:name="_Toc455061257"/>
      <w:r w:rsidRPr="000E6719">
        <w:rPr>
          <w:rFonts w:cs="Arial"/>
          <w:i/>
        </w:rPr>
        <w:t>e. Objectius</w:t>
      </w:r>
      <w:bookmarkEnd w:id="822"/>
    </w:p>
    <w:p w:rsidR="00507FE7" w:rsidRPr="000E6719" w:rsidRDefault="00507FE7" w:rsidP="00904443">
      <w:pPr>
        <w:numPr>
          <w:ilvl w:val="0"/>
          <w:numId w:val="41"/>
        </w:numPr>
        <w:tabs>
          <w:tab w:val="clear" w:pos="360"/>
          <w:tab w:val="num" w:pos="284"/>
          <w:tab w:val="num" w:pos="993"/>
          <w:tab w:val="num" w:pos="1069"/>
          <w:tab w:val="num" w:pos="1276"/>
        </w:tabs>
        <w:spacing w:before="0" w:after="200"/>
        <w:ind w:left="992" w:hanging="284"/>
        <w:rPr>
          <w:rFonts w:cs="Arial"/>
        </w:rPr>
      </w:pPr>
      <w:r w:rsidRPr="000E6719">
        <w:rPr>
          <w:rFonts w:cs="Arial"/>
        </w:rPr>
        <w:t>Garantir el control formal del compliment d’una mesura de seguretat amb contingut socioeducatiu.</w:t>
      </w:r>
    </w:p>
    <w:p w:rsidR="00507FE7" w:rsidRPr="000E6719" w:rsidRDefault="00507FE7" w:rsidP="00904443">
      <w:pPr>
        <w:numPr>
          <w:ilvl w:val="0"/>
          <w:numId w:val="41"/>
        </w:numPr>
        <w:tabs>
          <w:tab w:val="clear" w:pos="360"/>
          <w:tab w:val="num" w:pos="284"/>
          <w:tab w:val="num" w:pos="993"/>
          <w:tab w:val="num" w:pos="1069"/>
          <w:tab w:val="num" w:pos="1276"/>
        </w:tabs>
        <w:spacing w:before="0" w:after="200"/>
        <w:ind w:left="992" w:hanging="284"/>
        <w:rPr>
          <w:rFonts w:cs="Arial"/>
        </w:rPr>
      </w:pPr>
      <w:r w:rsidRPr="000E6719">
        <w:rPr>
          <w:rFonts w:cs="Arial"/>
        </w:rPr>
        <w:t xml:space="preserve">Vetllar per una evolució positiva del tractament  imposat. </w:t>
      </w:r>
    </w:p>
    <w:p w:rsidR="00507FE7" w:rsidRPr="000E6719" w:rsidRDefault="00507FE7" w:rsidP="00904443">
      <w:pPr>
        <w:numPr>
          <w:ilvl w:val="0"/>
          <w:numId w:val="41"/>
        </w:numPr>
        <w:tabs>
          <w:tab w:val="clear" w:pos="360"/>
          <w:tab w:val="num" w:pos="284"/>
          <w:tab w:val="num" w:pos="993"/>
          <w:tab w:val="num" w:pos="1069"/>
          <w:tab w:val="num" w:pos="1276"/>
        </w:tabs>
        <w:spacing w:before="0" w:after="200"/>
        <w:ind w:left="992" w:hanging="284"/>
        <w:rPr>
          <w:rFonts w:cs="Arial"/>
        </w:rPr>
      </w:pPr>
      <w:r w:rsidRPr="000E6719">
        <w:rPr>
          <w:rFonts w:cs="Arial"/>
        </w:rPr>
        <w:t>Desenvolupar el contingut socioeducatiu per tal de facilitar la integració social de la persona.</w:t>
      </w:r>
    </w:p>
    <w:p w:rsidR="00507FE7" w:rsidRPr="000E6719" w:rsidRDefault="00507FE7" w:rsidP="00A41348">
      <w:pPr>
        <w:rPr>
          <w:rFonts w:cs="Arial"/>
          <w:i/>
        </w:rPr>
      </w:pPr>
      <w:bookmarkStart w:id="823" w:name="_Toc455061258"/>
    </w:p>
    <w:p w:rsidR="00507FE7" w:rsidRPr="000E6719" w:rsidRDefault="00507FE7" w:rsidP="0070401F">
      <w:pPr>
        <w:pStyle w:val="Ttol4"/>
      </w:pPr>
      <w:r w:rsidRPr="000E6719">
        <w:lastRenderedPageBreak/>
        <w:t>Metodologia de la intervenció</w:t>
      </w:r>
      <w:bookmarkEnd w:id="823"/>
    </w:p>
    <w:p w:rsidR="00507FE7" w:rsidRPr="000E6719" w:rsidRDefault="00507FE7" w:rsidP="00A41348">
      <w:pPr>
        <w:rPr>
          <w:rFonts w:cs="Arial"/>
        </w:rPr>
      </w:pPr>
      <w:r w:rsidRPr="000E6719">
        <w:rPr>
          <w:rFonts w:cs="Arial"/>
        </w:rPr>
        <w:t>Un cop rebuda la documentació judicial i mèdica, entrevistada la persona i determinat el centre o recurs on es durà a terme el compliment, s’elabora un pla individual d’intervenció i seguiment que es trametrà a l’òrgan judicial per</w:t>
      </w:r>
      <w:r>
        <w:rPr>
          <w:rFonts w:cs="Arial"/>
        </w:rPr>
        <w:t>què l’</w:t>
      </w:r>
      <w:r w:rsidRPr="000E6719">
        <w:rPr>
          <w:rFonts w:cs="Arial"/>
        </w:rPr>
        <w:t xml:space="preserve">aprovi o </w:t>
      </w:r>
      <w:r>
        <w:rPr>
          <w:rFonts w:cs="Arial"/>
        </w:rPr>
        <w:t xml:space="preserve">el </w:t>
      </w:r>
      <w:r w:rsidRPr="000E6719">
        <w:rPr>
          <w:rFonts w:cs="Arial"/>
        </w:rPr>
        <w:t>rectifi</w:t>
      </w:r>
      <w:r>
        <w:rPr>
          <w:rFonts w:cs="Arial"/>
        </w:rPr>
        <w:t>qui</w:t>
      </w:r>
      <w:r w:rsidRPr="000E6719">
        <w:rPr>
          <w:rFonts w:cs="Arial"/>
        </w:rPr>
        <w:t>.</w:t>
      </w:r>
    </w:p>
    <w:p w:rsidR="00507FE7" w:rsidRPr="000E6719" w:rsidRDefault="00507FE7" w:rsidP="00A41348">
      <w:pPr>
        <w:rPr>
          <w:rFonts w:cs="Arial"/>
        </w:rPr>
      </w:pPr>
      <w:r w:rsidRPr="000E6719">
        <w:rPr>
          <w:rFonts w:cs="Arial"/>
        </w:rPr>
        <w:t>La intervenció de l’</w:t>
      </w:r>
      <w:r>
        <w:rPr>
          <w:rFonts w:cs="Arial"/>
        </w:rPr>
        <w:t>À</w:t>
      </w:r>
      <w:r w:rsidRPr="000E6719">
        <w:rPr>
          <w:rFonts w:cs="Arial"/>
        </w:rPr>
        <w:t xml:space="preserve">rea de </w:t>
      </w:r>
      <w:r>
        <w:rPr>
          <w:rFonts w:cs="Arial"/>
        </w:rPr>
        <w:t>M</w:t>
      </w:r>
      <w:r w:rsidRPr="000E6719">
        <w:rPr>
          <w:rFonts w:cs="Arial"/>
        </w:rPr>
        <w:t xml:space="preserve">esures </w:t>
      </w:r>
      <w:r>
        <w:rPr>
          <w:rFonts w:cs="Arial"/>
        </w:rPr>
        <w:t>P</w:t>
      </w:r>
      <w:r w:rsidRPr="000E6719">
        <w:rPr>
          <w:rFonts w:cs="Arial"/>
        </w:rPr>
        <w:t xml:space="preserve">enals </w:t>
      </w:r>
      <w:r>
        <w:rPr>
          <w:rFonts w:cs="Arial"/>
        </w:rPr>
        <w:t>A</w:t>
      </w:r>
      <w:r w:rsidRPr="000E6719">
        <w:rPr>
          <w:rFonts w:cs="Arial"/>
        </w:rPr>
        <w:t xml:space="preserve">lternatives consisteix </w:t>
      </w:r>
      <w:r>
        <w:rPr>
          <w:rFonts w:cs="Arial"/>
        </w:rPr>
        <w:t>a fer</w:t>
      </w:r>
      <w:r w:rsidRPr="000E6719">
        <w:rPr>
          <w:rFonts w:cs="Arial"/>
        </w:rPr>
        <w:t xml:space="preserve"> el seguiment i control de l’evolució del tractament que el subjecte duu a terme en un recurs especialitzat, preferentment de la xarxa pública, </w:t>
      </w:r>
      <w:r>
        <w:rPr>
          <w:rFonts w:cs="Arial"/>
        </w:rPr>
        <w:t xml:space="preserve">i </w:t>
      </w:r>
      <w:r w:rsidRPr="000E6719">
        <w:rPr>
          <w:rFonts w:cs="Arial"/>
        </w:rPr>
        <w:t>oferi</w:t>
      </w:r>
      <w:r>
        <w:rPr>
          <w:rFonts w:cs="Arial"/>
        </w:rPr>
        <w:t>r-</w:t>
      </w:r>
      <w:r w:rsidRPr="000E6719">
        <w:rPr>
          <w:rFonts w:cs="Arial"/>
        </w:rPr>
        <w:t xml:space="preserve">li, alhora, un suport socioeducatiu encaminat a la seva integració social. </w:t>
      </w:r>
    </w:p>
    <w:p w:rsidR="00507FE7" w:rsidRPr="000E6719" w:rsidRDefault="00507FE7" w:rsidP="00A41348">
      <w:pPr>
        <w:rPr>
          <w:rFonts w:cs="Arial"/>
        </w:rPr>
      </w:pPr>
      <w:r w:rsidRPr="000E6719">
        <w:rPr>
          <w:rFonts w:cs="Arial"/>
        </w:rPr>
        <w:t xml:space="preserve">Aquest seguiment i control es fa </w:t>
      </w:r>
      <w:r>
        <w:rPr>
          <w:rFonts w:cs="Arial"/>
        </w:rPr>
        <w:t xml:space="preserve">per mitjà de les </w:t>
      </w:r>
      <w:r w:rsidRPr="000E6719">
        <w:rPr>
          <w:rFonts w:cs="Arial"/>
        </w:rPr>
        <w:t>entrevistes periòdiques amb la persona</w:t>
      </w:r>
      <w:r>
        <w:rPr>
          <w:rFonts w:cs="Arial"/>
        </w:rPr>
        <w:t xml:space="preserve"> sota mesura</w:t>
      </w:r>
      <w:r w:rsidRPr="000E6719">
        <w:rPr>
          <w:rFonts w:cs="Arial"/>
        </w:rPr>
        <w:t xml:space="preserve"> i de </w:t>
      </w:r>
      <w:r>
        <w:rPr>
          <w:rFonts w:cs="Arial"/>
        </w:rPr>
        <w:t xml:space="preserve">les </w:t>
      </w:r>
      <w:r w:rsidRPr="000E6719">
        <w:rPr>
          <w:rFonts w:cs="Arial"/>
        </w:rPr>
        <w:t xml:space="preserve">coordinacions amb els professionals del recurs especialitzat on es porta a terme el tractament. Els responsables del recurs faciliten periòdicament </w:t>
      </w:r>
      <w:r>
        <w:rPr>
          <w:rFonts w:cs="Arial"/>
        </w:rPr>
        <w:t xml:space="preserve">els </w:t>
      </w:r>
      <w:r w:rsidRPr="000E6719">
        <w:rPr>
          <w:rFonts w:cs="Arial"/>
        </w:rPr>
        <w:t xml:space="preserve">informes sobre l’evolució del tractament, </w:t>
      </w:r>
      <w:r>
        <w:rPr>
          <w:rFonts w:cs="Arial"/>
        </w:rPr>
        <w:t>i</w:t>
      </w:r>
      <w:r w:rsidRPr="000E6719">
        <w:rPr>
          <w:rFonts w:cs="Arial"/>
        </w:rPr>
        <w:t xml:space="preserve"> hi fan constar la situació actual i la valoració corresponent.</w:t>
      </w:r>
    </w:p>
    <w:p w:rsidR="00507FE7" w:rsidRPr="000E6719" w:rsidRDefault="00507FE7" w:rsidP="00A41348">
      <w:pPr>
        <w:rPr>
          <w:rFonts w:cs="Arial"/>
        </w:rPr>
      </w:pPr>
      <w:r w:rsidRPr="000E6719">
        <w:rPr>
          <w:rFonts w:cs="Arial"/>
        </w:rPr>
        <w:t xml:space="preserve">El professional responsable del seguiment del cas actua com a interlocutor entre la instància judicial i el recurs especialitzat, </w:t>
      </w:r>
      <w:r>
        <w:rPr>
          <w:rFonts w:cs="Arial"/>
        </w:rPr>
        <w:t>i</w:t>
      </w:r>
      <w:r w:rsidRPr="000E6719">
        <w:rPr>
          <w:rFonts w:cs="Arial"/>
        </w:rPr>
        <w:t xml:space="preserve"> així </w:t>
      </w:r>
      <w:r>
        <w:rPr>
          <w:rFonts w:cs="Arial"/>
        </w:rPr>
        <w:t xml:space="preserve">fa possible </w:t>
      </w:r>
      <w:r w:rsidRPr="000E6719">
        <w:rPr>
          <w:rFonts w:cs="Arial"/>
        </w:rPr>
        <w:t xml:space="preserve">l'intercanvi d’informació entre institucions, </w:t>
      </w:r>
      <w:r>
        <w:rPr>
          <w:rFonts w:cs="Arial"/>
        </w:rPr>
        <w:t xml:space="preserve"> en </w:t>
      </w:r>
      <w:r w:rsidRPr="000E6719">
        <w:rPr>
          <w:rFonts w:cs="Arial"/>
        </w:rPr>
        <w:t xml:space="preserve">canalitza les demandes i proposa els canvis en el contingut de la mesura que </w:t>
      </w:r>
      <w:r>
        <w:rPr>
          <w:rFonts w:cs="Arial"/>
        </w:rPr>
        <w:t>m</w:t>
      </w:r>
      <w:r w:rsidRPr="000E6719">
        <w:rPr>
          <w:rFonts w:cs="Arial"/>
        </w:rPr>
        <w:t>illor</w:t>
      </w:r>
      <w:r>
        <w:rPr>
          <w:rFonts w:cs="Arial"/>
        </w:rPr>
        <w:t>in</w:t>
      </w:r>
      <w:r w:rsidRPr="000E6719">
        <w:rPr>
          <w:rFonts w:cs="Arial"/>
        </w:rPr>
        <w:t xml:space="preserve"> </w:t>
      </w:r>
      <w:r>
        <w:rPr>
          <w:rFonts w:cs="Arial"/>
        </w:rPr>
        <w:t>l</w:t>
      </w:r>
      <w:r w:rsidRPr="000E6719">
        <w:rPr>
          <w:rFonts w:cs="Arial"/>
        </w:rPr>
        <w:t>a</w:t>
      </w:r>
      <w:r>
        <w:rPr>
          <w:rFonts w:cs="Arial"/>
        </w:rPr>
        <w:t xml:space="preserve"> seva a</w:t>
      </w:r>
      <w:r w:rsidRPr="000E6719">
        <w:rPr>
          <w:rFonts w:cs="Arial"/>
        </w:rPr>
        <w:t xml:space="preserve">dequació a les característiques del subjecte. En aquest sentit, </w:t>
      </w:r>
      <w:r>
        <w:rPr>
          <w:rFonts w:cs="Arial"/>
        </w:rPr>
        <w:t xml:space="preserve">ha de </w:t>
      </w:r>
      <w:r w:rsidRPr="000E6719">
        <w:rPr>
          <w:rFonts w:cs="Arial"/>
        </w:rPr>
        <w:t>remetr</w:t>
      </w:r>
      <w:r>
        <w:rPr>
          <w:rFonts w:cs="Arial"/>
        </w:rPr>
        <w:t>e</w:t>
      </w:r>
      <w:r w:rsidRPr="000E6719">
        <w:rPr>
          <w:rFonts w:cs="Arial"/>
        </w:rPr>
        <w:t xml:space="preserve"> informes periòdics de seguiment com a mínim anualment.</w:t>
      </w:r>
    </w:p>
    <w:p w:rsidR="00507FE7" w:rsidRPr="000E6719" w:rsidRDefault="00507FE7" w:rsidP="00A41348">
      <w:pPr>
        <w:rPr>
          <w:rFonts w:cs="Arial"/>
        </w:rPr>
      </w:pPr>
      <w:r w:rsidRPr="000E6719">
        <w:rPr>
          <w:rFonts w:cs="Arial"/>
        </w:rPr>
        <w:t>Així mateix, informa sempre que les circumst</w:t>
      </w:r>
      <w:r>
        <w:rPr>
          <w:rFonts w:cs="Arial"/>
        </w:rPr>
        <w:t>à</w:t>
      </w:r>
      <w:r w:rsidRPr="000E6719">
        <w:rPr>
          <w:rFonts w:cs="Arial"/>
        </w:rPr>
        <w:t>ncies personals es modifiqu</w:t>
      </w:r>
      <w:r>
        <w:rPr>
          <w:rFonts w:cs="Arial"/>
        </w:rPr>
        <w:t>e</w:t>
      </w:r>
      <w:r w:rsidRPr="000E6719">
        <w:rPr>
          <w:rFonts w:cs="Arial"/>
        </w:rPr>
        <w:t>n, quan l’evolució del tractament ho aconsell</w:t>
      </w:r>
      <w:r>
        <w:rPr>
          <w:rFonts w:cs="Arial"/>
        </w:rPr>
        <w:t>a</w:t>
      </w:r>
      <w:r w:rsidRPr="000E6719">
        <w:rPr>
          <w:rFonts w:cs="Arial"/>
        </w:rPr>
        <w:t>, quan hi ha un incompliment i quan finalitz</w:t>
      </w:r>
      <w:r>
        <w:rPr>
          <w:rFonts w:cs="Arial"/>
        </w:rPr>
        <w:t>a</w:t>
      </w:r>
      <w:r w:rsidRPr="000E6719">
        <w:rPr>
          <w:rFonts w:cs="Arial"/>
        </w:rPr>
        <w:t xml:space="preserve"> el termini imposat. </w:t>
      </w:r>
    </w:p>
    <w:p w:rsidR="00507FE7" w:rsidRPr="000E6719" w:rsidRDefault="00507FE7" w:rsidP="00A41348">
      <w:pPr>
        <w:rPr>
          <w:rFonts w:cs="Arial"/>
        </w:rPr>
      </w:pPr>
      <w:r w:rsidRPr="000E6719">
        <w:rPr>
          <w:rFonts w:cs="Arial"/>
        </w:rPr>
        <w:t>En aquest sentit, l’art</w:t>
      </w:r>
      <w:r>
        <w:rPr>
          <w:rFonts w:cs="Arial"/>
        </w:rPr>
        <w:t>icle</w:t>
      </w:r>
      <w:r w:rsidRPr="000E6719">
        <w:rPr>
          <w:rFonts w:cs="Arial"/>
        </w:rPr>
        <w:t xml:space="preserve"> 97 </w:t>
      </w:r>
      <w:r>
        <w:rPr>
          <w:rFonts w:cs="Arial"/>
        </w:rPr>
        <w:t xml:space="preserve">del Codi penal </w:t>
      </w:r>
      <w:r w:rsidRPr="000E6719">
        <w:rPr>
          <w:rFonts w:cs="Arial"/>
        </w:rPr>
        <w:t>preveu que</w:t>
      </w:r>
      <w:r>
        <w:rPr>
          <w:rFonts w:cs="Arial"/>
        </w:rPr>
        <w:t>,</w:t>
      </w:r>
      <w:r w:rsidRPr="000E6719">
        <w:rPr>
          <w:rFonts w:cs="Arial"/>
        </w:rPr>
        <w:t xml:space="preserve"> durant l’execució de la sentència, el jutge o tribunal po</w:t>
      </w:r>
      <w:r>
        <w:rPr>
          <w:rFonts w:cs="Arial"/>
        </w:rPr>
        <w:t>t</w:t>
      </w:r>
      <w:r w:rsidRPr="000E6719">
        <w:rPr>
          <w:rFonts w:cs="Arial"/>
        </w:rPr>
        <w:t xml:space="preserve"> adoptar, mitjançant un procés contradictori i a proposta (com a mínim anual) del </w:t>
      </w:r>
      <w:r>
        <w:rPr>
          <w:rFonts w:cs="Arial"/>
        </w:rPr>
        <w:t>j</w:t>
      </w:r>
      <w:r w:rsidRPr="000E6719">
        <w:rPr>
          <w:rFonts w:cs="Arial"/>
        </w:rPr>
        <w:t xml:space="preserve">utjat de </w:t>
      </w:r>
      <w:r>
        <w:rPr>
          <w:rFonts w:cs="Arial"/>
        </w:rPr>
        <w:t>v</w:t>
      </w:r>
      <w:r w:rsidRPr="000E6719">
        <w:rPr>
          <w:rFonts w:cs="Arial"/>
        </w:rPr>
        <w:t xml:space="preserve">igilància </w:t>
      </w:r>
      <w:r>
        <w:rPr>
          <w:rFonts w:cs="Arial"/>
        </w:rPr>
        <w:t>p</w:t>
      </w:r>
      <w:r w:rsidRPr="000E6719">
        <w:rPr>
          <w:rFonts w:cs="Arial"/>
        </w:rPr>
        <w:t>enitenciària, la decisió de mantenir la mesura, decretar-ne el cessament (si ha desaparegut la perillositat criminal), substituir-la per una altra de més adequada o suspendre’n l’execució.</w:t>
      </w:r>
    </w:p>
    <w:p w:rsidR="00507FE7" w:rsidRPr="000E6719" w:rsidRDefault="00507FE7" w:rsidP="00A41348">
      <w:pPr>
        <w:rPr>
          <w:rFonts w:cs="Arial"/>
        </w:rPr>
      </w:pPr>
      <w:r w:rsidRPr="000E6719">
        <w:rPr>
          <w:rFonts w:cs="Arial"/>
        </w:rPr>
        <w:t>Les fases d’intervenció estan condicionades per la temporalitat de la mesura.</w:t>
      </w:r>
    </w:p>
    <w:p w:rsidR="00507FE7" w:rsidRPr="000E6719" w:rsidRDefault="00507FE7" w:rsidP="00A41348">
      <w:pPr>
        <w:rPr>
          <w:rFonts w:cs="Arial"/>
          <w:i/>
        </w:rPr>
      </w:pPr>
      <w:bookmarkStart w:id="824" w:name="_Toc89604259"/>
      <w:bookmarkStart w:id="825" w:name="_Toc89655046"/>
      <w:bookmarkStart w:id="826" w:name="_Toc455061259"/>
    </w:p>
    <w:p w:rsidR="00507FE7" w:rsidRPr="000E6719" w:rsidRDefault="00507FE7" w:rsidP="0070401F">
      <w:pPr>
        <w:pStyle w:val="Ttol4"/>
      </w:pPr>
      <w:r w:rsidRPr="000E6719">
        <w:t>Recursos especialitzats</w:t>
      </w:r>
      <w:bookmarkEnd w:id="824"/>
      <w:bookmarkEnd w:id="825"/>
      <w:bookmarkEnd w:id="826"/>
    </w:p>
    <w:p w:rsidR="00507FE7" w:rsidRPr="000E6719" w:rsidRDefault="00507FE7" w:rsidP="00A41348">
      <w:pPr>
        <w:rPr>
          <w:rFonts w:cs="Arial"/>
        </w:rPr>
      </w:pPr>
      <w:r w:rsidRPr="000E6719">
        <w:rPr>
          <w:rFonts w:cs="Arial"/>
        </w:rPr>
        <w:t>Per tal de portar a terme l’execució de les mesures de seguretat disposem de recursos especialitzats, preferentment de la xarxa pública, en els quals les persones sota mesura de seguretat pod</w:t>
      </w:r>
      <w:r>
        <w:rPr>
          <w:rFonts w:cs="Arial"/>
        </w:rPr>
        <w:t>e</w:t>
      </w:r>
      <w:r w:rsidRPr="000E6719">
        <w:rPr>
          <w:rFonts w:cs="Arial"/>
        </w:rPr>
        <w:t>n rebre el tractament adequat</w:t>
      </w:r>
      <w:r>
        <w:rPr>
          <w:rFonts w:cs="Arial"/>
        </w:rPr>
        <w:t>,</w:t>
      </w:r>
      <w:r w:rsidRPr="000E6719">
        <w:rPr>
          <w:rFonts w:cs="Arial"/>
        </w:rPr>
        <w:t xml:space="preserve"> segons el tipus de mesura i el seu contingut, en l’àmbit de </w:t>
      </w:r>
      <w:r>
        <w:rPr>
          <w:rFonts w:cs="Arial"/>
        </w:rPr>
        <w:t xml:space="preserve">la </w:t>
      </w:r>
      <w:r w:rsidRPr="000E6719">
        <w:rPr>
          <w:rFonts w:cs="Arial"/>
        </w:rPr>
        <w:t>salut mental</w:t>
      </w:r>
      <w:r>
        <w:rPr>
          <w:rFonts w:cs="Arial"/>
        </w:rPr>
        <w:t>,</w:t>
      </w:r>
      <w:r w:rsidRPr="000E6719">
        <w:rPr>
          <w:rFonts w:cs="Arial"/>
        </w:rPr>
        <w:t xml:space="preserve"> de les drogodependències </w:t>
      </w:r>
      <w:r>
        <w:rPr>
          <w:rFonts w:cs="Arial"/>
        </w:rPr>
        <w:t xml:space="preserve">i </w:t>
      </w:r>
      <w:r w:rsidRPr="000E6719">
        <w:rPr>
          <w:rFonts w:cs="Arial"/>
        </w:rPr>
        <w:t>de les alteracions de les percepcions.</w:t>
      </w:r>
    </w:p>
    <w:p w:rsidR="00507FE7" w:rsidRPr="000E6719" w:rsidRDefault="00507FE7" w:rsidP="00A41348">
      <w:pPr>
        <w:rPr>
          <w:rFonts w:cs="Arial"/>
          <w:b/>
          <w:sz w:val="28"/>
          <w:szCs w:val="28"/>
        </w:rPr>
      </w:pPr>
      <w:bookmarkStart w:id="827" w:name="_Toc455061260"/>
      <w:bookmarkStart w:id="828" w:name="_Toc462140452"/>
    </w:p>
    <w:p w:rsidR="00507FE7" w:rsidRPr="000E6719" w:rsidRDefault="00507FE7" w:rsidP="0070401F">
      <w:pPr>
        <w:pStyle w:val="Ttol3"/>
      </w:pPr>
      <w:bookmarkStart w:id="829" w:name="_Toc464685777"/>
      <w:bookmarkStart w:id="830" w:name="_Toc465293525"/>
      <w:r w:rsidRPr="000E6719">
        <w:t>Programes formatius</w:t>
      </w:r>
      <w:bookmarkEnd w:id="827"/>
      <w:bookmarkEnd w:id="828"/>
      <w:bookmarkEnd w:id="829"/>
      <w:bookmarkEnd w:id="830"/>
    </w:p>
    <w:p w:rsidR="00507FE7" w:rsidRPr="000E6719" w:rsidRDefault="00507FE7" w:rsidP="00A41348">
      <w:pPr>
        <w:rPr>
          <w:rFonts w:cs="Arial"/>
          <w:i/>
        </w:rPr>
      </w:pPr>
      <w:bookmarkStart w:id="831" w:name="_Toc89604261"/>
      <w:bookmarkStart w:id="832" w:name="_Toc89655048"/>
      <w:bookmarkStart w:id="833" w:name="_Toc455061261"/>
    </w:p>
    <w:p w:rsidR="00507FE7" w:rsidRPr="000E6719" w:rsidRDefault="00507FE7" w:rsidP="0070401F">
      <w:pPr>
        <w:pStyle w:val="Ttol4"/>
      </w:pPr>
      <w:r w:rsidRPr="000E6719">
        <w:t>M</w:t>
      </w:r>
      <w:bookmarkEnd w:id="831"/>
      <w:bookmarkEnd w:id="832"/>
      <w:r w:rsidRPr="000E6719">
        <w:t>arc legal</w:t>
      </w:r>
      <w:bookmarkEnd w:id="833"/>
    </w:p>
    <w:p w:rsidR="00507FE7" w:rsidRPr="000E6719" w:rsidRDefault="00507FE7" w:rsidP="00A41348">
      <w:pPr>
        <w:rPr>
          <w:rFonts w:cs="Arial"/>
        </w:rPr>
      </w:pPr>
      <w:r w:rsidRPr="000E6719">
        <w:rPr>
          <w:rFonts w:cs="Arial"/>
        </w:rPr>
        <w:t xml:space="preserve">L’obligació de participar en programes formatius, de contingut divers, pot imposar-se en aplicació de diversos articles del Codi </w:t>
      </w:r>
      <w:r>
        <w:rPr>
          <w:rFonts w:cs="Arial"/>
        </w:rPr>
        <w:t>p</w:t>
      </w:r>
      <w:r w:rsidRPr="000E6719">
        <w:rPr>
          <w:rFonts w:cs="Arial"/>
        </w:rPr>
        <w:t xml:space="preserve">enal: </w:t>
      </w:r>
    </w:p>
    <w:p w:rsidR="00507FE7" w:rsidRPr="000E6719" w:rsidRDefault="00507FE7" w:rsidP="00904443">
      <w:pPr>
        <w:numPr>
          <w:ilvl w:val="0"/>
          <w:numId w:val="41"/>
        </w:numPr>
        <w:tabs>
          <w:tab w:val="clear" w:pos="360"/>
          <w:tab w:val="num" w:pos="284"/>
          <w:tab w:val="num" w:pos="993"/>
          <w:tab w:val="num" w:pos="1069"/>
          <w:tab w:val="num" w:pos="1276"/>
        </w:tabs>
        <w:spacing w:before="0" w:after="200"/>
        <w:ind w:left="568" w:hanging="284"/>
        <w:rPr>
          <w:rFonts w:cs="Arial"/>
        </w:rPr>
      </w:pPr>
      <w:r w:rsidRPr="000E6719">
        <w:rPr>
          <w:rFonts w:cs="Arial"/>
        </w:rPr>
        <w:t xml:space="preserve">D’una banda, com a obligació que s’ha de complir com a condició </w:t>
      </w:r>
      <w:r>
        <w:rPr>
          <w:rFonts w:cs="Arial"/>
        </w:rPr>
        <w:t>en les</w:t>
      </w:r>
      <w:r w:rsidRPr="000E6719">
        <w:rPr>
          <w:rFonts w:cs="Arial"/>
        </w:rPr>
        <w:t xml:space="preserve"> suspensions de penes privatives de llibertat </w:t>
      </w:r>
      <w:r>
        <w:rPr>
          <w:rFonts w:cs="Arial"/>
        </w:rPr>
        <w:t>(</w:t>
      </w:r>
      <w:r w:rsidRPr="000E6719">
        <w:rPr>
          <w:rFonts w:cs="Arial"/>
        </w:rPr>
        <w:t xml:space="preserve">articles 80.1 i 83.1.7 del Codi </w:t>
      </w:r>
      <w:r>
        <w:rPr>
          <w:rFonts w:cs="Arial"/>
        </w:rPr>
        <w:t>p</w:t>
      </w:r>
      <w:r w:rsidRPr="000E6719">
        <w:rPr>
          <w:rFonts w:cs="Arial"/>
        </w:rPr>
        <w:t>enal</w:t>
      </w:r>
      <w:r>
        <w:rPr>
          <w:rFonts w:cs="Arial"/>
        </w:rPr>
        <w:t>)</w:t>
      </w:r>
      <w:r w:rsidRPr="000E6719">
        <w:rPr>
          <w:rFonts w:cs="Arial"/>
        </w:rPr>
        <w:t>.</w:t>
      </w:r>
    </w:p>
    <w:p w:rsidR="00507FE7" w:rsidRPr="000E6719" w:rsidRDefault="00507FE7" w:rsidP="00904443">
      <w:pPr>
        <w:numPr>
          <w:ilvl w:val="0"/>
          <w:numId w:val="41"/>
        </w:numPr>
        <w:tabs>
          <w:tab w:val="clear" w:pos="360"/>
          <w:tab w:val="num" w:pos="284"/>
          <w:tab w:val="num" w:pos="993"/>
          <w:tab w:val="num" w:pos="1069"/>
          <w:tab w:val="num" w:pos="1276"/>
        </w:tabs>
        <w:spacing w:before="0" w:after="200"/>
        <w:ind w:left="568" w:hanging="284"/>
        <w:rPr>
          <w:rFonts w:cs="Arial"/>
        </w:rPr>
      </w:pPr>
      <w:r w:rsidRPr="000E6719">
        <w:rPr>
          <w:rFonts w:cs="Arial"/>
        </w:rPr>
        <w:t>D’altra</w:t>
      </w:r>
      <w:r>
        <w:rPr>
          <w:rFonts w:cs="Arial"/>
        </w:rPr>
        <w:t xml:space="preserve"> banda</w:t>
      </w:r>
      <w:r w:rsidRPr="000E6719">
        <w:rPr>
          <w:rFonts w:cs="Arial"/>
        </w:rPr>
        <w:t xml:space="preserve">, com a mesura de seguretat no privativa de llibertat </w:t>
      </w:r>
      <w:r>
        <w:rPr>
          <w:rFonts w:cs="Arial"/>
        </w:rPr>
        <w:t>(</w:t>
      </w:r>
      <w:r w:rsidRPr="000E6719">
        <w:rPr>
          <w:rFonts w:cs="Arial"/>
        </w:rPr>
        <w:t>articles 105, 95.2 i 106.1.J</w:t>
      </w:r>
      <w:bookmarkStart w:id="834" w:name="_Toc455061262"/>
      <w:r>
        <w:rPr>
          <w:rFonts w:cs="Arial"/>
        </w:rPr>
        <w:t xml:space="preserve"> del Codi penal).</w:t>
      </w:r>
    </w:p>
    <w:p w:rsidR="00C952DF" w:rsidRDefault="00507FE7" w:rsidP="00C952DF">
      <w:pPr>
        <w:keepNext/>
      </w:pPr>
      <w:r w:rsidRPr="000E6719">
        <w:rPr>
          <w:rFonts w:cs="Arial"/>
          <w:i/>
          <w:noProof/>
          <w:lang w:eastAsia="ca-ES"/>
        </w:rPr>
        <w:lastRenderedPageBreak/>
        <w:drawing>
          <wp:inline distT="0" distB="0" distL="0" distR="0" wp14:anchorId="01219464" wp14:editId="00466A98">
            <wp:extent cx="5743812" cy="1800225"/>
            <wp:effectExtent l="0" t="0" r="9525" b="0"/>
            <wp:docPr id="60" name="Imat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752890" cy="1803070"/>
                    </a:xfrm>
                    <a:prstGeom prst="rect">
                      <a:avLst/>
                    </a:prstGeom>
                    <a:noFill/>
                  </pic:spPr>
                </pic:pic>
              </a:graphicData>
            </a:graphic>
          </wp:inline>
        </w:drawing>
      </w:r>
    </w:p>
    <w:p w:rsidR="00507FE7" w:rsidRDefault="00C952DF" w:rsidP="00C952DF">
      <w:pPr>
        <w:pStyle w:val="Llegenda"/>
        <w:rPr>
          <w:rFonts w:cs="Arial"/>
          <w:i/>
        </w:rPr>
      </w:pPr>
      <w:bookmarkStart w:id="835" w:name="_Toc465293883"/>
      <w:r>
        <w:t xml:space="preserve">Gràfic </w:t>
      </w:r>
      <w:r w:rsidR="00DB496B">
        <w:fldChar w:fldCharType="begin"/>
      </w:r>
      <w:r w:rsidR="00DB496B">
        <w:instrText xml:space="preserve"> SEQ Il·lustració \* ARABIC </w:instrText>
      </w:r>
      <w:r w:rsidR="00DB496B">
        <w:fldChar w:fldCharType="separate"/>
      </w:r>
      <w:r>
        <w:rPr>
          <w:noProof/>
        </w:rPr>
        <w:t>76</w:t>
      </w:r>
      <w:r w:rsidR="00DB496B">
        <w:rPr>
          <w:noProof/>
        </w:rPr>
        <w:fldChar w:fldCharType="end"/>
      </w:r>
      <w:r>
        <w:t xml:space="preserve">. </w:t>
      </w:r>
      <w:r w:rsidRPr="001F569F">
        <w:t>Demandes de programes formatius: evolució recent</w:t>
      </w:r>
      <w:bookmarkEnd w:id="835"/>
    </w:p>
    <w:p w:rsidR="00A97384" w:rsidRPr="000E6719" w:rsidRDefault="00A97384" w:rsidP="00A41348">
      <w:pPr>
        <w:rPr>
          <w:rFonts w:cs="Arial"/>
          <w:i/>
        </w:rPr>
      </w:pPr>
    </w:p>
    <w:p w:rsidR="00507FE7" w:rsidRPr="000E6719" w:rsidRDefault="00507FE7" w:rsidP="0070401F">
      <w:pPr>
        <w:pStyle w:val="Ttol4"/>
      </w:pPr>
      <w:r w:rsidRPr="000E6719">
        <w:t>Contingut i elements definitoris</w:t>
      </w:r>
      <w:bookmarkEnd w:id="834"/>
    </w:p>
    <w:p w:rsidR="00507FE7" w:rsidRPr="000E6719" w:rsidRDefault="00507FE7" w:rsidP="00A41348">
      <w:pPr>
        <w:rPr>
          <w:rFonts w:cs="Arial"/>
        </w:rPr>
      </w:pPr>
      <w:r w:rsidRPr="000E6719">
        <w:rPr>
          <w:rFonts w:cs="Arial"/>
        </w:rPr>
        <w:t xml:space="preserve">Consisteix en l’obligació de participar en un programa formatiu, amb el contingut que estableixi la resolució judicial. </w:t>
      </w:r>
    </w:p>
    <w:p w:rsidR="00507FE7" w:rsidRPr="000E6719" w:rsidRDefault="00507FE7" w:rsidP="00A41348">
      <w:pPr>
        <w:rPr>
          <w:rFonts w:cs="Arial"/>
        </w:rPr>
      </w:pPr>
      <w:r w:rsidRPr="000E6719">
        <w:rPr>
          <w:rFonts w:cs="Arial"/>
        </w:rPr>
        <w:t>Els programes estan concebuts amb metodologia i tècniques de grup però, ateses les característiques personals i determinades sol·licituds judicials molt limitades en el temps, no en queden excloses les tècniques individuals.</w:t>
      </w:r>
    </w:p>
    <w:p w:rsidR="00507FE7" w:rsidRPr="000E6719" w:rsidRDefault="00507FE7" w:rsidP="00904443">
      <w:pPr>
        <w:pStyle w:val="Pargrafdellista"/>
        <w:numPr>
          <w:ilvl w:val="0"/>
          <w:numId w:val="45"/>
        </w:numPr>
        <w:spacing w:before="0" w:after="200"/>
        <w:jc w:val="left"/>
        <w:rPr>
          <w:rFonts w:cs="Arial"/>
          <w:i/>
        </w:rPr>
      </w:pPr>
      <w:bookmarkStart w:id="836" w:name="_Toc89604263"/>
      <w:bookmarkStart w:id="837" w:name="_Toc89655050"/>
      <w:r w:rsidRPr="000E6719">
        <w:rPr>
          <w:rFonts w:cs="Arial"/>
          <w:i/>
        </w:rPr>
        <w:t>Tipologia</w:t>
      </w:r>
      <w:bookmarkEnd w:id="836"/>
      <w:bookmarkEnd w:id="837"/>
    </w:p>
    <w:p w:rsidR="00507FE7" w:rsidRPr="000E6719" w:rsidRDefault="00507FE7" w:rsidP="00A41348">
      <w:pPr>
        <w:ind w:left="708"/>
        <w:rPr>
          <w:rFonts w:cs="Arial"/>
        </w:rPr>
      </w:pPr>
      <w:r w:rsidRPr="000E6719">
        <w:rPr>
          <w:rFonts w:cs="Arial"/>
        </w:rPr>
        <w:t>Els programes formatius poden tenir com a punt de partida dues situacions diferents i alhora complementàries, les quals poden donar lloc a dos tipus de programes diferents:</w:t>
      </w:r>
    </w:p>
    <w:p w:rsidR="00507FE7" w:rsidRPr="000E6719" w:rsidRDefault="00507FE7" w:rsidP="00904443">
      <w:pPr>
        <w:pStyle w:val="Pargrafdellista"/>
        <w:numPr>
          <w:ilvl w:val="0"/>
          <w:numId w:val="45"/>
        </w:numPr>
        <w:spacing w:before="0" w:after="200"/>
        <w:jc w:val="left"/>
        <w:rPr>
          <w:rFonts w:cs="Arial"/>
          <w:i/>
        </w:rPr>
      </w:pPr>
      <w:r w:rsidRPr="000E6719">
        <w:rPr>
          <w:rFonts w:cs="Arial"/>
          <w:i/>
        </w:rPr>
        <w:t xml:space="preserve">Programes </w:t>
      </w:r>
      <w:r>
        <w:rPr>
          <w:rFonts w:cs="Arial"/>
          <w:i/>
        </w:rPr>
        <w:t>ge</w:t>
      </w:r>
      <w:r w:rsidRPr="000E6719">
        <w:rPr>
          <w:rFonts w:cs="Arial"/>
          <w:i/>
        </w:rPr>
        <w:t>nèrics</w:t>
      </w:r>
    </w:p>
    <w:p w:rsidR="00507FE7" w:rsidRPr="000E6719" w:rsidRDefault="00507FE7" w:rsidP="00A41348">
      <w:pPr>
        <w:ind w:left="708"/>
        <w:rPr>
          <w:rFonts w:cs="Arial"/>
        </w:rPr>
      </w:pPr>
      <w:r w:rsidRPr="000E6719">
        <w:rPr>
          <w:rFonts w:cs="Arial"/>
        </w:rPr>
        <w:t>Responen a l’objectiu de compensar necessitats individuals</w:t>
      </w:r>
      <w:r>
        <w:rPr>
          <w:rFonts w:cs="Arial"/>
        </w:rPr>
        <w:t>,</w:t>
      </w:r>
      <w:r w:rsidRPr="000E6719">
        <w:rPr>
          <w:rFonts w:cs="Arial"/>
        </w:rPr>
        <w:t xml:space="preserve"> i per dur-los a terme es </w:t>
      </w:r>
      <w:r>
        <w:rPr>
          <w:rFonts w:cs="Arial"/>
        </w:rPr>
        <w:t xml:space="preserve">compta amb </w:t>
      </w:r>
      <w:r w:rsidRPr="000E6719">
        <w:rPr>
          <w:rFonts w:cs="Arial"/>
        </w:rPr>
        <w:t xml:space="preserve">programes ja existents a la xarxa sociocomunitària. El programa té com a punt de partida les característiques personals del subjecte. És el cas dels programes formatius, culturals, laborals, etc., </w:t>
      </w:r>
      <w:r>
        <w:rPr>
          <w:rFonts w:cs="Arial"/>
        </w:rPr>
        <w:t>en què</w:t>
      </w:r>
      <w:r w:rsidRPr="000E6719">
        <w:rPr>
          <w:rFonts w:cs="Arial"/>
        </w:rPr>
        <w:t xml:space="preserve"> fonamentalment es tracta d’oferir a la persona unes eines que li permetin una reinserció a la comunitat en condicions més favorables. </w:t>
      </w:r>
    </w:p>
    <w:p w:rsidR="00507FE7" w:rsidRPr="000E6719" w:rsidRDefault="00507FE7" w:rsidP="00904443">
      <w:pPr>
        <w:pStyle w:val="Pargrafdellista"/>
        <w:numPr>
          <w:ilvl w:val="0"/>
          <w:numId w:val="45"/>
        </w:numPr>
        <w:spacing w:before="0" w:after="200"/>
        <w:jc w:val="left"/>
        <w:rPr>
          <w:rFonts w:cs="Arial"/>
          <w:i/>
        </w:rPr>
      </w:pPr>
      <w:r w:rsidRPr="000E6719">
        <w:rPr>
          <w:rFonts w:cs="Arial"/>
          <w:i/>
        </w:rPr>
        <w:t xml:space="preserve">Programes </w:t>
      </w:r>
      <w:r>
        <w:rPr>
          <w:rFonts w:cs="Arial"/>
          <w:i/>
        </w:rPr>
        <w:t>e</w:t>
      </w:r>
      <w:r w:rsidRPr="000E6719">
        <w:rPr>
          <w:rFonts w:cs="Arial"/>
          <w:i/>
        </w:rPr>
        <w:t>specífics</w:t>
      </w:r>
    </w:p>
    <w:p w:rsidR="00507FE7" w:rsidRPr="000E6719" w:rsidRDefault="00507FE7" w:rsidP="00A41348">
      <w:pPr>
        <w:ind w:left="708"/>
        <w:rPr>
          <w:rFonts w:cs="Arial"/>
        </w:rPr>
      </w:pPr>
      <w:r>
        <w:rPr>
          <w:rFonts w:cs="Arial"/>
        </w:rPr>
        <w:t>Se</w:t>
      </w:r>
      <w:r w:rsidRPr="000E6719">
        <w:rPr>
          <w:rFonts w:cs="Arial"/>
        </w:rPr>
        <w:t xml:space="preserve"> centren en necessitats individuals més concretes i relacionades de manera més directa amb el tipus de delicte comès</w:t>
      </w:r>
      <w:r>
        <w:rPr>
          <w:rFonts w:cs="Arial"/>
        </w:rPr>
        <w:t>.</w:t>
      </w:r>
      <w:r w:rsidRPr="000E6719">
        <w:rPr>
          <w:rFonts w:cs="Arial"/>
        </w:rPr>
        <w:t xml:space="preserve"> </w:t>
      </w:r>
      <w:r>
        <w:rPr>
          <w:rFonts w:cs="Arial"/>
        </w:rPr>
        <w:t>S</w:t>
      </w:r>
      <w:r w:rsidRPr="000E6719">
        <w:rPr>
          <w:rFonts w:cs="Arial"/>
        </w:rPr>
        <w:t>ovint l’activitat es concerta amb entitats amb experiència en cada camp (educació sexual, educació viària</w:t>
      </w:r>
      <w:r>
        <w:rPr>
          <w:rFonts w:cs="Arial"/>
        </w:rPr>
        <w:t>,</w:t>
      </w:r>
      <w:r w:rsidRPr="000E6719">
        <w:rPr>
          <w:rFonts w:cs="Arial"/>
        </w:rPr>
        <w:t xml:space="preserve"> maltractaments o</w:t>
      </w:r>
      <w:r>
        <w:rPr>
          <w:rFonts w:cs="Arial"/>
        </w:rPr>
        <w:t xml:space="preserve"> </w:t>
      </w:r>
      <w:r w:rsidRPr="000E6719">
        <w:rPr>
          <w:rFonts w:cs="Arial"/>
        </w:rPr>
        <w:t>violència familiar, etc.)</w:t>
      </w:r>
      <w:r>
        <w:rPr>
          <w:rFonts w:cs="Arial"/>
        </w:rPr>
        <w:t>.</w:t>
      </w:r>
    </w:p>
    <w:p w:rsidR="00507FE7" w:rsidRPr="000E6719" w:rsidRDefault="00507FE7" w:rsidP="00904443">
      <w:pPr>
        <w:pStyle w:val="Pargrafdellista"/>
        <w:numPr>
          <w:ilvl w:val="0"/>
          <w:numId w:val="45"/>
        </w:numPr>
        <w:spacing w:before="0" w:after="200"/>
        <w:jc w:val="left"/>
        <w:rPr>
          <w:rFonts w:cs="Arial"/>
          <w:i/>
        </w:rPr>
      </w:pPr>
      <w:bookmarkStart w:id="838" w:name="_Toc89604264"/>
      <w:bookmarkStart w:id="839" w:name="_Toc89655051"/>
      <w:r w:rsidRPr="000E6719">
        <w:rPr>
          <w:rFonts w:cs="Arial"/>
          <w:i/>
        </w:rPr>
        <w:t>Característiques</w:t>
      </w:r>
      <w:bookmarkEnd w:id="838"/>
      <w:bookmarkEnd w:id="839"/>
      <w:r w:rsidRPr="000E6719">
        <w:rPr>
          <w:rFonts w:cs="Arial"/>
          <w:i/>
        </w:rPr>
        <w:t xml:space="preserve"> </w:t>
      </w:r>
    </w:p>
    <w:p w:rsidR="00507FE7" w:rsidRPr="000E6719" w:rsidRDefault="00507FE7" w:rsidP="00904443">
      <w:pPr>
        <w:numPr>
          <w:ilvl w:val="0"/>
          <w:numId w:val="41"/>
        </w:numPr>
        <w:tabs>
          <w:tab w:val="clear" w:pos="360"/>
          <w:tab w:val="num" w:pos="284"/>
          <w:tab w:val="num" w:pos="993"/>
          <w:tab w:val="num" w:pos="1069"/>
          <w:tab w:val="num" w:pos="1276"/>
        </w:tabs>
        <w:spacing w:before="0" w:after="200"/>
        <w:ind w:left="992" w:hanging="284"/>
        <w:rPr>
          <w:rFonts w:cs="Arial"/>
        </w:rPr>
      </w:pPr>
      <w:r w:rsidRPr="000E6719">
        <w:rPr>
          <w:rFonts w:cs="Arial"/>
        </w:rPr>
        <w:t>En cap cas no poden atemptar contra la dignitat de la persona.</w:t>
      </w:r>
    </w:p>
    <w:p w:rsidR="00507FE7" w:rsidRPr="000E6719" w:rsidRDefault="00507FE7" w:rsidP="00904443">
      <w:pPr>
        <w:numPr>
          <w:ilvl w:val="0"/>
          <w:numId w:val="41"/>
        </w:numPr>
        <w:tabs>
          <w:tab w:val="clear" w:pos="360"/>
          <w:tab w:val="num" w:pos="284"/>
          <w:tab w:val="num" w:pos="993"/>
          <w:tab w:val="num" w:pos="1069"/>
          <w:tab w:val="num" w:pos="1276"/>
        </w:tabs>
        <w:spacing w:before="0" w:after="200"/>
        <w:ind w:left="992" w:hanging="284"/>
        <w:rPr>
          <w:rFonts w:cs="Arial"/>
        </w:rPr>
      </w:pPr>
      <w:r w:rsidRPr="000E6719">
        <w:rPr>
          <w:rFonts w:cs="Arial"/>
        </w:rPr>
        <w:t>Han de proporcionar uns coneixements o informació facilitadors de la reinserció a la comunitat.</w:t>
      </w:r>
    </w:p>
    <w:p w:rsidR="00507FE7" w:rsidRPr="000E6719" w:rsidRDefault="00507FE7" w:rsidP="00904443">
      <w:pPr>
        <w:numPr>
          <w:ilvl w:val="0"/>
          <w:numId w:val="41"/>
        </w:numPr>
        <w:tabs>
          <w:tab w:val="clear" w:pos="360"/>
          <w:tab w:val="num" w:pos="284"/>
          <w:tab w:val="num" w:pos="993"/>
          <w:tab w:val="num" w:pos="1069"/>
          <w:tab w:val="num" w:pos="1276"/>
        </w:tabs>
        <w:spacing w:before="0" w:after="200"/>
        <w:ind w:left="992" w:hanging="284"/>
        <w:rPr>
          <w:rFonts w:cs="Arial"/>
        </w:rPr>
      </w:pPr>
      <w:r w:rsidRPr="000E6719">
        <w:rPr>
          <w:rFonts w:cs="Arial"/>
        </w:rPr>
        <w:t>Han de permetre a</w:t>
      </w:r>
      <w:r>
        <w:rPr>
          <w:rFonts w:cs="Arial"/>
        </w:rPr>
        <w:t>costar</w:t>
      </w:r>
      <w:r w:rsidRPr="000E6719">
        <w:rPr>
          <w:rFonts w:cs="Arial"/>
        </w:rPr>
        <w:t xml:space="preserve"> el subjecte a les conseqüències dels seus actes, tant des de l’àmbit judicial com </w:t>
      </w:r>
      <w:r>
        <w:rPr>
          <w:rFonts w:cs="Arial"/>
        </w:rPr>
        <w:t>per</w:t>
      </w:r>
      <w:r w:rsidRPr="000E6719">
        <w:rPr>
          <w:rFonts w:cs="Arial"/>
        </w:rPr>
        <w:t xml:space="preserve"> la repercussió que tenen per a altres individus o grups (víctimes, persones properes, grups de pertinença, etc.). Per tant, no és </w:t>
      </w:r>
      <w:r w:rsidRPr="000E6719">
        <w:rPr>
          <w:rFonts w:cs="Arial"/>
        </w:rPr>
        <w:lastRenderedPageBreak/>
        <w:t>només una transmissió de coneixements o d’informació, sinó que també han d’oferir elements que permetin posar-se al lloc de l’altre.</w:t>
      </w:r>
    </w:p>
    <w:p w:rsidR="00507FE7" w:rsidRPr="000E6719" w:rsidRDefault="00507FE7" w:rsidP="00904443">
      <w:pPr>
        <w:numPr>
          <w:ilvl w:val="0"/>
          <w:numId w:val="41"/>
        </w:numPr>
        <w:tabs>
          <w:tab w:val="clear" w:pos="360"/>
          <w:tab w:val="num" w:pos="284"/>
          <w:tab w:val="num" w:pos="993"/>
          <w:tab w:val="num" w:pos="1069"/>
          <w:tab w:val="num" w:pos="1276"/>
        </w:tabs>
        <w:spacing w:before="0" w:after="200"/>
        <w:ind w:left="992" w:hanging="284"/>
        <w:rPr>
          <w:rFonts w:cs="Arial"/>
        </w:rPr>
      </w:pPr>
      <w:r w:rsidRPr="000E6719">
        <w:rPr>
          <w:rFonts w:cs="Arial"/>
        </w:rPr>
        <w:t xml:space="preserve">Han d’aportar elements que valorin maneres de fer diferents i </w:t>
      </w:r>
      <w:r>
        <w:rPr>
          <w:rFonts w:cs="Arial"/>
        </w:rPr>
        <w:t xml:space="preserve">han de </w:t>
      </w:r>
      <w:r w:rsidRPr="000E6719">
        <w:rPr>
          <w:rFonts w:cs="Arial"/>
        </w:rPr>
        <w:t>possibilitar la recerca de solucions alternatives.</w:t>
      </w:r>
    </w:p>
    <w:p w:rsidR="00507FE7" w:rsidRPr="000E6719" w:rsidRDefault="00507FE7" w:rsidP="00904443">
      <w:pPr>
        <w:pStyle w:val="Pargrafdellista"/>
        <w:numPr>
          <w:ilvl w:val="0"/>
          <w:numId w:val="45"/>
        </w:numPr>
        <w:spacing w:before="0" w:after="200"/>
        <w:jc w:val="left"/>
        <w:rPr>
          <w:rFonts w:cs="Arial"/>
          <w:i/>
        </w:rPr>
      </w:pPr>
      <w:bookmarkStart w:id="840" w:name="_Toc89604265"/>
      <w:bookmarkStart w:id="841" w:name="_Toc89655052"/>
      <w:r w:rsidRPr="000E6719">
        <w:rPr>
          <w:rFonts w:cs="Arial"/>
          <w:i/>
        </w:rPr>
        <w:t>Contingut</w:t>
      </w:r>
      <w:bookmarkEnd w:id="840"/>
      <w:bookmarkEnd w:id="841"/>
    </w:p>
    <w:p w:rsidR="00507FE7" w:rsidRPr="000E6719" w:rsidRDefault="00507FE7" w:rsidP="00A41348">
      <w:pPr>
        <w:pStyle w:val="Pargrafdellista"/>
        <w:rPr>
          <w:rFonts w:cs="Arial"/>
          <w:i/>
        </w:rPr>
      </w:pPr>
    </w:p>
    <w:p w:rsidR="00507FE7" w:rsidRPr="000E6719" w:rsidRDefault="00507FE7" w:rsidP="00904443">
      <w:pPr>
        <w:pStyle w:val="Pargrafdellista"/>
        <w:numPr>
          <w:ilvl w:val="0"/>
          <w:numId w:val="46"/>
        </w:numPr>
        <w:spacing w:before="0" w:after="200"/>
        <w:rPr>
          <w:rFonts w:cs="Arial"/>
        </w:rPr>
      </w:pPr>
      <w:r w:rsidRPr="000E6719">
        <w:rPr>
          <w:rFonts w:cs="Arial"/>
        </w:rPr>
        <w:t xml:space="preserve">Programes </w:t>
      </w:r>
      <w:r>
        <w:rPr>
          <w:rFonts w:cs="Arial"/>
        </w:rPr>
        <w:t>g</w:t>
      </w:r>
      <w:r w:rsidRPr="000E6719">
        <w:rPr>
          <w:rFonts w:cs="Arial"/>
        </w:rPr>
        <w:t>enèrics</w:t>
      </w:r>
    </w:p>
    <w:p w:rsidR="00507FE7" w:rsidRPr="000E6719" w:rsidRDefault="00507FE7" w:rsidP="00A41348">
      <w:pPr>
        <w:ind w:left="708"/>
        <w:rPr>
          <w:rFonts w:cs="Arial"/>
        </w:rPr>
      </w:pPr>
      <w:r w:rsidRPr="000E6719">
        <w:rPr>
          <w:rFonts w:cs="Arial"/>
        </w:rPr>
        <w:t>Es compta amb programes ja existents a la xarxa sociocomunitària, com programes de formació ocupacional, programes de llengua per a estrangers, programes d’alfabetització per a adults, etc.</w:t>
      </w:r>
    </w:p>
    <w:p w:rsidR="00507FE7" w:rsidRPr="000E6719" w:rsidRDefault="00507FE7" w:rsidP="00A41348">
      <w:pPr>
        <w:ind w:left="708"/>
        <w:rPr>
          <w:rFonts w:cs="Arial"/>
        </w:rPr>
      </w:pPr>
      <w:r w:rsidRPr="000E6719">
        <w:rPr>
          <w:rFonts w:cs="Arial"/>
        </w:rPr>
        <w:t>Els coneixements, la metodologia i altres característiques s</w:t>
      </w:r>
      <w:r>
        <w:rPr>
          <w:rFonts w:cs="Arial"/>
        </w:rPr>
        <w:t>ó</w:t>
      </w:r>
      <w:r w:rsidRPr="000E6719">
        <w:rPr>
          <w:rFonts w:cs="Arial"/>
        </w:rPr>
        <w:t>n e</w:t>
      </w:r>
      <w:r>
        <w:rPr>
          <w:rFonts w:cs="Arial"/>
        </w:rPr>
        <w:t>l</w:t>
      </w:r>
      <w:r w:rsidRPr="000E6719">
        <w:rPr>
          <w:rFonts w:cs="Arial"/>
        </w:rPr>
        <w:t xml:space="preserve">s establerts per a cada programa en concret. </w:t>
      </w:r>
    </w:p>
    <w:p w:rsidR="00507FE7" w:rsidRPr="000E6719" w:rsidRDefault="00507FE7" w:rsidP="00904443">
      <w:pPr>
        <w:pStyle w:val="Pargrafdellista"/>
        <w:numPr>
          <w:ilvl w:val="0"/>
          <w:numId w:val="46"/>
        </w:numPr>
        <w:spacing w:before="0" w:after="200"/>
        <w:rPr>
          <w:rFonts w:cs="Arial"/>
        </w:rPr>
      </w:pPr>
      <w:r w:rsidRPr="000E6719">
        <w:rPr>
          <w:rFonts w:cs="Arial"/>
        </w:rPr>
        <w:t xml:space="preserve">Programes </w:t>
      </w:r>
      <w:r>
        <w:rPr>
          <w:rFonts w:cs="Arial"/>
        </w:rPr>
        <w:t>e</w:t>
      </w:r>
      <w:r w:rsidRPr="000E6719">
        <w:rPr>
          <w:rFonts w:cs="Arial"/>
        </w:rPr>
        <w:t>specífics</w:t>
      </w:r>
    </w:p>
    <w:p w:rsidR="00507FE7" w:rsidRPr="000E6719" w:rsidRDefault="00507FE7" w:rsidP="00A41348">
      <w:pPr>
        <w:ind w:left="708"/>
        <w:rPr>
          <w:rFonts w:cs="Arial"/>
        </w:rPr>
      </w:pPr>
      <w:r w:rsidRPr="000E6719">
        <w:rPr>
          <w:rFonts w:cs="Arial"/>
        </w:rPr>
        <w:t>Es gestionen mitjançant la Unitat de Mesures Penals Alternatives. Característiques:</w:t>
      </w:r>
    </w:p>
    <w:p w:rsidR="00507FE7" w:rsidRPr="000E6719" w:rsidRDefault="00507FE7" w:rsidP="00904443">
      <w:pPr>
        <w:pStyle w:val="Pargrafdellista"/>
        <w:numPr>
          <w:ilvl w:val="0"/>
          <w:numId w:val="47"/>
        </w:numPr>
        <w:spacing w:before="0" w:after="200"/>
        <w:rPr>
          <w:rFonts w:cs="Arial"/>
        </w:rPr>
      </w:pPr>
      <w:r w:rsidRPr="000E6719">
        <w:rPr>
          <w:rFonts w:cs="Arial"/>
        </w:rPr>
        <w:t>Coneixements/Informació</w:t>
      </w:r>
    </w:p>
    <w:p w:rsidR="00507FE7" w:rsidRPr="000E6719" w:rsidRDefault="00507FE7" w:rsidP="00A41348">
      <w:pPr>
        <w:ind w:left="1068"/>
        <w:rPr>
          <w:rFonts w:cs="Arial"/>
        </w:rPr>
      </w:pPr>
      <w:r w:rsidRPr="000E6719">
        <w:rPr>
          <w:rFonts w:cs="Arial"/>
        </w:rPr>
        <w:t>Se centren en cada matèria concreta i</w:t>
      </w:r>
      <w:r>
        <w:rPr>
          <w:rFonts w:cs="Arial"/>
        </w:rPr>
        <w:t>,</w:t>
      </w:r>
      <w:r w:rsidRPr="000E6719">
        <w:rPr>
          <w:rFonts w:cs="Arial"/>
        </w:rPr>
        <w:t xml:space="preserve"> paral·lelament</w:t>
      </w:r>
      <w:r>
        <w:rPr>
          <w:rFonts w:cs="Arial"/>
        </w:rPr>
        <w:t>,</w:t>
      </w:r>
      <w:r w:rsidRPr="000E6719">
        <w:rPr>
          <w:rFonts w:cs="Arial"/>
        </w:rPr>
        <w:t xml:space="preserve"> introdueixen temes d’autoestima, habilitats socials, assertivitat, autocontrol emocional, modificació de creences irracionals</w:t>
      </w:r>
      <w:r>
        <w:rPr>
          <w:rFonts w:cs="Arial"/>
        </w:rPr>
        <w:t>,</w:t>
      </w:r>
      <w:r w:rsidRPr="000E6719">
        <w:rPr>
          <w:rFonts w:cs="Arial"/>
        </w:rPr>
        <w:t xml:space="preserve"> </w:t>
      </w:r>
      <w:r>
        <w:rPr>
          <w:rFonts w:cs="Arial"/>
        </w:rPr>
        <w:t>i</w:t>
      </w:r>
      <w:r w:rsidRPr="000E6719">
        <w:rPr>
          <w:rFonts w:cs="Arial"/>
        </w:rPr>
        <w:t xml:space="preserve"> </w:t>
      </w:r>
      <w:r>
        <w:rPr>
          <w:rFonts w:cs="Arial"/>
        </w:rPr>
        <w:t xml:space="preserve">també </w:t>
      </w:r>
      <w:r w:rsidRPr="000E6719">
        <w:rPr>
          <w:rFonts w:cs="Arial"/>
        </w:rPr>
        <w:t>altres aspectes que incideixen en les actituds i percepcions que el subjecte té en aquest àmbit específic.</w:t>
      </w:r>
    </w:p>
    <w:p w:rsidR="00507FE7" w:rsidRPr="000E6719" w:rsidRDefault="00507FE7" w:rsidP="00904443">
      <w:pPr>
        <w:pStyle w:val="Pargrafdellista"/>
        <w:numPr>
          <w:ilvl w:val="0"/>
          <w:numId w:val="47"/>
        </w:numPr>
        <w:spacing w:before="0" w:after="200"/>
        <w:rPr>
          <w:rFonts w:cs="Arial"/>
        </w:rPr>
      </w:pPr>
      <w:r w:rsidRPr="000E6719">
        <w:rPr>
          <w:rFonts w:cs="Arial"/>
        </w:rPr>
        <w:t>Metodologia</w:t>
      </w:r>
    </w:p>
    <w:p w:rsidR="00507FE7" w:rsidRPr="000E6719" w:rsidRDefault="00507FE7" w:rsidP="00A41348">
      <w:pPr>
        <w:ind w:left="1068"/>
        <w:rPr>
          <w:rFonts w:cs="Arial"/>
        </w:rPr>
      </w:pPr>
      <w:r w:rsidRPr="000E6719">
        <w:rPr>
          <w:rFonts w:cs="Arial"/>
        </w:rPr>
        <w:t>La metodologia base és de grup</w:t>
      </w:r>
      <w:r>
        <w:rPr>
          <w:rFonts w:cs="Arial"/>
        </w:rPr>
        <w:t>;</w:t>
      </w:r>
      <w:r w:rsidRPr="000E6719">
        <w:rPr>
          <w:rFonts w:cs="Arial"/>
        </w:rPr>
        <w:t xml:space="preserve"> les tècniques concretes i els mitjans utilitzats poden variar segons el programa específic i les característiques generals de cada grup</w:t>
      </w:r>
      <w:r>
        <w:rPr>
          <w:rFonts w:cs="Arial"/>
        </w:rPr>
        <w:t>.</w:t>
      </w:r>
    </w:p>
    <w:p w:rsidR="00507FE7" w:rsidRPr="000E6719" w:rsidRDefault="00507FE7" w:rsidP="00904443">
      <w:pPr>
        <w:pStyle w:val="Pargrafdellista"/>
        <w:numPr>
          <w:ilvl w:val="0"/>
          <w:numId w:val="47"/>
        </w:numPr>
        <w:spacing w:before="0" w:after="200"/>
        <w:rPr>
          <w:rFonts w:cs="Arial"/>
        </w:rPr>
      </w:pPr>
      <w:r w:rsidRPr="000E6719">
        <w:rPr>
          <w:rFonts w:cs="Arial"/>
        </w:rPr>
        <w:t>Nombre de membres</w:t>
      </w:r>
    </w:p>
    <w:p w:rsidR="00507FE7" w:rsidRPr="000E6719" w:rsidRDefault="00507FE7" w:rsidP="00A41348">
      <w:pPr>
        <w:ind w:left="1068"/>
        <w:rPr>
          <w:rFonts w:cs="Arial"/>
        </w:rPr>
      </w:pPr>
      <w:r w:rsidRPr="000E6719">
        <w:rPr>
          <w:rFonts w:cs="Arial"/>
        </w:rPr>
        <w:t xml:space="preserve">Els grups tenen un mínim de 7 i un màxim de 18 persones. </w:t>
      </w:r>
    </w:p>
    <w:p w:rsidR="00507FE7" w:rsidRPr="000E6719" w:rsidRDefault="00507FE7" w:rsidP="00904443">
      <w:pPr>
        <w:pStyle w:val="Pargrafdellista"/>
        <w:numPr>
          <w:ilvl w:val="0"/>
          <w:numId w:val="47"/>
        </w:numPr>
        <w:spacing w:before="0" w:after="200"/>
        <w:rPr>
          <w:rFonts w:cs="Arial"/>
        </w:rPr>
      </w:pPr>
      <w:r w:rsidRPr="000E6719">
        <w:rPr>
          <w:rFonts w:cs="Arial"/>
        </w:rPr>
        <w:t>Nombre d’hores i sessions</w:t>
      </w:r>
    </w:p>
    <w:p w:rsidR="00507FE7" w:rsidRPr="000E6719" w:rsidRDefault="00507FE7" w:rsidP="00A41348">
      <w:pPr>
        <w:ind w:left="1068"/>
        <w:rPr>
          <w:rFonts w:cs="Arial"/>
        </w:rPr>
      </w:pPr>
      <w:r>
        <w:rPr>
          <w:rFonts w:cs="Arial"/>
        </w:rPr>
        <w:t>S’estableix que l</w:t>
      </w:r>
      <w:r w:rsidRPr="000E6719">
        <w:rPr>
          <w:rFonts w:cs="Arial"/>
        </w:rPr>
        <w:t xml:space="preserve">a durada del programa, orientativament i de manera inicial, </w:t>
      </w:r>
      <w:r>
        <w:rPr>
          <w:rFonts w:cs="Arial"/>
        </w:rPr>
        <w:t>és d’</w:t>
      </w:r>
      <w:r w:rsidRPr="000E6719">
        <w:rPr>
          <w:rFonts w:cs="Arial"/>
        </w:rPr>
        <w:t>entre 20 i 30  hores. La durada de les sessions pot ser d'</w:t>
      </w:r>
      <w:smartTag w:uri="urn:schemas-microsoft-com:office:smarttags" w:element="metricconverter">
        <w:smartTagPr>
          <w:attr w:name="ProductID" w:val="1 a"/>
        </w:smartTagPr>
        <w:r w:rsidRPr="000E6719">
          <w:rPr>
            <w:rFonts w:cs="Arial"/>
          </w:rPr>
          <w:t>1 a</w:t>
        </w:r>
      </w:smartTag>
      <w:r w:rsidRPr="000E6719">
        <w:rPr>
          <w:rFonts w:cs="Arial"/>
        </w:rPr>
        <w:t xml:space="preserve"> 4 hores.</w:t>
      </w:r>
    </w:p>
    <w:p w:rsidR="00507FE7" w:rsidRPr="000E6719" w:rsidRDefault="00507FE7" w:rsidP="00A41348">
      <w:pPr>
        <w:rPr>
          <w:rFonts w:cs="Arial"/>
          <w:b/>
          <w:sz w:val="24"/>
          <w:szCs w:val="24"/>
        </w:rPr>
      </w:pPr>
    </w:p>
    <w:p w:rsidR="00507FE7" w:rsidRPr="000E6719" w:rsidRDefault="00507FE7" w:rsidP="0070401F">
      <w:pPr>
        <w:pStyle w:val="Ttol2"/>
      </w:pPr>
      <w:bookmarkStart w:id="842" w:name="_Toc464685778"/>
      <w:bookmarkStart w:id="843" w:name="_Toc465293526"/>
      <w:r w:rsidRPr="000E6719">
        <w:t>Capacitat del sistema per a l’execució de mesures</w:t>
      </w:r>
      <w:bookmarkEnd w:id="842"/>
      <w:bookmarkEnd w:id="843"/>
    </w:p>
    <w:p w:rsidR="00507FE7" w:rsidRPr="000E6719" w:rsidRDefault="00507FE7" w:rsidP="00A41348">
      <w:pPr>
        <w:pStyle w:val="Default"/>
        <w:jc w:val="both"/>
        <w:rPr>
          <w:sz w:val="22"/>
          <w:szCs w:val="22"/>
        </w:rPr>
      </w:pPr>
      <w:r w:rsidRPr="000E6719">
        <w:rPr>
          <w:sz w:val="22"/>
          <w:szCs w:val="22"/>
        </w:rPr>
        <w:t xml:space="preserve">Un dels problemes que presenta la situació actual en la gestió de les MPA és el temps que triga l’aparell judicial </w:t>
      </w:r>
      <w:r>
        <w:rPr>
          <w:sz w:val="22"/>
          <w:szCs w:val="22"/>
        </w:rPr>
        <w:t>a</w:t>
      </w:r>
      <w:r w:rsidRPr="000E6719">
        <w:rPr>
          <w:sz w:val="22"/>
          <w:szCs w:val="22"/>
        </w:rPr>
        <w:t xml:space="preserve"> dicta</w:t>
      </w:r>
      <w:r>
        <w:rPr>
          <w:sz w:val="22"/>
          <w:szCs w:val="22"/>
        </w:rPr>
        <w:t>r</w:t>
      </w:r>
      <w:r w:rsidRPr="000E6719">
        <w:rPr>
          <w:sz w:val="22"/>
          <w:szCs w:val="22"/>
        </w:rPr>
        <w:t xml:space="preserve"> la condemna</w:t>
      </w:r>
      <w:r>
        <w:rPr>
          <w:sz w:val="22"/>
          <w:szCs w:val="22"/>
        </w:rPr>
        <w:t>.</w:t>
      </w:r>
      <w:r w:rsidRPr="000E6719">
        <w:rPr>
          <w:sz w:val="22"/>
          <w:szCs w:val="22"/>
        </w:rPr>
        <w:t xml:space="preserve"> </w:t>
      </w:r>
      <w:r>
        <w:rPr>
          <w:sz w:val="22"/>
          <w:szCs w:val="22"/>
        </w:rPr>
        <w:t>L</w:t>
      </w:r>
      <w:r w:rsidRPr="000E6719">
        <w:rPr>
          <w:sz w:val="22"/>
          <w:szCs w:val="22"/>
        </w:rPr>
        <w:t xml:space="preserve">’estudi de reincidència de les </w:t>
      </w:r>
      <w:r>
        <w:rPr>
          <w:sz w:val="22"/>
          <w:szCs w:val="22"/>
        </w:rPr>
        <w:t>m</w:t>
      </w:r>
      <w:r w:rsidRPr="000E6719">
        <w:rPr>
          <w:sz w:val="22"/>
          <w:szCs w:val="22"/>
        </w:rPr>
        <w:t xml:space="preserve">esures </w:t>
      </w:r>
      <w:r>
        <w:rPr>
          <w:sz w:val="22"/>
          <w:szCs w:val="22"/>
        </w:rPr>
        <w:t>p</w:t>
      </w:r>
      <w:r w:rsidRPr="000E6719">
        <w:rPr>
          <w:sz w:val="22"/>
          <w:szCs w:val="22"/>
        </w:rPr>
        <w:t xml:space="preserve">enals </w:t>
      </w:r>
      <w:r>
        <w:rPr>
          <w:sz w:val="22"/>
          <w:szCs w:val="22"/>
        </w:rPr>
        <w:t>a</w:t>
      </w:r>
      <w:r w:rsidRPr="000E6719">
        <w:rPr>
          <w:sz w:val="22"/>
          <w:szCs w:val="22"/>
        </w:rPr>
        <w:t xml:space="preserve">lternatives de 2015, publicat </w:t>
      </w:r>
      <w:r>
        <w:rPr>
          <w:sz w:val="22"/>
          <w:szCs w:val="22"/>
        </w:rPr>
        <w:t>enguany</w:t>
      </w:r>
      <w:r w:rsidRPr="000E6719">
        <w:rPr>
          <w:sz w:val="22"/>
          <w:szCs w:val="22"/>
        </w:rPr>
        <w:t>, concreta en un termini de 348 dies de mitjana (11,6 mesos)</w:t>
      </w:r>
      <w:r>
        <w:rPr>
          <w:sz w:val="22"/>
          <w:szCs w:val="22"/>
        </w:rPr>
        <w:t>,</w:t>
      </w:r>
      <w:r w:rsidRPr="000E6719">
        <w:rPr>
          <w:sz w:val="22"/>
          <w:szCs w:val="22"/>
        </w:rPr>
        <w:t xml:space="preserve"> i posteriorment en 220 dies </w:t>
      </w:r>
      <w:r>
        <w:rPr>
          <w:sz w:val="22"/>
          <w:szCs w:val="22"/>
        </w:rPr>
        <w:t xml:space="preserve">més </w:t>
      </w:r>
      <w:r w:rsidRPr="000E6719">
        <w:rPr>
          <w:sz w:val="22"/>
          <w:szCs w:val="22"/>
        </w:rPr>
        <w:t xml:space="preserve">(7,33 mesos) </w:t>
      </w:r>
      <w:r>
        <w:rPr>
          <w:sz w:val="22"/>
          <w:szCs w:val="22"/>
        </w:rPr>
        <w:t>per a</w:t>
      </w:r>
      <w:r w:rsidRPr="000E6719">
        <w:rPr>
          <w:sz w:val="22"/>
          <w:szCs w:val="22"/>
        </w:rPr>
        <w:t xml:space="preserve"> l’assignació del recurs des de la data de la condemna. Aquest temps es </w:t>
      </w:r>
      <w:r>
        <w:rPr>
          <w:sz w:val="22"/>
          <w:szCs w:val="22"/>
        </w:rPr>
        <w:t xml:space="preserve">considera </w:t>
      </w:r>
      <w:r w:rsidRPr="000E6719">
        <w:rPr>
          <w:sz w:val="22"/>
          <w:szCs w:val="22"/>
        </w:rPr>
        <w:t xml:space="preserve">excessiu si es </w:t>
      </w:r>
      <w:r>
        <w:rPr>
          <w:sz w:val="22"/>
          <w:szCs w:val="22"/>
        </w:rPr>
        <w:t xml:space="preserve">té en compte </w:t>
      </w:r>
      <w:r w:rsidRPr="000E6719">
        <w:rPr>
          <w:sz w:val="22"/>
          <w:szCs w:val="22"/>
        </w:rPr>
        <w:t>que la durada del compliment no arriba a l’any en el 82,1</w:t>
      </w:r>
      <w:r>
        <w:rPr>
          <w:sz w:val="22"/>
          <w:szCs w:val="22"/>
        </w:rPr>
        <w:t xml:space="preserve"> </w:t>
      </w:r>
      <w:r w:rsidRPr="000E6719">
        <w:rPr>
          <w:sz w:val="22"/>
          <w:szCs w:val="22"/>
        </w:rPr>
        <w:t>% dels casos</w:t>
      </w:r>
    </w:p>
    <w:p w:rsidR="00507FE7" w:rsidRPr="000E6719" w:rsidRDefault="00507FE7" w:rsidP="00A41348">
      <w:pPr>
        <w:pStyle w:val="Default"/>
        <w:jc w:val="both"/>
      </w:pPr>
    </w:p>
    <w:p w:rsidR="00507FE7" w:rsidRPr="000E6719" w:rsidRDefault="00507FE7" w:rsidP="00A41348">
      <w:pPr>
        <w:rPr>
          <w:rFonts w:cs="Arial"/>
          <w:color w:val="000000" w:themeColor="text1"/>
          <w:sz w:val="24"/>
          <w:szCs w:val="24"/>
        </w:rPr>
      </w:pPr>
      <w:r w:rsidRPr="000E6719">
        <w:rPr>
          <w:rFonts w:cs="Arial"/>
          <w:color w:val="000000"/>
        </w:rPr>
        <w:t>Un dels reptes que té el sistema és reduir el temps per executar les mesures, per</w:t>
      </w:r>
      <w:r>
        <w:rPr>
          <w:rFonts w:cs="Arial"/>
          <w:color w:val="000000"/>
        </w:rPr>
        <w:t>què</w:t>
      </w:r>
      <w:r w:rsidRPr="000E6719">
        <w:rPr>
          <w:rFonts w:cs="Arial"/>
          <w:color w:val="000000"/>
        </w:rPr>
        <w:t xml:space="preserve"> és excessiu, redueix l’efectivitat</w:t>
      </w:r>
      <w:r>
        <w:rPr>
          <w:rFonts w:cs="Arial"/>
          <w:color w:val="000000"/>
        </w:rPr>
        <w:t>,</w:t>
      </w:r>
      <w:r w:rsidRPr="000E6719">
        <w:rPr>
          <w:rFonts w:cs="Arial"/>
          <w:color w:val="000000"/>
        </w:rPr>
        <w:t xml:space="preserve"> altera la relació causa efecte </w:t>
      </w:r>
      <w:r>
        <w:rPr>
          <w:rFonts w:cs="Arial"/>
          <w:color w:val="000000"/>
        </w:rPr>
        <w:t>i produeix</w:t>
      </w:r>
      <w:r w:rsidRPr="000E6719">
        <w:rPr>
          <w:rFonts w:cs="Arial"/>
          <w:color w:val="000000"/>
        </w:rPr>
        <w:t xml:space="preserve"> </w:t>
      </w:r>
      <w:r>
        <w:rPr>
          <w:rFonts w:cs="Arial"/>
          <w:color w:val="000000"/>
        </w:rPr>
        <w:t xml:space="preserve">una </w:t>
      </w:r>
      <w:r w:rsidRPr="000E6719">
        <w:rPr>
          <w:rFonts w:cs="Arial"/>
          <w:color w:val="000000"/>
        </w:rPr>
        <w:t>distorsió en la vida de les persones condemnades. L’evolució d’aquesta demora d’execució de les mesures es mostra al gràfic següent</w:t>
      </w:r>
      <w:r>
        <w:rPr>
          <w:rFonts w:cs="Arial"/>
          <w:color w:val="000000"/>
        </w:rPr>
        <w:t>.</w:t>
      </w:r>
    </w:p>
    <w:p w:rsidR="00C952DF" w:rsidRDefault="00507FE7" w:rsidP="00C952DF">
      <w:pPr>
        <w:keepNext/>
        <w:jc w:val="center"/>
      </w:pPr>
      <w:r w:rsidRPr="000E6719">
        <w:rPr>
          <w:rFonts w:cs="Arial"/>
          <w:b/>
          <w:noProof/>
          <w:sz w:val="28"/>
          <w:szCs w:val="28"/>
          <w:lang w:eastAsia="ca-ES"/>
        </w:rPr>
        <w:lastRenderedPageBreak/>
        <w:drawing>
          <wp:inline distT="0" distB="0" distL="0" distR="0" wp14:anchorId="1E183183" wp14:editId="213031E1">
            <wp:extent cx="5574106" cy="1764000"/>
            <wp:effectExtent l="0" t="0" r="7620" b="8255"/>
            <wp:docPr id="61" name="Imat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576511" cy="1764761"/>
                    </a:xfrm>
                    <a:prstGeom prst="rect">
                      <a:avLst/>
                    </a:prstGeom>
                    <a:noFill/>
                  </pic:spPr>
                </pic:pic>
              </a:graphicData>
            </a:graphic>
          </wp:inline>
        </w:drawing>
      </w:r>
    </w:p>
    <w:p w:rsidR="00507FE7" w:rsidRPr="000E6719" w:rsidRDefault="0068128C" w:rsidP="00C952DF">
      <w:pPr>
        <w:pStyle w:val="Llegenda"/>
        <w:jc w:val="center"/>
        <w:rPr>
          <w:rFonts w:cs="Arial"/>
          <w:b w:val="0"/>
          <w:sz w:val="28"/>
          <w:szCs w:val="28"/>
        </w:rPr>
      </w:pPr>
      <w:bookmarkStart w:id="844" w:name="_Toc465293884"/>
      <w:r>
        <w:t>Gràfic</w:t>
      </w:r>
      <w:r w:rsidR="00C952DF">
        <w:t xml:space="preserve"> </w:t>
      </w:r>
      <w:r w:rsidR="00DB496B">
        <w:fldChar w:fldCharType="begin"/>
      </w:r>
      <w:r w:rsidR="00DB496B">
        <w:instrText xml:space="preserve"> SEQ Il·lustració \* ARABIC </w:instrText>
      </w:r>
      <w:r w:rsidR="00DB496B">
        <w:fldChar w:fldCharType="separate"/>
      </w:r>
      <w:r w:rsidR="00C952DF">
        <w:rPr>
          <w:noProof/>
        </w:rPr>
        <w:t>77</w:t>
      </w:r>
      <w:r w:rsidR="00DB496B">
        <w:rPr>
          <w:noProof/>
        </w:rPr>
        <w:fldChar w:fldCharType="end"/>
      </w:r>
      <w:r w:rsidR="00C952DF">
        <w:t xml:space="preserve">. </w:t>
      </w:r>
      <w:r w:rsidR="00C952DF" w:rsidRPr="001E2CF1">
        <w:t>Mesures penals alternatives pendents d’inici*</w:t>
      </w:r>
      <w:bookmarkEnd w:id="844"/>
    </w:p>
    <w:p w:rsidR="00507FE7" w:rsidRPr="000E6719" w:rsidRDefault="00507FE7" w:rsidP="00A41348">
      <w:pPr>
        <w:jc w:val="right"/>
        <w:rPr>
          <w:rFonts w:cs="Arial"/>
          <w:i/>
          <w:sz w:val="16"/>
          <w:szCs w:val="16"/>
        </w:rPr>
      </w:pPr>
      <w:r w:rsidRPr="000E6719">
        <w:rPr>
          <w:rFonts w:cs="Arial"/>
          <w:i/>
          <w:sz w:val="16"/>
          <w:szCs w:val="16"/>
        </w:rPr>
        <w:t>(*) el darrer dia da cada any</w:t>
      </w:r>
    </w:p>
    <w:p w:rsidR="00C952DF" w:rsidRDefault="00C952DF">
      <w:pPr>
        <w:rPr>
          <w:rFonts w:cs="Arial"/>
          <w:color w:val="548DD4" w:themeColor="text2" w:themeTint="99"/>
        </w:rPr>
      </w:pPr>
    </w:p>
    <w:p w:rsidR="00507FE7" w:rsidRPr="000E6719" w:rsidRDefault="00507FE7" w:rsidP="0070401F">
      <w:pPr>
        <w:pStyle w:val="Ttol2"/>
      </w:pPr>
      <w:bookmarkStart w:id="845" w:name="_Toc464685779"/>
      <w:bookmarkStart w:id="846" w:name="_Toc465293527"/>
      <w:r w:rsidRPr="000E6719">
        <w:t xml:space="preserve">La </w:t>
      </w:r>
      <w:r w:rsidRPr="00A97384">
        <w:t>reincidència</w:t>
      </w:r>
      <w:r w:rsidRPr="000E6719">
        <w:t xml:space="preserve"> en les mesures penals alternatives</w:t>
      </w:r>
      <w:bookmarkEnd w:id="845"/>
      <w:bookmarkEnd w:id="846"/>
    </w:p>
    <w:p w:rsidR="00507FE7" w:rsidRPr="00513E64" w:rsidRDefault="00507FE7" w:rsidP="00A41348">
      <w:pPr>
        <w:rPr>
          <w:rFonts w:cs="Arial"/>
        </w:rPr>
      </w:pPr>
      <w:r w:rsidRPr="00513E64">
        <w:rPr>
          <w:rFonts w:cs="Arial"/>
        </w:rPr>
        <w:t>Aquest mateix any 2016 el Centre d’Estudis Jurídics i Formació Especialitzada ha publicat</w:t>
      </w:r>
      <w:r w:rsidRPr="00513E64">
        <w:rPr>
          <w:rFonts w:cs="Arial"/>
          <w:vertAlign w:val="superscript"/>
        </w:rPr>
        <w:footnoteReference w:id="39"/>
      </w:r>
      <w:r w:rsidRPr="00513E64">
        <w:rPr>
          <w:rFonts w:cs="Arial"/>
        </w:rPr>
        <w:t xml:space="preserve"> un estudi sobre la reincidència en l’àmbit de les MPA. Les conclusions més rellevants d’aquest estudi, fet sobre una mostra de 8.839 condemnats a mesures penals alternatives, han estat aquestes:</w:t>
      </w:r>
    </w:p>
    <w:p w:rsidR="00507FE7" w:rsidRPr="00513E64" w:rsidRDefault="00507FE7" w:rsidP="00904443">
      <w:pPr>
        <w:numPr>
          <w:ilvl w:val="0"/>
          <w:numId w:val="48"/>
        </w:numPr>
        <w:spacing w:before="0" w:after="120"/>
        <w:ind w:left="714" w:hanging="357"/>
        <w:rPr>
          <w:rFonts w:eastAsia="Calibri" w:cs="Arial"/>
          <w:lang w:eastAsia="ca-ES"/>
        </w:rPr>
      </w:pPr>
      <w:r w:rsidRPr="00513E64">
        <w:rPr>
          <w:rFonts w:eastAsia="Calibri" w:cs="Arial"/>
          <w:lang w:eastAsia="ca-ES"/>
        </w:rPr>
        <w:t>La taxa de reincidènci</w:t>
      </w:r>
      <w:r w:rsidR="003B7567">
        <w:rPr>
          <w:rFonts w:eastAsia="Calibri" w:cs="Arial"/>
          <w:lang w:eastAsia="ca-ES"/>
        </w:rPr>
        <w:t>a general de MPA (2015) és d’un 10,04%</w:t>
      </w:r>
      <w:r w:rsidRPr="00513E64">
        <w:rPr>
          <w:rFonts w:eastAsia="Calibri" w:cs="Arial"/>
          <w:lang w:eastAsia="ca-ES"/>
        </w:rPr>
        <w:t>. Les MPA més aplicades, els TBC i els programes formatius, tenen la mateixa taxa de reincidència, 9,7 %. La reincidència de les persones que segueixen un tractament terapèutic ambulatori és de l’11,7 % i la dels qui compleixen un internament, del 21,2 %.</w:t>
      </w:r>
    </w:p>
    <w:p w:rsidR="00507FE7" w:rsidRPr="00513E64" w:rsidRDefault="00507FE7" w:rsidP="00904443">
      <w:pPr>
        <w:numPr>
          <w:ilvl w:val="0"/>
          <w:numId w:val="48"/>
        </w:numPr>
        <w:spacing w:before="0" w:after="120"/>
        <w:ind w:left="714" w:hanging="357"/>
        <w:rPr>
          <w:rFonts w:eastAsia="Calibri" w:cs="Arial"/>
          <w:lang w:eastAsia="ca-ES"/>
        </w:rPr>
      </w:pPr>
      <w:r w:rsidRPr="00513E64">
        <w:rPr>
          <w:rFonts w:eastAsia="Calibri" w:cs="Arial"/>
          <w:lang w:eastAsia="ca-ES"/>
        </w:rPr>
        <w:t>Per delictes, la taxa de reincidència més baixa i estadísticament diferent de la taxa mitjana correspon a les persones que han comès un delicte de trànsit (9,1 %). La més alta i diferent de la mitjana és per als qui han dut a terme un delicte contra la propietat (21,6 %).</w:t>
      </w:r>
    </w:p>
    <w:p w:rsidR="00507FE7" w:rsidRPr="00513E64" w:rsidRDefault="00507FE7" w:rsidP="00904443">
      <w:pPr>
        <w:pStyle w:val="Pargrafdellista"/>
        <w:numPr>
          <w:ilvl w:val="0"/>
          <w:numId w:val="48"/>
        </w:numPr>
        <w:spacing w:before="0" w:after="120"/>
        <w:ind w:left="714" w:hanging="357"/>
        <w:contextualSpacing w:val="0"/>
        <w:rPr>
          <w:rFonts w:eastAsia="Calibri" w:cs="Arial"/>
          <w:lang w:eastAsia="ca-ES"/>
        </w:rPr>
      </w:pPr>
      <w:r w:rsidRPr="00513E64">
        <w:rPr>
          <w:rFonts w:eastAsia="Calibri" w:cs="Arial"/>
          <w:lang w:eastAsia="ca-ES"/>
        </w:rPr>
        <w:t xml:space="preserve">Nou de cada deu persones que han estat condemnades no han reincidit en els cinc anys posteriors al final del compliment de la condemna. Aquesta taxa ha baixat 5,7 punts respecte de mesuraments fets deu anys enrere, tot i que el perfil de la població a la qual s’apliquen les MPA i els tipus de delicte han canviat molt en aquests anys i, per tant, cal ser cautelosos amb les comparacions. </w:t>
      </w:r>
    </w:p>
    <w:p w:rsidR="00507FE7" w:rsidRPr="00513E64" w:rsidRDefault="00507FE7" w:rsidP="00904443">
      <w:pPr>
        <w:pStyle w:val="Pargrafdellista"/>
        <w:numPr>
          <w:ilvl w:val="0"/>
          <w:numId w:val="48"/>
        </w:numPr>
        <w:spacing w:before="0" w:after="120"/>
        <w:ind w:left="714" w:hanging="357"/>
        <w:contextualSpacing w:val="0"/>
        <w:rPr>
          <w:rFonts w:eastAsia="Calibri" w:cs="Arial"/>
          <w:lang w:eastAsia="ca-ES"/>
        </w:rPr>
      </w:pPr>
      <w:r w:rsidRPr="00513E64">
        <w:rPr>
          <w:rFonts w:eastAsia="Calibri" w:cs="Arial"/>
          <w:lang w:eastAsia="ca-ES"/>
        </w:rPr>
        <w:t>Les MPA són penes més complementàries que alternatives, en el sentit que s’apliquen a persones i situacions sobre les quals, abans de les successives reformes recents del Codi penal, no s’intervenia penalment. Tanmateix, si les MPA no existissin, potser la pena de presó hauria augmentat per respondre a nous delictes (violència de gènere i delictes de trànsit).</w:t>
      </w:r>
    </w:p>
    <w:p w:rsidR="00507FE7" w:rsidRPr="00513E64" w:rsidRDefault="00507FE7" w:rsidP="00904443">
      <w:pPr>
        <w:numPr>
          <w:ilvl w:val="0"/>
          <w:numId w:val="48"/>
        </w:numPr>
        <w:spacing w:before="0" w:after="120"/>
        <w:ind w:left="714" w:hanging="357"/>
        <w:rPr>
          <w:rFonts w:eastAsia="Calibri" w:cs="Arial"/>
          <w:lang w:eastAsia="ca-ES"/>
        </w:rPr>
      </w:pPr>
      <w:r w:rsidRPr="00513E64">
        <w:rPr>
          <w:rFonts w:eastAsia="Calibri" w:cs="Arial"/>
          <w:lang w:eastAsia="ca-ES"/>
        </w:rPr>
        <w:t>La MPA majoritàriament imposada és la de treballs en benefici de la comunitat, amb el 77,1 % de totes les mesures estudiades. En segon lloc, a molta distància, els programes formatius (17,2 %). El tractament terapèutic ambulatori (4,4 %) o l’internament en un centre especialitzat (1,3 %) són mesures residuals, de facto, en el conjunt de mesures que preveu la llei.</w:t>
      </w:r>
    </w:p>
    <w:p w:rsidR="00507FE7" w:rsidRPr="00513E64" w:rsidRDefault="00507FE7" w:rsidP="00904443">
      <w:pPr>
        <w:numPr>
          <w:ilvl w:val="0"/>
          <w:numId w:val="48"/>
        </w:numPr>
        <w:spacing w:before="0" w:after="120"/>
        <w:ind w:left="714" w:hanging="357"/>
        <w:rPr>
          <w:rFonts w:eastAsia="Calibri" w:cs="Arial"/>
          <w:lang w:eastAsia="ca-ES"/>
        </w:rPr>
      </w:pPr>
      <w:r w:rsidRPr="00513E64">
        <w:rPr>
          <w:rFonts w:eastAsia="Calibri" w:cs="Arial"/>
          <w:lang w:eastAsia="ca-ES"/>
        </w:rPr>
        <w:lastRenderedPageBreak/>
        <w:t>L’aplicació de les MPA es fa prioritàriament en funció del delicte comès, bàsicament relacionat amb el trànsit (70,9 %) i la violència de gènere (20,0 %). Es tenen poc en compte les característiques criminògenes de l’individu.</w:t>
      </w:r>
    </w:p>
    <w:p w:rsidR="00507FE7" w:rsidRPr="00513E64" w:rsidRDefault="00507FE7" w:rsidP="00904443">
      <w:pPr>
        <w:numPr>
          <w:ilvl w:val="0"/>
          <w:numId w:val="48"/>
        </w:numPr>
        <w:spacing w:before="0" w:after="120"/>
        <w:ind w:left="714" w:hanging="357"/>
        <w:jc w:val="left"/>
        <w:rPr>
          <w:rFonts w:eastAsia="Calibri" w:cs="Arial"/>
          <w:lang w:eastAsia="ca-ES"/>
        </w:rPr>
      </w:pPr>
      <w:r w:rsidRPr="00513E64">
        <w:rPr>
          <w:rFonts w:eastAsia="Calibri" w:cs="Arial"/>
          <w:lang w:eastAsia="ca-ES"/>
        </w:rPr>
        <w:t>La majoria dels TBC (84,9 %) s’imposen en el conjunt de delictes relacionats amb el trànsit. En canvi, els de violència de gènere</w:t>
      </w:r>
      <w:r w:rsidRPr="00513E64">
        <w:rPr>
          <w:rFonts w:eastAsia="Calibri" w:cs="Arial"/>
          <w:i/>
          <w:lang w:eastAsia="ca-ES"/>
        </w:rPr>
        <w:t xml:space="preserve"> </w:t>
      </w:r>
      <w:r w:rsidRPr="00513E64">
        <w:rPr>
          <w:rFonts w:eastAsia="Calibri" w:cs="Arial"/>
          <w:lang w:eastAsia="ca-ES"/>
        </w:rPr>
        <w:t xml:space="preserve">reben amb més freqüència un programes formatius (55,7 %), tot i que el TBC també és una mesura percentualment important (39,3 %). </w:t>
      </w:r>
    </w:p>
    <w:p w:rsidR="00507FE7" w:rsidRPr="00513E64" w:rsidRDefault="00507FE7" w:rsidP="00904443">
      <w:pPr>
        <w:pStyle w:val="Pargrafdellista"/>
        <w:numPr>
          <w:ilvl w:val="0"/>
          <w:numId w:val="48"/>
        </w:numPr>
        <w:spacing w:before="0" w:after="120"/>
        <w:ind w:left="714" w:hanging="357"/>
        <w:contextualSpacing w:val="0"/>
        <w:rPr>
          <w:rFonts w:eastAsia="Calibri" w:cs="Arial"/>
          <w:lang w:eastAsia="ca-ES"/>
        </w:rPr>
      </w:pPr>
      <w:r w:rsidRPr="00513E64">
        <w:rPr>
          <w:rFonts w:eastAsia="Calibri" w:cs="Arial"/>
          <w:lang w:eastAsia="ca-ES"/>
        </w:rPr>
        <w:t>Els condemnats a MPA tenen una edat mitjana de 34 anys en el moment del delicte; una quarta part d’ells tenen antecedents penals i, dins d’aquest grup, la meitat ha passat anteriorment per un centre penitenciari. Hi ha diferències significatives entre els infractors que compleixen una MPA per un delicte de trànsit</w:t>
      </w:r>
      <w:r w:rsidRPr="00513E64">
        <w:rPr>
          <w:rFonts w:eastAsia="Calibri" w:cs="Arial"/>
          <w:i/>
          <w:lang w:eastAsia="ca-ES"/>
        </w:rPr>
        <w:t xml:space="preserve"> </w:t>
      </w:r>
      <w:r w:rsidRPr="00513E64">
        <w:rPr>
          <w:rFonts w:eastAsia="Calibri" w:cs="Arial"/>
          <w:lang w:eastAsia="ca-ES"/>
        </w:rPr>
        <w:t>o de violència de gènere i els que compleixen una pena de presó per aquests tipus específics de delictes.</w:t>
      </w:r>
    </w:p>
    <w:p w:rsidR="00507FE7" w:rsidRPr="00513E64" w:rsidRDefault="00507FE7" w:rsidP="00904443">
      <w:pPr>
        <w:pStyle w:val="Pargrafdellista"/>
        <w:numPr>
          <w:ilvl w:val="0"/>
          <w:numId w:val="48"/>
        </w:numPr>
        <w:spacing w:before="0" w:after="120"/>
        <w:ind w:left="714" w:hanging="357"/>
        <w:contextualSpacing w:val="0"/>
        <w:rPr>
          <w:rFonts w:eastAsia="Calibri" w:cs="Arial"/>
          <w:lang w:eastAsia="ca-ES"/>
        </w:rPr>
      </w:pPr>
      <w:r w:rsidRPr="00513E64">
        <w:rPr>
          <w:rFonts w:eastAsia="Calibri" w:cs="Arial"/>
          <w:lang w:eastAsia="ca-ES"/>
        </w:rPr>
        <w:t xml:space="preserve">Quan es compara el perfil de l’infractor que compleix una MPA amb el de qui compleix una pena de presó es troben diferències significatives tant en el nombre d’antecedents com en les reincidències (a la presó hi ha xifres més elevades en ambdós casos). L’estudi no arriba a esbrinar si la variable </w:t>
      </w:r>
      <w:r w:rsidRPr="00513E64">
        <w:rPr>
          <w:rFonts w:eastAsia="Calibri" w:cs="Arial"/>
          <w:i/>
          <w:lang w:eastAsia="ca-ES"/>
        </w:rPr>
        <w:t>antecedents</w:t>
      </w:r>
      <w:r w:rsidRPr="00513E64">
        <w:rPr>
          <w:rFonts w:eastAsia="Calibri" w:cs="Arial"/>
          <w:lang w:eastAsia="ca-ES"/>
        </w:rPr>
        <w:t xml:space="preserve"> és suficient per poder explicar les diferències en la reincidència o si cal considerar altres indicadors personals, socials i penals que també incideixen en la imposició d’una MPA o d’una pena de presó.</w:t>
      </w:r>
    </w:p>
    <w:p w:rsidR="00507FE7" w:rsidRPr="00513E64" w:rsidRDefault="00507FE7" w:rsidP="00904443">
      <w:pPr>
        <w:pStyle w:val="Pargrafdellista"/>
        <w:numPr>
          <w:ilvl w:val="0"/>
          <w:numId w:val="48"/>
        </w:numPr>
        <w:spacing w:before="0" w:after="120"/>
        <w:ind w:left="714" w:hanging="357"/>
        <w:contextualSpacing w:val="0"/>
        <w:rPr>
          <w:rFonts w:eastAsia="Calibri" w:cs="Arial"/>
          <w:lang w:eastAsia="ca-ES"/>
        </w:rPr>
      </w:pPr>
      <w:r w:rsidRPr="00513E64">
        <w:rPr>
          <w:rFonts w:eastAsia="Calibri" w:cs="Arial"/>
          <w:lang w:eastAsia="ca-ES"/>
        </w:rPr>
        <w:t xml:space="preserve">Les persones que han comès un delicte de trànsit tenen una taxa de reincidència estadísticament inferior a la resta (9,1 %), tot i que les recerques sobre aquest tipus delictiu assenyalen que la </w:t>
      </w:r>
      <w:r w:rsidRPr="00513E64">
        <w:rPr>
          <w:rFonts w:eastAsia="Calibri" w:cs="Arial"/>
          <w:i/>
          <w:lang w:eastAsia="ca-ES"/>
        </w:rPr>
        <w:t>xifra negra</w:t>
      </w:r>
      <w:r w:rsidRPr="00513E64">
        <w:rPr>
          <w:rFonts w:eastAsia="Calibri" w:cs="Arial"/>
          <w:lang w:eastAsia="ca-ES"/>
        </w:rPr>
        <w:t xml:space="preserve"> és molt alta (es cometen molts delictes que no són detectats). D’altra banda, presenten una taxa superior els que han comès un delicte de violència de gènere (11,2 %) i contra la propietat (21,6 %). La resta de categories delictives no mostren una taxa de reincidència diferent de la general.</w:t>
      </w:r>
    </w:p>
    <w:p w:rsidR="00507FE7" w:rsidRPr="00513E64" w:rsidRDefault="00507FE7" w:rsidP="00904443">
      <w:pPr>
        <w:pStyle w:val="Pargrafdellista"/>
        <w:numPr>
          <w:ilvl w:val="0"/>
          <w:numId w:val="48"/>
        </w:numPr>
        <w:spacing w:before="0" w:after="120"/>
        <w:ind w:left="714" w:hanging="357"/>
        <w:contextualSpacing w:val="0"/>
        <w:rPr>
          <w:rFonts w:eastAsia="Calibri" w:cs="Arial"/>
          <w:lang w:eastAsia="ca-ES"/>
        </w:rPr>
      </w:pPr>
      <w:r w:rsidRPr="00513E64">
        <w:rPr>
          <w:rFonts w:eastAsia="Calibri" w:cs="Arial"/>
          <w:lang w:eastAsia="ca-ES"/>
        </w:rPr>
        <w:t>Respecte dels delictes de trànsit, s’identifiquen diferències significatives en la reincidència entre els infractors que han comès un delicte de conducció sense permís (14,3 %) i els que han estat condemnats per conducció sota la influència de begudes alcohòliques (7,4%).</w:t>
      </w:r>
    </w:p>
    <w:p w:rsidR="00507FE7" w:rsidRPr="00513E64" w:rsidRDefault="00507FE7" w:rsidP="00904443">
      <w:pPr>
        <w:pStyle w:val="Pargrafdellista"/>
        <w:numPr>
          <w:ilvl w:val="0"/>
          <w:numId w:val="48"/>
        </w:numPr>
        <w:spacing w:before="0" w:after="120"/>
        <w:ind w:left="714" w:hanging="357"/>
        <w:contextualSpacing w:val="0"/>
        <w:rPr>
          <w:rFonts w:eastAsia="Calibri" w:cs="Arial"/>
          <w:lang w:eastAsia="ca-ES"/>
        </w:rPr>
      </w:pPr>
      <w:r w:rsidRPr="00513E64">
        <w:rPr>
          <w:rFonts w:eastAsia="Calibri" w:cs="Arial"/>
          <w:lang w:eastAsia="ca-ES"/>
        </w:rPr>
        <w:t xml:space="preserve">Les variables recollides que resulten més predictores de la reincidència són tenir antecedents penals i haver tingut incidències durant el compliment de la MPA. </w:t>
      </w:r>
    </w:p>
    <w:p w:rsidR="00507FE7" w:rsidRPr="00513E64" w:rsidRDefault="00507FE7" w:rsidP="00904443">
      <w:pPr>
        <w:pStyle w:val="Pargrafdellista"/>
        <w:numPr>
          <w:ilvl w:val="0"/>
          <w:numId w:val="48"/>
        </w:numPr>
        <w:spacing w:before="0" w:after="120"/>
        <w:ind w:left="714" w:hanging="357"/>
        <w:contextualSpacing w:val="0"/>
        <w:rPr>
          <w:rFonts w:eastAsia="Calibri" w:cs="Arial"/>
          <w:lang w:eastAsia="ca-ES"/>
        </w:rPr>
      </w:pPr>
      <w:r w:rsidRPr="00513E64">
        <w:rPr>
          <w:rFonts w:eastAsia="Calibri" w:cs="Arial"/>
          <w:lang w:eastAsia="ca-ES"/>
        </w:rPr>
        <w:t>La mesura més imposada en la reincidència torna a ser una MPA, excepte en els delictes contra la propietat, per als quals s’imposa pena de presó en més gran proporció (54,2 %).</w:t>
      </w:r>
    </w:p>
    <w:p w:rsidR="00507FE7" w:rsidRPr="00513E64" w:rsidRDefault="00507FE7" w:rsidP="00A41348">
      <w:pPr>
        <w:spacing w:after="120"/>
        <w:rPr>
          <w:rFonts w:cs="Arial"/>
          <w:b/>
        </w:rPr>
      </w:pPr>
      <w:r w:rsidRPr="00513E64">
        <w:rPr>
          <w:rFonts w:cs="Arial"/>
          <w:b/>
        </w:rPr>
        <w:t>Dades sociodemogràfiques associades a les mesures aplicades l’any 2015</w:t>
      </w:r>
    </w:p>
    <w:tbl>
      <w:tblPr>
        <w:tblStyle w:val="Taulaambquadrcula"/>
        <w:tblW w:w="9072"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68"/>
        <w:gridCol w:w="1134"/>
        <w:gridCol w:w="1134"/>
        <w:gridCol w:w="1134"/>
        <w:gridCol w:w="1134"/>
        <w:gridCol w:w="1134"/>
        <w:gridCol w:w="1134"/>
      </w:tblGrid>
      <w:tr w:rsidR="00507FE7" w:rsidRPr="000E6719" w:rsidTr="00A41348">
        <w:tc>
          <w:tcPr>
            <w:tcW w:w="2268" w:type="dxa"/>
            <w:tcBorders>
              <w:bottom w:val="single" w:sz="12" w:space="0" w:color="auto"/>
            </w:tcBorders>
            <w:shd w:val="clear" w:color="auto" w:fill="D9D9D9" w:themeFill="background1" w:themeFillShade="D9"/>
          </w:tcPr>
          <w:p w:rsidR="00507FE7" w:rsidRPr="000E6719" w:rsidRDefault="00507FE7" w:rsidP="00A41348">
            <w:pPr>
              <w:rPr>
                <w:rFonts w:ascii="Arial Narrow" w:hAnsi="Arial Narrow" w:cs="Arial"/>
                <w:b/>
                <w:sz w:val="18"/>
                <w:szCs w:val="18"/>
              </w:rPr>
            </w:pPr>
            <w:r>
              <w:rPr>
                <w:rFonts w:ascii="Arial Narrow" w:hAnsi="Arial Narrow" w:cs="Arial"/>
                <w:b/>
                <w:sz w:val="18"/>
                <w:szCs w:val="18"/>
              </w:rPr>
              <w:t>M</w:t>
            </w:r>
            <w:r w:rsidRPr="000E6719">
              <w:rPr>
                <w:rFonts w:ascii="Arial Narrow" w:hAnsi="Arial Narrow" w:cs="Arial"/>
                <w:b/>
                <w:sz w:val="18"/>
                <w:szCs w:val="18"/>
              </w:rPr>
              <w:t>esura</w:t>
            </w:r>
          </w:p>
        </w:tc>
        <w:tc>
          <w:tcPr>
            <w:tcW w:w="1134" w:type="dxa"/>
            <w:tcBorders>
              <w:bottom w:val="single" w:sz="12" w:space="0" w:color="auto"/>
            </w:tcBorders>
            <w:shd w:val="clear" w:color="auto" w:fill="D9D9D9" w:themeFill="background1" w:themeFillShade="D9"/>
          </w:tcPr>
          <w:p w:rsidR="00507FE7" w:rsidRPr="000E6719" w:rsidRDefault="00507FE7" w:rsidP="00A41348">
            <w:pPr>
              <w:rPr>
                <w:rFonts w:ascii="Arial Narrow" w:hAnsi="Arial Narrow" w:cs="Arial"/>
                <w:b/>
                <w:sz w:val="18"/>
                <w:szCs w:val="18"/>
              </w:rPr>
            </w:pPr>
            <w:r>
              <w:rPr>
                <w:rFonts w:ascii="Arial Narrow" w:hAnsi="Arial Narrow" w:cs="Arial"/>
                <w:b/>
                <w:sz w:val="18"/>
                <w:szCs w:val="18"/>
              </w:rPr>
              <w:t>T</w:t>
            </w:r>
            <w:r w:rsidRPr="000E6719">
              <w:rPr>
                <w:rFonts w:ascii="Arial Narrow" w:hAnsi="Arial Narrow" w:cs="Arial"/>
                <w:b/>
                <w:sz w:val="18"/>
                <w:szCs w:val="18"/>
              </w:rPr>
              <w:t>otals</w:t>
            </w:r>
          </w:p>
        </w:tc>
        <w:tc>
          <w:tcPr>
            <w:tcW w:w="1134" w:type="dxa"/>
            <w:tcBorders>
              <w:bottom w:val="single" w:sz="12" w:space="0" w:color="auto"/>
            </w:tcBorders>
            <w:shd w:val="clear" w:color="auto" w:fill="D9D9D9" w:themeFill="background1" w:themeFillShade="D9"/>
          </w:tcPr>
          <w:p w:rsidR="00507FE7" w:rsidRPr="000E6719" w:rsidRDefault="00507FE7" w:rsidP="00A41348">
            <w:pPr>
              <w:rPr>
                <w:rFonts w:ascii="Arial Narrow" w:hAnsi="Arial Narrow" w:cs="Arial"/>
                <w:b/>
                <w:sz w:val="18"/>
                <w:szCs w:val="18"/>
              </w:rPr>
            </w:pPr>
            <w:r>
              <w:rPr>
                <w:rFonts w:ascii="Arial Narrow" w:hAnsi="Arial Narrow" w:cs="Arial"/>
                <w:b/>
                <w:sz w:val="18"/>
                <w:szCs w:val="18"/>
              </w:rPr>
              <w:t>D</w:t>
            </w:r>
            <w:r w:rsidRPr="000E6719">
              <w:rPr>
                <w:rFonts w:ascii="Arial Narrow" w:hAnsi="Arial Narrow" w:cs="Arial"/>
                <w:b/>
                <w:sz w:val="18"/>
                <w:szCs w:val="18"/>
              </w:rPr>
              <w:t>ones</w:t>
            </w:r>
          </w:p>
        </w:tc>
        <w:tc>
          <w:tcPr>
            <w:tcW w:w="1134" w:type="dxa"/>
            <w:tcBorders>
              <w:bottom w:val="single" w:sz="12" w:space="0" w:color="auto"/>
            </w:tcBorders>
            <w:shd w:val="clear" w:color="auto" w:fill="D9D9D9" w:themeFill="background1" w:themeFillShade="D9"/>
          </w:tcPr>
          <w:p w:rsidR="00507FE7" w:rsidRPr="000E6719" w:rsidRDefault="00507FE7" w:rsidP="00A41348">
            <w:pPr>
              <w:rPr>
                <w:rFonts w:ascii="Arial Narrow" w:hAnsi="Arial Narrow" w:cs="Arial"/>
                <w:b/>
                <w:sz w:val="18"/>
                <w:szCs w:val="18"/>
              </w:rPr>
            </w:pPr>
            <w:r>
              <w:rPr>
                <w:rFonts w:ascii="Arial Narrow" w:hAnsi="Arial Narrow" w:cs="Arial"/>
                <w:b/>
                <w:sz w:val="18"/>
                <w:szCs w:val="18"/>
              </w:rPr>
              <w:t>Es</w:t>
            </w:r>
            <w:r w:rsidRPr="000E6719">
              <w:rPr>
                <w:rFonts w:ascii="Arial Narrow" w:hAnsi="Arial Narrow" w:cs="Arial"/>
                <w:b/>
                <w:sz w:val="18"/>
                <w:szCs w:val="18"/>
              </w:rPr>
              <w:t>trangers</w:t>
            </w:r>
          </w:p>
        </w:tc>
        <w:tc>
          <w:tcPr>
            <w:tcW w:w="1134" w:type="dxa"/>
            <w:tcBorders>
              <w:bottom w:val="single" w:sz="12" w:space="0" w:color="auto"/>
            </w:tcBorders>
            <w:shd w:val="clear" w:color="auto" w:fill="D9D9D9" w:themeFill="background1" w:themeFillShade="D9"/>
          </w:tcPr>
          <w:p w:rsidR="00507FE7" w:rsidRPr="000E6719" w:rsidRDefault="00507FE7" w:rsidP="00A41348">
            <w:pPr>
              <w:rPr>
                <w:rFonts w:ascii="Arial Narrow" w:hAnsi="Arial Narrow" w:cs="Arial"/>
                <w:b/>
                <w:sz w:val="18"/>
                <w:szCs w:val="18"/>
              </w:rPr>
            </w:pPr>
            <w:r>
              <w:rPr>
                <w:rFonts w:ascii="Arial Narrow" w:hAnsi="Arial Narrow" w:cs="Arial"/>
                <w:b/>
                <w:sz w:val="18"/>
                <w:szCs w:val="18"/>
              </w:rPr>
              <w:t>A</w:t>
            </w:r>
            <w:r w:rsidRPr="000E6719">
              <w:rPr>
                <w:rFonts w:ascii="Arial Narrow" w:hAnsi="Arial Narrow" w:cs="Arial"/>
                <w:b/>
                <w:sz w:val="18"/>
                <w:szCs w:val="18"/>
              </w:rPr>
              <w:t>ntecedents</w:t>
            </w:r>
          </w:p>
        </w:tc>
        <w:tc>
          <w:tcPr>
            <w:tcW w:w="1134" w:type="dxa"/>
            <w:tcBorders>
              <w:bottom w:val="single" w:sz="12" w:space="0" w:color="auto"/>
            </w:tcBorders>
            <w:shd w:val="clear" w:color="auto" w:fill="D9D9D9" w:themeFill="background1" w:themeFillShade="D9"/>
          </w:tcPr>
          <w:p w:rsidR="00507FE7" w:rsidRPr="000E6719" w:rsidRDefault="00507FE7" w:rsidP="00A41348">
            <w:pPr>
              <w:rPr>
                <w:rFonts w:ascii="Arial Narrow" w:hAnsi="Arial Narrow" w:cs="Arial"/>
                <w:b/>
                <w:sz w:val="18"/>
                <w:szCs w:val="18"/>
              </w:rPr>
            </w:pPr>
            <w:r>
              <w:rPr>
                <w:rFonts w:ascii="Arial Narrow" w:hAnsi="Arial Narrow" w:cs="Arial"/>
                <w:b/>
                <w:sz w:val="18"/>
                <w:szCs w:val="18"/>
              </w:rPr>
              <w:t>C</w:t>
            </w:r>
            <w:r w:rsidRPr="000E6719">
              <w:rPr>
                <w:rFonts w:ascii="Arial Narrow" w:hAnsi="Arial Narrow" w:cs="Arial"/>
                <w:b/>
                <w:sz w:val="18"/>
                <w:szCs w:val="18"/>
              </w:rPr>
              <w:t>ompliment</w:t>
            </w:r>
          </w:p>
        </w:tc>
        <w:tc>
          <w:tcPr>
            <w:tcW w:w="1134" w:type="dxa"/>
            <w:tcBorders>
              <w:bottom w:val="single" w:sz="12" w:space="0" w:color="auto"/>
            </w:tcBorders>
            <w:shd w:val="clear" w:color="auto" w:fill="D9D9D9" w:themeFill="background1" w:themeFillShade="D9"/>
          </w:tcPr>
          <w:p w:rsidR="00507FE7" w:rsidRPr="000E6719" w:rsidRDefault="00507FE7" w:rsidP="00A41348">
            <w:pPr>
              <w:rPr>
                <w:rFonts w:ascii="Arial Narrow" w:hAnsi="Arial Narrow" w:cs="Arial"/>
                <w:b/>
                <w:sz w:val="18"/>
                <w:szCs w:val="18"/>
              </w:rPr>
            </w:pPr>
            <w:r>
              <w:rPr>
                <w:rFonts w:ascii="Arial Narrow" w:hAnsi="Arial Narrow" w:cs="Arial"/>
                <w:b/>
                <w:sz w:val="18"/>
                <w:szCs w:val="18"/>
              </w:rPr>
              <w:t>R</w:t>
            </w:r>
            <w:r w:rsidRPr="000E6719">
              <w:rPr>
                <w:rFonts w:ascii="Arial Narrow" w:hAnsi="Arial Narrow" w:cs="Arial"/>
                <w:b/>
                <w:sz w:val="18"/>
                <w:szCs w:val="18"/>
              </w:rPr>
              <w:t>eincidència</w:t>
            </w:r>
          </w:p>
        </w:tc>
      </w:tr>
      <w:tr w:rsidR="00507FE7" w:rsidRPr="000E6719" w:rsidTr="00A41348">
        <w:tc>
          <w:tcPr>
            <w:tcW w:w="2268" w:type="dxa"/>
            <w:tcBorders>
              <w:top w:val="single" w:sz="12" w:space="0" w:color="auto"/>
              <w:bottom w:val="single" w:sz="4" w:space="0" w:color="auto"/>
            </w:tcBorders>
            <w:tcMar>
              <w:top w:w="57" w:type="dxa"/>
            </w:tcMar>
          </w:tcPr>
          <w:p w:rsidR="00507FE7" w:rsidRPr="000E6719" w:rsidRDefault="00507FE7" w:rsidP="00A41348">
            <w:pPr>
              <w:rPr>
                <w:rFonts w:cs="Arial"/>
                <w:sz w:val="20"/>
                <w:szCs w:val="20"/>
              </w:rPr>
            </w:pPr>
            <w:r w:rsidRPr="000E6719">
              <w:rPr>
                <w:rFonts w:cs="Arial"/>
                <w:sz w:val="20"/>
                <w:szCs w:val="20"/>
              </w:rPr>
              <w:t>TBC</w:t>
            </w:r>
          </w:p>
        </w:tc>
        <w:tc>
          <w:tcPr>
            <w:tcW w:w="1134" w:type="dxa"/>
            <w:tcBorders>
              <w:top w:val="single" w:sz="12" w:space="0" w:color="auto"/>
              <w:bottom w:val="single" w:sz="4" w:space="0" w:color="auto"/>
            </w:tcBorders>
            <w:tcMar>
              <w:top w:w="57" w:type="dxa"/>
            </w:tcMar>
            <w:vAlign w:val="bottom"/>
          </w:tcPr>
          <w:p w:rsidR="00507FE7" w:rsidRPr="000E6719" w:rsidRDefault="00507FE7" w:rsidP="00A41348">
            <w:pPr>
              <w:jc w:val="right"/>
              <w:rPr>
                <w:rFonts w:cs="Arial"/>
                <w:sz w:val="20"/>
                <w:szCs w:val="20"/>
              </w:rPr>
            </w:pPr>
            <w:r w:rsidRPr="000E6719">
              <w:rPr>
                <w:rFonts w:cs="Arial"/>
                <w:sz w:val="20"/>
                <w:szCs w:val="20"/>
              </w:rPr>
              <w:t>6.807</w:t>
            </w:r>
          </w:p>
        </w:tc>
        <w:tc>
          <w:tcPr>
            <w:tcW w:w="1134" w:type="dxa"/>
            <w:tcBorders>
              <w:top w:val="single" w:sz="12" w:space="0" w:color="auto"/>
              <w:bottom w:val="single" w:sz="4" w:space="0" w:color="auto"/>
            </w:tcBorders>
            <w:tcMar>
              <w:top w:w="57" w:type="dxa"/>
            </w:tcMar>
            <w:vAlign w:val="bottom"/>
          </w:tcPr>
          <w:p w:rsidR="00507FE7" w:rsidRPr="000E6719" w:rsidRDefault="00507FE7" w:rsidP="00A41348">
            <w:pPr>
              <w:jc w:val="right"/>
              <w:rPr>
                <w:rFonts w:cs="Arial"/>
                <w:sz w:val="20"/>
                <w:szCs w:val="20"/>
              </w:rPr>
            </w:pPr>
            <w:r w:rsidRPr="000E6719">
              <w:rPr>
                <w:rFonts w:cs="Arial"/>
                <w:sz w:val="20"/>
                <w:szCs w:val="20"/>
              </w:rPr>
              <w:t>9</w:t>
            </w:r>
            <w:r>
              <w:rPr>
                <w:rFonts w:cs="Arial"/>
                <w:sz w:val="20"/>
                <w:szCs w:val="20"/>
              </w:rPr>
              <w:t xml:space="preserve"> </w:t>
            </w:r>
            <w:r w:rsidRPr="000E6719">
              <w:rPr>
                <w:rFonts w:cs="Arial"/>
                <w:sz w:val="20"/>
                <w:szCs w:val="20"/>
              </w:rPr>
              <w:t>%</w:t>
            </w:r>
          </w:p>
        </w:tc>
        <w:tc>
          <w:tcPr>
            <w:tcW w:w="1134" w:type="dxa"/>
            <w:tcBorders>
              <w:top w:val="single" w:sz="12" w:space="0" w:color="auto"/>
              <w:bottom w:val="single" w:sz="4" w:space="0" w:color="auto"/>
            </w:tcBorders>
            <w:tcMar>
              <w:top w:w="57" w:type="dxa"/>
            </w:tcMar>
            <w:vAlign w:val="bottom"/>
          </w:tcPr>
          <w:p w:rsidR="00507FE7" w:rsidRPr="000E6719" w:rsidRDefault="00507FE7" w:rsidP="00A41348">
            <w:pPr>
              <w:jc w:val="right"/>
              <w:rPr>
                <w:rFonts w:cs="Arial"/>
                <w:sz w:val="20"/>
                <w:szCs w:val="20"/>
              </w:rPr>
            </w:pPr>
            <w:r w:rsidRPr="000E6719">
              <w:rPr>
                <w:rFonts w:cs="Arial"/>
                <w:sz w:val="20"/>
                <w:szCs w:val="20"/>
              </w:rPr>
              <w:t>30</w:t>
            </w:r>
            <w:r>
              <w:rPr>
                <w:rFonts w:cs="Arial"/>
                <w:sz w:val="20"/>
                <w:szCs w:val="20"/>
              </w:rPr>
              <w:t xml:space="preserve"> </w:t>
            </w:r>
            <w:r w:rsidRPr="000E6719">
              <w:rPr>
                <w:rFonts w:cs="Arial"/>
                <w:sz w:val="20"/>
                <w:szCs w:val="20"/>
              </w:rPr>
              <w:t>%</w:t>
            </w:r>
          </w:p>
        </w:tc>
        <w:tc>
          <w:tcPr>
            <w:tcW w:w="1134" w:type="dxa"/>
            <w:tcBorders>
              <w:top w:val="single" w:sz="12" w:space="0" w:color="auto"/>
              <w:bottom w:val="single" w:sz="4" w:space="0" w:color="auto"/>
            </w:tcBorders>
            <w:tcMar>
              <w:top w:w="57" w:type="dxa"/>
            </w:tcMar>
            <w:vAlign w:val="bottom"/>
          </w:tcPr>
          <w:p w:rsidR="00507FE7" w:rsidRPr="000E6719" w:rsidRDefault="00507FE7" w:rsidP="00A41348">
            <w:pPr>
              <w:jc w:val="right"/>
              <w:rPr>
                <w:rFonts w:cs="Arial"/>
                <w:sz w:val="20"/>
                <w:szCs w:val="20"/>
              </w:rPr>
            </w:pPr>
            <w:r w:rsidRPr="000E6719">
              <w:rPr>
                <w:rFonts w:cs="Arial"/>
                <w:sz w:val="20"/>
                <w:szCs w:val="20"/>
              </w:rPr>
              <w:t>24</w:t>
            </w:r>
            <w:r>
              <w:rPr>
                <w:rFonts w:cs="Arial"/>
                <w:sz w:val="20"/>
                <w:szCs w:val="20"/>
              </w:rPr>
              <w:t xml:space="preserve"> </w:t>
            </w:r>
            <w:r w:rsidRPr="000E6719">
              <w:rPr>
                <w:rFonts w:cs="Arial"/>
                <w:sz w:val="20"/>
                <w:szCs w:val="20"/>
              </w:rPr>
              <w:t>%</w:t>
            </w:r>
          </w:p>
        </w:tc>
        <w:tc>
          <w:tcPr>
            <w:tcW w:w="1134" w:type="dxa"/>
            <w:tcBorders>
              <w:top w:val="single" w:sz="12" w:space="0" w:color="auto"/>
              <w:bottom w:val="single" w:sz="4" w:space="0" w:color="auto"/>
            </w:tcBorders>
            <w:tcMar>
              <w:top w:w="57" w:type="dxa"/>
            </w:tcMar>
            <w:vAlign w:val="bottom"/>
          </w:tcPr>
          <w:p w:rsidR="00507FE7" w:rsidRPr="000E6719" w:rsidRDefault="00507FE7" w:rsidP="00A41348">
            <w:pPr>
              <w:jc w:val="right"/>
              <w:rPr>
                <w:rFonts w:cs="Arial"/>
                <w:sz w:val="20"/>
                <w:szCs w:val="20"/>
              </w:rPr>
            </w:pPr>
            <w:r w:rsidRPr="000E6719">
              <w:rPr>
                <w:rFonts w:cs="Arial"/>
                <w:sz w:val="20"/>
                <w:szCs w:val="20"/>
              </w:rPr>
              <w:t>89</w:t>
            </w:r>
            <w:r>
              <w:rPr>
                <w:rFonts w:cs="Arial"/>
                <w:sz w:val="20"/>
                <w:szCs w:val="20"/>
              </w:rPr>
              <w:t xml:space="preserve"> </w:t>
            </w:r>
            <w:r w:rsidRPr="000E6719">
              <w:rPr>
                <w:rFonts w:cs="Arial"/>
                <w:sz w:val="20"/>
                <w:szCs w:val="20"/>
              </w:rPr>
              <w:t>%</w:t>
            </w:r>
          </w:p>
        </w:tc>
        <w:tc>
          <w:tcPr>
            <w:tcW w:w="1134" w:type="dxa"/>
            <w:tcBorders>
              <w:top w:val="single" w:sz="12" w:space="0" w:color="auto"/>
              <w:bottom w:val="single" w:sz="4" w:space="0" w:color="auto"/>
            </w:tcBorders>
            <w:tcMar>
              <w:top w:w="57" w:type="dxa"/>
            </w:tcMar>
            <w:vAlign w:val="bottom"/>
          </w:tcPr>
          <w:p w:rsidR="00507FE7" w:rsidRPr="000E6719" w:rsidRDefault="00507FE7" w:rsidP="00A41348">
            <w:pPr>
              <w:jc w:val="right"/>
              <w:rPr>
                <w:rFonts w:cs="Arial"/>
                <w:sz w:val="20"/>
                <w:szCs w:val="20"/>
              </w:rPr>
            </w:pPr>
            <w:r w:rsidRPr="000E6719">
              <w:rPr>
                <w:rFonts w:cs="Arial"/>
                <w:sz w:val="20"/>
                <w:szCs w:val="20"/>
              </w:rPr>
              <w:t>9,7</w:t>
            </w:r>
            <w:r>
              <w:rPr>
                <w:rFonts w:cs="Arial"/>
                <w:sz w:val="20"/>
                <w:szCs w:val="20"/>
              </w:rPr>
              <w:t xml:space="preserve"> </w:t>
            </w:r>
            <w:r w:rsidRPr="000E6719">
              <w:rPr>
                <w:rFonts w:cs="Arial"/>
                <w:sz w:val="20"/>
                <w:szCs w:val="20"/>
              </w:rPr>
              <w:t>%</w:t>
            </w:r>
          </w:p>
        </w:tc>
      </w:tr>
      <w:tr w:rsidR="00507FE7" w:rsidRPr="000E6719" w:rsidTr="00A41348">
        <w:tc>
          <w:tcPr>
            <w:tcW w:w="2268" w:type="dxa"/>
            <w:tcBorders>
              <w:top w:val="single" w:sz="4" w:space="0" w:color="auto"/>
              <w:bottom w:val="single" w:sz="4" w:space="0" w:color="auto"/>
            </w:tcBorders>
            <w:tcMar>
              <w:top w:w="57" w:type="dxa"/>
            </w:tcMar>
          </w:tcPr>
          <w:p w:rsidR="00507FE7" w:rsidRPr="000E6719" w:rsidRDefault="00507FE7" w:rsidP="00A41348">
            <w:pPr>
              <w:rPr>
                <w:rFonts w:cs="Arial"/>
                <w:sz w:val="20"/>
                <w:szCs w:val="20"/>
              </w:rPr>
            </w:pPr>
            <w:r>
              <w:rPr>
                <w:rFonts w:cs="Arial"/>
                <w:sz w:val="20"/>
                <w:szCs w:val="20"/>
              </w:rPr>
              <w:t>P</w:t>
            </w:r>
            <w:r w:rsidRPr="000E6719">
              <w:rPr>
                <w:rFonts w:cs="Arial"/>
                <w:sz w:val="20"/>
                <w:szCs w:val="20"/>
              </w:rPr>
              <w:t>rogrames formatius</w:t>
            </w:r>
          </w:p>
        </w:tc>
        <w:tc>
          <w:tcPr>
            <w:tcW w:w="1134" w:type="dxa"/>
            <w:tcBorders>
              <w:top w:val="single" w:sz="4" w:space="0" w:color="auto"/>
              <w:bottom w:val="single" w:sz="4" w:space="0" w:color="auto"/>
            </w:tcBorders>
            <w:tcMar>
              <w:top w:w="57" w:type="dxa"/>
            </w:tcMar>
            <w:vAlign w:val="bottom"/>
          </w:tcPr>
          <w:p w:rsidR="00507FE7" w:rsidRPr="000E6719" w:rsidRDefault="00507FE7" w:rsidP="00A41348">
            <w:pPr>
              <w:jc w:val="right"/>
              <w:rPr>
                <w:rFonts w:cs="Arial"/>
                <w:sz w:val="20"/>
                <w:szCs w:val="20"/>
              </w:rPr>
            </w:pPr>
            <w:r w:rsidRPr="000E6719">
              <w:rPr>
                <w:rFonts w:cs="Arial"/>
                <w:sz w:val="20"/>
                <w:szCs w:val="20"/>
              </w:rPr>
              <w:t>1.522</w:t>
            </w:r>
          </w:p>
        </w:tc>
        <w:tc>
          <w:tcPr>
            <w:tcW w:w="1134" w:type="dxa"/>
            <w:tcBorders>
              <w:top w:val="single" w:sz="4" w:space="0" w:color="auto"/>
              <w:bottom w:val="single" w:sz="4" w:space="0" w:color="auto"/>
            </w:tcBorders>
            <w:tcMar>
              <w:top w:w="57" w:type="dxa"/>
            </w:tcMar>
            <w:vAlign w:val="bottom"/>
          </w:tcPr>
          <w:p w:rsidR="00507FE7" w:rsidRPr="000E6719" w:rsidRDefault="00507FE7" w:rsidP="00A41348">
            <w:pPr>
              <w:jc w:val="right"/>
              <w:rPr>
                <w:rFonts w:cs="Arial"/>
                <w:sz w:val="20"/>
                <w:szCs w:val="20"/>
              </w:rPr>
            </w:pPr>
            <w:r w:rsidRPr="000E6719">
              <w:rPr>
                <w:rFonts w:cs="Arial"/>
                <w:sz w:val="20"/>
                <w:szCs w:val="20"/>
              </w:rPr>
              <w:t>5</w:t>
            </w:r>
            <w:r>
              <w:rPr>
                <w:rFonts w:cs="Arial"/>
                <w:sz w:val="20"/>
                <w:szCs w:val="20"/>
              </w:rPr>
              <w:t xml:space="preserve"> </w:t>
            </w:r>
            <w:r w:rsidRPr="000E6719">
              <w:rPr>
                <w:rFonts w:cs="Arial"/>
                <w:sz w:val="20"/>
                <w:szCs w:val="20"/>
              </w:rPr>
              <w:t>%</w:t>
            </w:r>
          </w:p>
        </w:tc>
        <w:tc>
          <w:tcPr>
            <w:tcW w:w="1134" w:type="dxa"/>
            <w:tcBorders>
              <w:top w:val="single" w:sz="4" w:space="0" w:color="auto"/>
              <w:bottom w:val="single" w:sz="4" w:space="0" w:color="auto"/>
            </w:tcBorders>
            <w:tcMar>
              <w:top w:w="57" w:type="dxa"/>
            </w:tcMar>
            <w:vAlign w:val="bottom"/>
          </w:tcPr>
          <w:p w:rsidR="00507FE7" w:rsidRPr="000E6719" w:rsidRDefault="00507FE7" w:rsidP="00A41348">
            <w:pPr>
              <w:jc w:val="right"/>
              <w:rPr>
                <w:rFonts w:cs="Arial"/>
                <w:sz w:val="20"/>
                <w:szCs w:val="20"/>
              </w:rPr>
            </w:pPr>
            <w:r w:rsidRPr="000E6719">
              <w:rPr>
                <w:rFonts w:cs="Arial"/>
                <w:sz w:val="20"/>
                <w:szCs w:val="20"/>
              </w:rPr>
              <w:t>33</w:t>
            </w:r>
            <w:r>
              <w:rPr>
                <w:rFonts w:cs="Arial"/>
                <w:sz w:val="20"/>
                <w:szCs w:val="20"/>
              </w:rPr>
              <w:t xml:space="preserve"> </w:t>
            </w:r>
            <w:r w:rsidRPr="000E6719">
              <w:rPr>
                <w:rFonts w:cs="Arial"/>
                <w:sz w:val="20"/>
                <w:szCs w:val="20"/>
              </w:rPr>
              <w:t>%</w:t>
            </w:r>
          </w:p>
        </w:tc>
        <w:tc>
          <w:tcPr>
            <w:tcW w:w="1134" w:type="dxa"/>
            <w:tcBorders>
              <w:top w:val="single" w:sz="4" w:space="0" w:color="auto"/>
              <w:bottom w:val="single" w:sz="4" w:space="0" w:color="auto"/>
            </w:tcBorders>
            <w:tcMar>
              <w:top w:w="57" w:type="dxa"/>
            </w:tcMar>
            <w:vAlign w:val="bottom"/>
          </w:tcPr>
          <w:p w:rsidR="00507FE7" w:rsidRPr="000E6719" w:rsidRDefault="00507FE7" w:rsidP="00A41348">
            <w:pPr>
              <w:jc w:val="right"/>
              <w:rPr>
                <w:rFonts w:cs="Arial"/>
                <w:sz w:val="20"/>
                <w:szCs w:val="20"/>
              </w:rPr>
            </w:pPr>
            <w:r w:rsidRPr="000E6719">
              <w:rPr>
                <w:rFonts w:cs="Arial"/>
                <w:sz w:val="20"/>
                <w:szCs w:val="20"/>
              </w:rPr>
              <w:t>29</w:t>
            </w:r>
            <w:r>
              <w:rPr>
                <w:rFonts w:cs="Arial"/>
                <w:sz w:val="20"/>
                <w:szCs w:val="20"/>
              </w:rPr>
              <w:t xml:space="preserve"> </w:t>
            </w:r>
            <w:r w:rsidRPr="000E6719">
              <w:rPr>
                <w:rFonts w:cs="Arial"/>
                <w:sz w:val="20"/>
                <w:szCs w:val="20"/>
              </w:rPr>
              <w:t>%</w:t>
            </w:r>
          </w:p>
        </w:tc>
        <w:tc>
          <w:tcPr>
            <w:tcW w:w="1134" w:type="dxa"/>
            <w:tcBorders>
              <w:top w:val="single" w:sz="4" w:space="0" w:color="auto"/>
              <w:bottom w:val="single" w:sz="4" w:space="0" w:color="auto"/>
            </w:tcBorders>
            <w:tcMar>
              <w:top w:w="57" w:type="dxa"/>
            </w:tcMar>
            <w:vAlign w:val="bottom"/>
          </w:tcPr>
          <w:p w:rsidR="00507FE7" w:rsidRPr="000E6719" w:rsidRDefault="00507FE7" w:rsidP="00A41348">
            <w:pPr>
              <w:jc w:val="right"/>
              <w:rPr>
                <w:rFonts w:cs="Arial"/>
                <w:sz w:val="20"/>
                <w:szCs w:val="20"/>
              </w:rPr>
            </w:pPr>
            <w:r w:rsidRPr="000E6719">
              <w:rPr>
                <w:rFonts w:cs="Arial"/>
                <w:sz w:val="20"/>
                <w:szCs w:val="20"/>
              </w:rPr>
              <w:t>93</w:t>
            </w:r>
            <w:r>
              <w:rPr>
                <w:rFonts w:cs="Arial"/>
                <w:sz w:val="20"/>
                <w:szCs w:val="20"/>
              </w:rPr>
              <w:t xml:space="preserve"> </w:t>
            </w:r>
            <w:r w:rsidRPr="000E6719">
              <w:rPr>
                <w:rFonts w:cs="Arial"/>
                <w:sz w:val="20"/>
                <w:szCs w:val="20"/>
              </w:rPr>
              <w:t>%</w:t>
            </w:r>
          </w:p>
        </w:tc>
        <w:tc>
          <w:tcPr>
            <w:tcW w:w="1134" w:type="dxa"/>
            <w:tcBorders>
              <w:top w:val="single" w:sz="4" w:space="0" w:color="auto"/>
              <w:bottom w:val="single" w:sz="4" w:space="0" w:color="auto"/>
            </w:tcBorders>
            <w:tcMar>
              <w:top w:w="57" w:type="dxa"/>
            </w:tcMar>
            <w:vAlign w:val="bottom"/>
          </w:tcPr>
          <w:p w:rsidR="00507FE7" w:rsidRPr="000E6719" w:rsidRDefault="00507FE7" w:rsidP="00A41348">
            <w:pPr>
              <w:jc w:val="right"/>
              <w:rPr>
                <w:rFonts w:cs="Arial"/>
                <w:sz w:val="20"/>
                <w:szCs w:val="20"/>
              </w:rPr>
            </w:pPr>
            <w:r w:rsidRPr="000E6719">
              <w:rPr>
                <w:rFonts w:cs="Arial"/>
                <w:sz w:val="20"/>
                <w:szCs w:val="20"/>
              </w:rPr>
              <w:t>9,7</w:t>
            </w:r>
            <w:r>
              <w:rPr>
                <w:rFonts w:cs="Arial"/>
                <w:sz w:val="20"/>
                <w:szCs w:val="20"/>
              </w:rPr>
              <w:t xml:space="preserve"> </w:t>
            </w:r>
            <w:r w:rsidRPr="000E6719">
              <w:rPr>
                <w:rFonts w:cs="Arial"/>
                <w:sz w:val="20"/>
                <w:szCs w:val="20"/>
              </w:rPr>
              <w:t>%</w:t>
            </w:r>
          </w:p>
        </w:tc>
      </w:tr>
      <w:tr w:rsidR="00507FE7" w:rsidRPr="000E6719" w:rsidTr="00A41348">
        <w:tc>
          <w:tcPr>
            <w:tcW w:w="2268" w:type="dxa"/>
            <w:tcBorders>
              <w:top w:val="single" w:sz="4" w:space="0" w:color="auto"/>
              <w:bottom w:val="single" w:sz="4" w:space="0" w:color="auto"/>
            </w:tcBorders>
            <w:tcMar>
              <w:top w:w="57" w:type="dxa"/>
            </w:tcMar>
          </w:tcPr>
          <w:p w:rsidR="00507FE7" w:rsidRPr="000E6719" w:rsidRDefault="00507FE7" w:rsidP="00A41348">
            <w:pPr>
              <w:rPr>
                <w:rFonts w:cs="Arial"/>
                <w:sz w:val="20"/>
                <w:szCs w:val="20"/>
              </w:rPr>
            </w:pPr>
            <w:r>
              <w:rPr>
                <w:rFonts w:cs="Arial"/>
                <w:sz w:val="20"/>
                <w:szCs w:val="20"/>
              </w:rPr>
              <w:t>T</w:t>
            </w:r>
            <w:r w:rsidRPr="000E6719">
              <w:rPr>
                <w:rFonts w:cs="Arial"/>
                <w:sz w:val="20"/>
                <w:szCs w:val="20"/>
              </w:rPr>
              <w:t>ractament ambulatori</w:t>
            </w:r>
          </w:p>
        </w:tc>
        <w:tc>
          <w:tcPr>
            <w:tcW w:w="1134" w:type="dxa"/>
            <w:tcBorders>
              <w:top w:val="single" w:sz="4" w:space="0" w:color="auto"/>
              <w:bottom w:val="single" w:sz="4" w:space="0" w:color="auto"/>
            </w:tcBorders>
            <w:tcMar>
              <w:top w:w="57" w:type="dxa"/>
            </w:tcMar>
            <w:vAlign w:val="bottom"/>
          </w:tcPr>
          <w:p w:rsidR="00507FE7" w:rsidRPr="000E6719" w:rsidRDefault="00507FE7" w:rsidP="00A41348">
            <w:pPr>
              <w:jc w:val="right"/>
              <w:rPr>
                <w:rFonts w:cs="Arial"/>
                <w:sz w:val="20"/>
                <w:szCs w:val="20"/>
              </w:rPr>
            </w:pPr>
            <w:r w:rsidRPr="000E6719">
              <w:rPr>
                <w:rFonts w:cs="Arial"/>
                <w:sz w:val="20"/>
                <w:szCs w:val="20"/>
              </w:rPr>
              <w:t>392</w:t>
            </w:r>
          </w:p>
        </w:tc>
        <w:tc>
          <w:tcPr>
            <w:tcW w:w="1134" w:type="dxa"/>
            <w:tcBorders>
              <w:top w:val="single" w:sz="4" w:space="0" w:color="auto"/>
              <w:bottom w:val="single" w:sz="4" w:space="0" w:color="auto"/>
            </w:tcBorders>
            <w:tcMar>
              <w:top w:w="57" w:type="dxa"/>
            </w:tcMar>
            <w:vAlign w:val="bottom"/>
          </w:tcPr>
          <w:p w:rsidR="00507FE7" w:rsidRPr="000E6719" w:rsidRDefault="00507FE7" w:rsidP="00A41348">
            <w:pPr>
              <w:jc w:val="right"/>
              <w:rPr>
                <w:rFonts w:cs="Arial"/>
                <w:sz w:val="20"/>
                <w:szCs w:val="20"/>
              </w:rPr>
            </w:pPr>
            <w:r w:rsidRPr="000E6719">
              <w:rPr>
                <w:rFonts w:cs="Arial"/>
                <w:sz w:val="20"/>
                <w:szCs w:val="20"/>
              </w:rPr>
              <w:t>13</w:t>
            </w:r>
            <w:r>
              <w:rPr>
                <w:rFonts w:cs="Arial"/>
                <w:sz w:val="20"/>
                <w:szCs w:val="20"/>
              </w:rPr>
              <w:t xml:space="preserve"> </w:t>
            </w:r>
            <w:r w:rsidRPr="000E6719">
              <w:rPr>
                <w:rFonts w:cs="Arial"/>
                <w:sz w:val="20"/>
                <w:szCs w:val="20"/>
              </w:rPr>
              <w:t>%</w:t>
            </w:r>
          </w:p>
        </w:tc>
        <w:tc>
          <w:tcPr>
            <w:tcW w:w="1134" w:type="dxa"/>
            <w:tcBorders>
              <w:top w:val="single" w:sz="4" w:space="0" w:color="auto"/>
              <w:bottom w:val="single" w:sz="4" w:space="0" w:color="auto"/>
            </w:tcBorders>
            <w:tcMar>
              <w:top w:w="57" w:type="dxa"/>
            </w:tcMar>
            <w:vAlign w:val="bottom"/>
          </w:tcPr>
          <w:p w:rsidR="00507FE7" w:rsidRPr="000E6719" w:rsidRDefault="00507FE7" w:rsidP="00A41348">
            <w:pPr>
              <w:jc w:val="right"/>
              <w:rPr>
                <w:rFonts w:cs="Arial"/>
                <w:sz w:val="20"/>
                <w:szCs w:val="20"/>
              </w:rPr>
            </w:pPr>
            <w:r w:rsidRPr="000E6719">
              <w:rPr>
                <w:rFonts w:cs="Arial"/>
                <w:sz w:val="20"/>
                <w:szCs w:val="20"/>
              </w:rPr>
              <w:t>15</w:t>
            </w:r>
            <w:r>
              <w:rPr>
                <w:rFonts w:cs="Arial"/>
                <w:sz w:val="20"/>
                <w:szCs w:val="20"/>
              </w:rPr>
              <w:t xml:space="preserve"> </w:t>
            </w:r>
            <w:r w:rsidRPr="000E6719">
              <w:rPr>
                <w:rFonts w:cs="Arial"/>
                <w:sz w:val="20"/>
                <w:szCs w:val="20"/>
              </w:rPr>
              <w:t>%</w:t>
            </w:r>
          </w:p>
        </w:tc>
        <w:tc>
          <w:tcPr>
            <w:tcW w:w="1134" w:type="dxa"/>
            <w:tcBorders>
              <w:top w:val="single" w:sz="4" w:space="0" w:color="auto"/>
              <w:bottom w:val="single" w:sz="4" w:space="0" w:color="auto"/>
            </w:tcBorders>
            <w:tcMar>
              <w:top w:w="57" w:type="dxa"/>
            </w:tcMar>
            <w:vAlign w:val="bottom"/>
          </w:tcPr>
          <w:p w:rsidR="00507FE7" w:rsidRPr="000E6719" w:rsidRDefault="00507FE7" w:rsidP="00A41348">
            <w:pPr>
              <w:jc w:val="right"/>
              <w:rPr>
                <w:rFonts w:cs="Arial"/>
                <w:sz w:val="20"/>
                <w:szCs w:val="20"/>
              </w:rPr>
            </w:pPr>
            <w:r w:rsidRPr="000E6719">
              <w:rPr>
                <w:rFonts w:cs="Arial"/>
                <w:sz w:val="20"/>
                <w:szCs w:val="20"/>
              </w:rPr>
              <w:t>62</w:t>
            </w:r>
            <w:r>
              <w:rPr>
                <w:rFonts w:cs="Arial"/>
                <w:sz w:val="20"/>
                <w:szCs w:val="20"/>
              </w:rPr>
              <w:t xml:space="preserve"> </w:t>
            </w:r>
            <w:r w:rsidRPr="000E6719">
              <w:rPr>
                <w:rFonts w:cs="Arial"/>
                <w:sz w:val="20"/>
                <w:szCs w:val="20"/>
              </w:rPr>
              <w:t>%</w:t>
            </w:r>
          </w:p>
        </w:tc>
        <w:tc>
          <w:tcPr>
            <w:tcW w:w="1134" w:type="dxa"/>
            <w:tcBorders>
              <w:top w:val="single" w:sz="4" w:space="0" w:color="auto"/>
              <w:bottom w:val="single" w:sz="4" w:space="0" w:color="auto"/>
            </w:tcBorders>
            <w:tcMar>
              <w:top w:w="57" w:type="dxa"/>
            </w:tcMar>
            <w:vAlign w:val="bottom"/>
          </w:tcPr>
          <w:p w:rsidR="00507FE7" w:rsidRPr="000E6719" w:rsidRDefault="00507FE7" w:rsidP="00A41348">
            <w:pPr>
              <w:jc w:val="right"/>
              <w:rPr>
                <w:rFonts w:cs="Arial"/>
                <w:sz w:val="20"/>
                <w:szCs w:val="20"/>
              </w:rPr>
            </w:pPr>
            <w:r w:rsidRPr="000E6719">
              <w:rPr>
                <w:rFonts w:cs="Arial"/>
                <w:sz w:val="20"/>
                <w:szCs w:val="20"/>
              </w:rPr>
              <w:t>78</w:t>
            </w:r>
            <w:r>
              <w:rPr>
                <w:rFonts w:cs="Arial"/>
                <w:sz w:val="20"/>
                <w:szCs w:val="20"/>
              </w:rPr>
              <w:t xml:space="preserve"> </w:t>
            </w:r>
            <w:r w:rsidRPr="000E6719">
              <w:rPr>
                <w:rFonts w:cs="Arial"/>
                <w:sz w:val="20"/>
                <w:szCs w:val="20"/>
              </w:rPr>
              <w:t>%</w:t>
            </w:r>
          </w:p>
        </w:tc>
        <w:tc>
          <w:tcPr>
            <w:tcW w:w="1134" w:type="dxa"/>
            <w:tcBorders>
              <w:top w:val="single" w:sz="4" w:space="0" w:color="auto"/>
              <w:bottom w:val="single" w:sz="4" w:space="0" w:color="auto"/>
            </w:tcBorders>
            <w:tcMar>
              <w:top w:w="57" w:type="dxa"/>
            </w:tcMar>
            <w:vAlign w:val="bottom"/>
          </w:tcPr>
          <w:p w:rsidR="00507FE7" w:rsidRPr="000E6719" w:rsidRDefault="00507FE7" w:rsidP="00A41348">
            <w:pPr>
              <w:jc w:val="right"/>
              <w:rPr>
                <w:rFonts w:cs="Arial"/>
                <w:sz w:val="20"/>
                <w:szCs w:val="20"/>
              </w:rPr>
            </w:pPr>
            <w:r w:rsidRPr="000E6719">
              <w:rPr>
                <w:rFonts w:cs="Arial"/>
                <w:sz w:val="20"/>
                <w:szCs w:val="20"/>
              </w:rPr>
              <w:t>11,7</w:t>
            </w:r>
            <w:r>
              <w:rPr>
                <w:rFonts w:cs="Arial"/>
                <w:sz w:val="20"/>
                <w:szCs w:val="20"/>
              </w:rPr>
              <w:t xml:space="preserve"> </w:t>
            </w:r>
            <w:r w:rsidRPr="000E6719">
              <w:rPr>
                <w:rFonts w:cs="Arial"/>
                <w:sz w:val="20"/>
                <w:szCs w:val="20"/>
              </w:rPr>
              <w:t>%</w:t>
            </w:r>
          </w:p>
        </w:tc>
      </w:tr>
      <w:tr w:rsidR="00507FE7" w:rsidRPr="000E6719" w:rsidTr="00A41348">
        <w:tc>
          <w:tcPr>
            <w:tcW w:w="2268" w:type="dxa"/>
            <w:tcBorders>
              <w:top w:val="single" w:sz="4" w:space="0" w:color="auto"/>
              <w:bottom w:val="single" w:sz="12" w:space="0" w:color="auto"/>
            </w:tcBorders>
            <w:tcMar>
              <w:top w:w="57" w:type="dxa"/>
            </w:tcMar>
          </w:tcPr>
          <w:p w:rsidR="00507FE7" w:rsidRPr="000E6719" w:rsidRDefault="00507FE7" w:rsidP="00A41348">
            <w:pPr>
              <w:rPr>
                <w:rFonts w:cs="Arial"/>
                <w:sz w:val="20"/>
                <w:szCs w:val="20"/>
              </w:rPr>
            </w:pPr>
            <w:r>
              <w:rPr>
                <w:rFonts w:cs="Arial"/>
                <w:sz w:val="20"/>
                <w:szCs w:val="20"/>
              </w:rPr>
              <w:t>I</w:t>
            </w:r>
            <w:r w:rsidRPr="000E6719">
              <w:rPr>
                <w:rFonts w:cs="Arial"/>
                <w:sz w:val="20"/>
                <w:szCs w:val="20"/>
              </w:rPr>
              <w:t>nternament</w:t>
            </w:r>
          </w:p>
        </w:tc>
        <w:tc>
          <w:tcPr>
            <w:tcW w:w="1134" w:type="dxa"/>
            <w:tcBorders>
              <w:top w:val="single" w:sz="4" w:space="0" w:color="auto"/>
              <w:bottom w:val="single" w:sz="12" w:space="0" w:color="auto"/>
            </w:tcBorders>
            <w:tcMar>
              <w:top w:w="57" w:type="dxa"/>
            </w:tcMar>
            <w:vAlign w:val="bottom"/>
          </w:tcPr>
          <w:p w:rsidR="00507FE7" w:rsidRPr="000E6719" w:rsidRDefault="00507FE7" w:rsidP="00A41348">
            <w:pPr>
              <w:jc w:val="right"/>
              <w:rPr>
                <w:rFonts w:cs="Arial"/>
                <w:sz w:val="20"/>
                <w:szCs w:val="20"/>
              </w:rPr>
            </w:pPr>
            <w:r w:rsidRPr="000E6719">
              <w:rPr>
                <w:rFonts w:cs="Arial"/>
                <w:sz w:val="20"/>
                <w:szCs w:val="20"/>
              </w:rPr>
              <w:t>118</w:t>
            </w:r>
          </w:p>
        </w:tc>
        <w:tc>
          <w:tcPr>
            <w:tcW w:w="1134" w:type="dxa"/>
            <w:tcBorders>
              <w:top w:val="single" w:sz="4" w:space="0" w:color="auto"/>
              <w:bottom w:val="single" w:sz="12" w:space="0" w:color="auto"/>
            </w:tcBorders>
            <w:tcMar>
              <w:top w:w="57" w:type="dxa"/>
            </w:tcMar>
            <w:vAlign w:val="bottom"/>
          </w:tcPr>
          <w:p w:rsidR="00507FE7" w:rsidRPr="000E6719" w:rsidRDefault="00507FE7" w:rsidP="00A41348">
            <w:pPr>
              <w:jc w:val="right"/>
              <w:rPr>
                <w:rFonts w:cs="Arial"/>
                <w:sz w:val="20"/>
                <w:szCs w:val="20"/>
              </w:rPr>
            </w:pPr>
            <w:r w:rsidRPr="000E6719">
              <w:rPr>
                <w:rFonts w:cs="Arial"/>
                <w:sz w:val="20"/>
                <w:szCs w:val="20"/>
              </w:rPr>
              <w:t>8</w:t>
            </w:r>
            <w:r>
              <w:rPr>
                <w:rFonts w:cs="Arial"/>
                <w:sz w:val="20"/>
                <w:szCs w:val="20"/>
              </w:rPr>
              <w:t xml:space="preserve"> </w:t>
            </w:r>
            <w:r w:rsidRPr="000E6719">
              <w:rPr>
                <w:rFonts w:cs="Arial"/>
                <w:sz w:val="20"/>
                <w:szCs w:val="20"/>
              </w:rPr>
              <w:t>%</w:t>
            </w:r>
          </w:p>
        </w:tc>
        <w:tc>
          <w:tcPr>
            <w:tcW w:w="1134" w:type="dxa"/>
            <w:tcBorders>
              <w:top w:val="single" w:sz="4" w:space="0" w:color="auto"/>
              <w:bottom w:val="single" w:sz="12" w:space="0" w:color="auto"/>
            </w:tcBorders>
            <w:tcMar>
              <w:top w:w="57" w:type="dxa"/>
            </w:tcMar>
            <w:vAlign w:val="bottom"/>
          </w:tcPr>
          <w:p w:rsidR="00507FE7" w:rsidRPr="000E6719" w:rsidRDefault="00507FE7" w:rsidP="00A41348">
            <w:pPr>
              <w:jc w:val="right"/>
              <w:rPr>
                <w:rFonts w:cs="Arial"/>
                <w:sz w:val="20"/>
                <w:szCs w:val="20"/>
              </w:rPr>
            </w:pPr>
            <w:r w:rsidRPr="000E6719">
              <w:rPr>
                <w:rFonts w:cs="Arial"/>
                <w:sz w:val="20"/>
                <w:szCs w:val="20"/>
              </w:rPr>
              <w:t>8</w:t>
            </w:r>
            <w:r>
              <w:rPr>
                <w:rFonts w:cs="Arial"/>
                <w:sz w:val="20"/>
                <w:szCs w:val="20"/>
              </w:rPr>
              <w:t xml:space="preserve"> </w:t>
            </w:r>
            <w:r w:rsidRPr="000E6719">
              <w:rPr>
                <w:rFonts w:cs="Arial"/>
                <w:sz w:val="20"/>
                <w:szCs w:val="20"/>
              </w:rPr>
              <w:t>%</w:t>
            </w:r>
          </w:p>
        </w:tc>
        <w:tc>
          <w:tcPr>
            <w:tcW w:w="1134" w:type="dxa"/>
            <w:tcBorders>
              <w:top w:val="single" w:sz="4" w:space="0" w:color="auto"/>
              <w:bottom w:val="single" w:sz="12" w:space="0" w:color="auto"/>
            </w:tcBorders>
            <w:tcMar>
              <w:top w:w="57" w:type="dxa"/>
            </w:tcMar>
            <w:vAlign w:val="bottom"/>
          </w:tcPr>
          <w:p w:rsidR="00507FE7" w:rsidRPr="000E6719" w:rsidRDefault="00507FE7" w:rsidP="00A41348">
            <w:pPr>
              <w:jc w:val="right"/>
              <w:rPr>
                <w:rFonts w:cs="Arial"/>
                <w:sz w:val="20"/>
                <w:szCs w:val="20"/>
              </w:rPr>
            </w:pPr>
            <w:r w:rsidRPr="000E6719">
              <w:rPr>
                <w:rFonts w:cs="Arial"/>
                <w:sz w:val="20"/>
                <w:szCs w:val="20"/>
              </w:rPr>
              <w:t>83</w:t>
            </w:r>
            <w:r>
              <w:rPr>
                <w:rFonts w:cs="Arial"/>
                <w:sz w:val="20"/>
                <w:szCs w:val="20"/>
              </w:rPr>
              <w:t xml:space="preserve"> </w:t>
            </w:r>
            <w:r w:rsidRPr="000E6719">
              <w:rPr>
                <w:rFonts w:cs="Arial"/>
                <w:sz w:val="20"/>
                <w:szCs w:val="20"/>
              </w:rPr>
              <w:t>%</w:t>
            </w:r>
          </w:p>
        </w:tc>
        <w:tc>
          <w:tcPr>
            <w:tcW w:w="1134" w:type="dxa"/>
            <w:tcBorders>
              <w:top w:val="single" w:sz="4" w:space="0" w:color="auto"/>
              <w:bottom w:val="single" w:sz="12" w:space="0" w:color="auto"/>
            </w:tcBorders>
            <w:tcMar>
              <w:top w:w="57" w:type="dxa"/>
            </w:tcMar>
            <w:vAlign w:val="bottom"/>
          </w:tcPr>
          <w:p w:rsidR="00507FE7" w:rsidRPr="000E6719" w:rsidRDefault="00507FE7" w:rsidP="00A41348">
            <w:pPr>
              <w:jc w:val="right"/>
              <w:rPr>
                <w:rFonts w:cs="Arial"/>
                <w:sz w:val="20"/>
                <w:szCs w:val="20"/>
              </w:rPr>
            </w:pPr>
            <w:r w:rsidRPr="000E6719">
              <w:rPr>
                <w:rFonts w:cs="Arial"/>
                <w:sz w:val="20"/>
                <w:szCs w:val="20"/>
              </w:rPr>
              <w:t>87</w:t>
            </w:r>
            <w:r>
              <w:rPr>
                <w:rFonts w:cs="Arial"/>
                <w:sz w:val="20"/>
                <w:szCs w:val="20"/>
              </w:rPr>
              <w:t xml:space="preserve"> </w:t>
            </w:r>
            <w:r w:rsidRPr="000E6719">
              <w:rPr>
                <w:rFonts w:cs="Arial"/>
                <w:sz w:val="20"/>
                <w:szCs w:val="20"/>
              </w:rPr>
              <w:t>%</w:t>
            </w:r>
          </w:p>
        </w:tc>
        <w:tc>
          <w:tcPr>
            <w:tcW w:w="1134" w:type="dxa"/>
            <w:tcBorders>
              <w:top w:val="single" w:sz="4" w:space="0" w:color="auto"/>
              <w:bottom w:val="single" w:sz="12" w:space="0" w:color="auto"/>
            </w:tcBorders>
            <w:tcMar>
              <w:top w:w="57" w:type="dxa"/>
            </w:tcMar>
            <w:vAlign w:val="bottom"/>
          </w:tcPr>
          <w:p w:rsidR="00507FE7" w:rsidRPr="000E6719" w:rsidRDefault="00507FE7" w:rsidP="00A41348">
            <w:pPr>
              <w:jc w:val="right"/>
              <w:rPr>
                <w:rFonts w:cs="Arial"/>
                <w:sz w:val="20"/>
                <w:szCs w:val="20"/>
              </w:rPr>
            </w:pPr>
            <w:r w:rsidRPr="000E6719">
              <w:rPr>
                <w:rFonts w:cs="Arial"/>
                <w:sz w:val="20"/>
                <w:szCs w:val="20"/>
              </w:rPr>
              <w:t>21,2</w:t>
            </w:r>
            <w:r>
              <w:rPr>
                <w:rFonts w:cs="Arial"/>
                <w:sz w:val="20"/>
                <w:szCs w:val="20"/>
              </w:rPr>
              <w:t xml:space="preserve"> </w:t>
            </w:r>
            <w:r w:rsidRPr="000E6719">
              <w:rPr>
                <w:rFonts w:cs="Arial"/>
                <w:sz w:val="20"/>
                <w:szCs w:val="20"/>
              </w:rPr>
              <w:t>%</w:t>
            </w:r>
          </w:p>
        </w:tc>
      </w:tr>
      <w:tr w:rsidR="00507FE7" w:rsidRPr="000E6719" w:rsidTr="00A41348">
        <w:tc>
          <w:tcPr>
            <w:tcW w:w="2268" w:type="dxa"/>
            <w:tcBorders>
              <w:top w:val="single" w:sz="12" w:space="0" w:color="auto"/>
            </w:tcBorders>
            <w:shd w:val="pct10" w:color="auto" w:fill="auto"/>
            <w:tcMar>
              <w:top w:w="57" w:type="dxa"/>
            </w:tcMar>
          </w:tcPr>
          <w:p w:rsidR="00507FE7" w:rsidRPr="000E6719" w:rsidRDefault="00507FE7" w:rsidP="00A41348">
            <w:pPr>
              <w:rPr>
                <w:rFonts w:cs="Arial"/>
                <w:b/>
                <w:sz w:val="20"/>
                <w:szCs w:val="20"/>
              </w:rPr>
            </w:pPr>
            <w:r>
              <w:rPr>
                <w:rFonts w:cs="Arial"/>
                <w:b/>
                <w:sz w:val="20"/>
                <w:szCs w:val="20"/>
              </w:rPr>
              <w:t>T</w:t>
            </w:r>
            <w:r w:rsidRPr="000E6719">
              <w:rPr>
                <w:rFonts w:cs="Arial"/>
                <w:b/>
                <w:sz w:val="20"/>
                <w:szCs w:val="20"/>
              </w:rPr>
              <w:t>otes</w:t>
            </w:r>
          </w:p>
        </w:tc>
        <w:tc>
          <w:tcPr>
            <w:tcW w:w="1134" w:type="dxa"/>
            <w:tcBorders>
              <w:top w:val="single" w:sz="12" w:space="0" w:color="auto"/>
            </w:tcBorders>
            <w:shd w:val="pct10" w:color="auto" w:fill="auto"/>
            <w:tcMar>
              <w:top w:w="57" w:type="dxa"/>
            </w:tcMar>
            <w:vAlign w:val="bottom"/>
          </w:tcPr>
          <w:p w:rsidR="00507FE7" w:rsidRPr="000E6719" w:rsidRDefault="00507FE7" w:rsidP="00A41348">
            <w:pPr>
              <w:jc w:val="right"/>
              <w:rPr>
                <w:rFonts w:cs="Arial"/>
                <w:b/>
                <w:sz w:val="20"/>
                <w:szCs w:val="20"/>
              </w:rPr>
            </w:pPr>
            <w:r w:rsidRPr="000E6719">
              <w:rPr>
                <w:rFonts w:cs="Arial"/>
                <w:b/>
                <w:sz w:val="20"/>
                <w:szCs w:val="20"/>
              </w:rPr>
              <w:t>8.839</w:t>
            </w:r>
          </w:p>
        </w:tc>
        <w:tc>
          <w:tcPr>
            <w:tcW w:w="1134" w:type="dxa"/>
            <w:tcBorders>
              <w:top w:val="single" w:sz="12" w:space="0" w:color="auto"/>
            </w:tcBorders>
            <w:shd w:val="pct10" w:color="auto" w:fill="auto"/>
            <w:tcMar>
              <w:top w:w="57" w:type="dxa"/>
            </w:tcMar>
            <w:vAlign w:val="bottom"/>
          </w:tcPr>
          <w:p w:rsidR="00507FE7" w:rsidRPr="000E6719" w:rsidRDefault="00507FE7" w:rsidP="00A41348">
            <w:pPr>
              <w:jc w:val="right"/>
              <w:rPr>
                <w:rFonts w:cs="Arial"/>
                <w:b/>
                <w:sz w:val="20"/>
                <w:szCs w:val="20"/>
              </w:rPr>
            </w:pPr>
            <w:r w:rsidRPr="000E6719">
              <w:rPr>
                <w:rFonts w:cs="Arial"/>
                <w:b/>
                <w:sz w:val="20"/>
                <w:szCs w:val="20"/>
              </w:rPr>
              <w:t>8</w:t>
            </w:r>
            <w:r>
              <w:rPr>
                <w:rFonts w:cs="Arial"/>
                <w:b/>
                <w:sz w:val="20"/>
                <w:szCs w:val="20"/>
              </w:rPr>
              <w:t xml:space="preserve"> </w:t>
            </w:r>
            <w:r w:rsidRPr="000E6719">
              <w:rPr>
                <w:rFonts w:cs="Arial"/>
                <w:b/>
                <w:sz w:val="20"/>
                <w:szCs w:val="20"/>
              </w:rPr>
              <w:t>%</w:t>
            </w:r>
          </w:p>
        </w:tc>
        <w:tc>
          <w:tcPr>
            <w:tcW w:w="1134" w:type="dxa"/>
            <w:tcBorders>
              <w:top w:val="single" w:sz="12" w:space="0" w:color="auto"/>
            </w:tcBorders>
            <w:shd w:val="pct10" w:color="auto" w:fill="auto"/>
            <w:tcMar>
              <w:top w:w="57" w:type="dxa"/>
            </w:tcMar>
            <w:vAlign w:val="bottom"/>
          </w:tcPr>
          <w:p w:rsidR="00507FE7" w:rsidRPr="000E6719" w:rsidRDefault="00507FE7" w:rsidP="00A41348">
            <w:pPr>
              <w:jc w:val="right"/>
              <w:rPr>
                <w:rFonts w:cs="Arial"/>
                <w:b/>
                <w:sz w:val="20"/>
                <w:szCs w:val="20"/>
              </w:rPr>
            </w:pPr>
            <w:r w:rsidRPr="000E6719">
              <w:rPr>
                <w:rFonts w:cs="Arial"/>
                <w:b/>
                <w:sz w:val="20"/>
                <w:szCs w:val="20"/>
              </w:rPr>
              <w:t>30</w:t>
            </w:r>
            <w:r>
              <w:rPr>
                <w:rFonts w:cs="Arial"/>
                <w:b/>
                <w:sz w:val="20"/>
                <w:szCs w:val="20"/>
              </w:rPr>
              <w:t xml:space="preserve"> </w:t>
            </w:r>
            <w:r w:rsidRPr="000E6719">
              <w:rPr>
                <w:rFonts w:cs="Arial"/>
                <w:b/>
                <w:sz w:val="20"/>
                <w:szCs w:val="20"/>
              </w:rPr>
              <w:t>%</w:t>
            </w:r>
          </w:p>
        </w:tc>
        <w:tc>
          <w:tcPr>
            <w:tcW w:w="1134" w:type="dxa"/>
            <w:tcBorders>
              <w:top w:val="single" w:sz="12" w:space="0" w:color="auto"/>
            </w:tcBorders>
            <w:shd w:val="pct10" w:color="auto" w:fill="auto"/>
            <w:tcMar>
              <w:top w:w="57" w:type="dxa"/>
            </w:tcMar>
            <w:vAlign w:val="bottom"/>
          </w:tcPr>
          <w:p w:rsidR="00507FE7" w:rsidRPr="000E6719" w:rsidRDefault="00507FE7" w:rsidP="00A41348">
            <w:pPr>
              <w:jc w:val="right"/>
              <w:rPr>
                <w:rFonts w:cs="Arial"/>
                <w:b/>
                <w:sz w:val="20"/>
                <w:szCs w:val="20"/>
              </w:rPr>
            </w:pPr>
            <w:r w:rsidRPr="000E6719">
              <w:rPr>
                <w:rFonts w:cs="Arial"/>
                <w:b/>
                <w:sz w:val="20"/>
                <w:szCs w:val="20"/>
              </w:rPr>
              <w:t>24</w:t>
            </w:r>
            <w:r>
              <w:rPr>
                <w:rFonts w:cs="Arial"/>
                <w:b/>
                <w:sz w:val="20"/>
                <w:szCs w:val="20"/>
              </w:rPr>
              <w:t xml:space="preserve"> </w:t>
            </w:r>
            <w:r w:rsidRPr="000E6719">
              <w:rPr>
                <w:rFonts w:cs="Arial"/>
                <w:b/>
                <w:sz w:val="20"/>
                <w:szCs w:val="20"/>
              </w:rPr>
              <w:t>%</w:t>
            </w:r>
          </w:p>
        </w:tc>
        <w:tc>
          <w:tcPr>
            <w:tcW w:w="1134" w:type="dxa"/>
            <w:tcBorders>
              <w:top w:val="single" w:sz="12" w:space="0" w:color="auto"/>
            </w:tcBorders>
            <w:shd w:val="pct10" w:color="auto" w:fill="auto"/>
            <w:tcMar>
              <w:top w:w="57" w:type="dxa"/>
            </w:tcMar>
            <w:vAlign w:val="bottom"/>
          </w:tcPr>
          <w:p w:rsidR="00507FE7" w:rsidRPr="000E6719" w:rsidRDefault="00507FE7" w:rsidP="00A41348">
            <w:pPr>
              <w:jc w:val="right"/>
              <w:rPr>
                <w:rFonts w:cs="Arial"/>
                <w:b/>
                <w:sz w:val="20"/>
                <w:szCs w:val="20"/>
              </w:rPr>
            </w:pPr>
            <w:r w:rsidRPr="000E6719">
              <w:rPr>
                <w:rFonts w:cs="Arial"/>
                <w:b/>
                <w:sz w:val="20"/>
                <w:szCs w:val="20"/>
              </w:rPr>
              <w:t>89</w:t>
            </w:r>
            <w:r>
              <w:rPr>
                <w:rFonts w:cs="Arial"/>
                <w:b/>
                <w:sz w:val="20"/>
                <w:szCs w:val="20"/>
              </w:rPr>
              <w:t xml:space="preserve"> </w:t>
            </w:r>
            <w:r w:rsidRPr="000E6719">
              <w:rPr>
                <w:rFonts w:cs="Arial"/>
                <w:b/>
                <w:sz w:val="20"/>
                <w:szCs w:val="20"/>
              </w:rPr>
              <w:t>%</w:t>
            </w:r>
          </w:p>
        </w:tc>
        <w:tc>
          <w:tcPr>
            <w:tcW w:w="1134" w:type="dxa"/>
            <w:tcBorders>
              <w:top w:val="single" w:sz="12" w:space="0" w:color="auto"/>
            </w:tcBorders>
            <w:shd w:val="pct10" w:color="auto" w:fill="auto"/>
            <w:tcMar>
              <w:top w:w="57" w:type="dxa"/>
            </w:tcMar>
            <w:vAlign w:val="bottom"/>
          </w:tcPr>
          <w:p w:rsidR="00507FE7" w:rsidRPr="000E6719" w:rsidRDefault="00507FE7" w:rsidP="00A41348">
            <w:pPr>
              <w:jc w:val="right"/>
              <w:rPr>
                <w:rFonts w:cs="Arial"/>
                <w:b/>
                <w:sz w:val="20"/>
                <w:szCs w:val="20"/>
              </w:rPr>
            </w:pPr>
            <w:r w:rsidRPr="000E6719">
              <w:rPr>
                <w:rFonts w:cs="Arial"/>
                <w:b/>
                <w:sz w:val="20"/>
                <w:szCs w:val="20"/>
              </w:rPr>
              <w:t>10,4</w:t>
            </w:r>
            <w:r>
              <w:rPr>
                <w:rFonts w:cs="Arial"/>
                <w:b/>
                <w:sz w:val="20"/>
                <w:szCs w:val="20"/>
              </w:rPr>
              <w:t xml:space="preserve"> </w:t>
            </w:r>
            <w:r w:rsidRPr="000E6719">
              <w:rPr>
                <w:rFonts w:cs="Arial"/>
                <w:b/>
                <w:sz w:val="20"/>
                <w:szCs w:val="20"/>
              </w:rPr>
              <w:t>%</w:t>
            </w:r>
          </w:p>
        </w:tc>
      </w:tr>
    </w:tbl>
    <w:p w:rsidR="00507FE7" w:rsidRPr="000E6719" w:rsidRDefault="00507FE7" w:rsidP="00A41348">
      <w:pPr>
        <w:rPr>
          <w:rFonts w:cs="Arial"/>
          <w:b/>
          <w:sz w:val="28"/>
          <w:szCs w:val="28"/>
        </w:rPr>
      </w:pPr>
    </w:p>
    <w:p w:rsidR="00507FE7" w:rsidRPr="000E6719" w:rsidRDefault="00507FE7" w:rsidP="00A41348">
      <w:pPr>
        <w:spacing w:after="120"/>
        <w:rPr>
          <w:rFonts w:cs="Arial"/>
          <w:i/>
          <w:sz w:val="20"/>
          <w:szCs w:val="20"/>
        </w:rPr>
      </w:pPr>
      <w:r w:rsidRPr="000E6719">
        <w:rPr>
          <w:rFonts w:cs="Arial"/>
          <w:i/>
          <w:sz w:val="20"/>
          <w:szCs w:val="20"/>
        </w:rPr>
        <w:lastRenderedPageBreak/>
        <w:t>Delictes que originen les mesures aplicades l’any 2015</w:t>
      </w:r>
    </w:p>
    <w:tbl>
      <w:tblPr>
        <w:tblStyle w:val="Taulaambquadrcula"/>
        <w:tblW w:w="9072"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1134"/>
        <w:gridCol w:w="850"/>
        <w:gridCol w:w="993"/>
        <w:gridCol w:w="1134"/>
        <w:gridCol w:w="1134"/>
        <w:gridCol w:w="1275"/>
      </w:tblGrid>
      <w:tr w:rsidR="00507FE7" w:rsidRPr="000E6719" w:rsidTr="00A41348">
        <w:tc>
          <w:tcPr>
            <w:tcW w:w="2552" w:type="dxa"/>
            <w:tcBorders>
              <w:bottom w:val="single" w:sz="12" w:space="0" w:color="auto"/>
            </w:tcBorders>
            <w:shd w:val="clear" w:color="auto" w:fill="D9D9D9" w:themeFill="background1" w:themeFillShade="D9"/>
          </w:tcPr>
          <w:p w:rsidR="00507FE7" w:rsidRPr="000E6719" w:rsidRDefault="00507FE7" w:rsidP="00A41348">
            <w:pPr>
              <w:rPr>
                <w:rFonts w:ascii="Arial Narrow" w:hAnsi="Arial Narrow" w:cs="Arial"/>
                <w:b/>
                <w:sz w:val="18"/>
                <w:szCs w:val="18"/>
              </w:rPr>
            </w:pPr>
            <w:r>
              <w:rPr>
                <w:rFonts w:ascii="Arial Narrow" w:hAnsi="Arial Narrow" w:cs="Arial"/>
                <w:b/>
                <w:sz w:val="18"/>
                <w:szCs w:val="18"/>
              </w:rPr>
              <w:t>T</w:t>
            </w:r>
            <w:r w:rsidRPr="000E6719">
              <w:rPr>
                <w:rFonts w:ascii="Arial Narrow" w:hAnsi="Arial Narrow" w:cs="Arial"/>
                <w:b/>
                <w:sz w:val="18"/>
                <w:szCs w:val="18"/>
              </w:rPr>
              <w:t>ipus delicte</w:t>
            </w:r>
          </w:p>
        </w:tc>
        <w:tc>
          <w:tcPr>
            <w:tcW w:w="1134" w:type="dxa"/>
            <w:tcBorders>
              <w:bottom w:val="single" w:sz="12" w:space="0" w:color="auto"/>
            </w:tcBorders>
            <w:shd w:val="clear" w:color="auto" w:fill="D9D9D9" w:themeFill="background1" w:themeFillShade="D9"/>
          </w:tcPr>
          <w:p w:rsidR="00507FE7" w:rsidRPr="000E6719" w:rsidRDefault="00507FE7" w:rsidP="00A41348">
            <w:pPr>
              <w:rPr>
                <w:rFonts w:ascii="Arial Narrow" w:hAnsi="Arial Narrow" w:cs="Arial"/>
                <w:b/>
                <w:sz w:val="18"/>
                <w:szCs w:val="18"/>
              </w:rPr>
            </w:pPr>
            <w:r>
              <w:rPr>
                <w:rFonts w:ascii="Arial Narrow" w:hAnsi="Arial Narrow" w:cs="Arial"/>
                <w:b/>
                <w:sz w:val="18"/>
                <w:szCs w:val="18"/>
              </w:rPr>
              <w:t>P</w:t>
            </w:r>
            <w:r w:rsidRPr="000E6719">
              <w:rPr>
                <w:rFonts w:ascii="Arial Narrow" w:hAnsi="Arial Narrow" w:cs="Arial"/>
                <w:b/>
                <w:sz w:val="18"/>
                <w:szCs w:val="18"/>
              </w:rPr>
              <w:t>ersones</w:t>
            </w:r>
          </w:p>
        </w:tc>
        <w:tc>
          <w:tcPr>
            <w:tcW w:w="850" w:type="dxa"/>
            <w:tcBorders>
              <w:bottom w:val="single" w:sz="12" w:space="0" w:color="auto"/>
            </w:tcBorders>
            <w:shd w:val="clear" w:color="auto" w:fill="D9D9D9" w:themeFill="background1" w:themeFillShade="D9"/>
          </w:tcPr>
          <w:p w:rsidR="00507FE7" w:rsidRPr="000E6719" w:rsidRDefault="00507FE7" w:rsidP="00A41348">
            <w:pPr>
              <w:rPr>
                <w:rFonts w:ascii="Arial Narrow" w:hAnsi="Arial Narrow" w:cs="Arial"/>
                <w:b/>
                <w:sz w:val="18"/>
                <w:szCs w:val="18"/>
              </w:rPr>
            </w:pPr>
            <w:r>
              <w:rPr>
                <w:rFonts w:ascii="Arial Narrow" w:hAnsi="Arial Narrow" w:cs="Arial"/>
                <w:b/>
                <w:sz w:val="18"/>
                <w:szCs w:val="18"/>
              </w:rPr>
              <w:t>D</w:t>
            </w:r>
            <w:r w:rsidRPr="000E6719">
              <w:rPr>
                <w:rFonts w:ascii="Arial Narrow" w:hAnsi="Arial Narrow" w:cs="Arial"/>
                <w:b/>
                <w:sz w:val="18"/>
                <w:szCs w:val="18"/>
              </w:rPr>
              <w:t>ones</w:t>
            </w:r>
          </w:p>
        </w:tc>
        <w:tc>
          <w:tcPr>
            <w:tcW w:w="993" w:type="dxa"/>
            <w:tcBorders>
              <w:bottom w:val="single" w:sz="12" w:space="0" w:color="auto"/>
            </w:tcBorders>
            <w:shd w:val="clear" w:color="auto" w:fill="D9D9D9" w:themeFill="background1" w:themeFillShade="D9"/>
          </w:tcPr>
          <w:p w:rsidR="00507FE7" w:rsidRPr="000E6719" w:rsidRDefault="00507FE7" w:rsidP="00A41348">
            <w:pPr>
              <w:rPr>
                <w:rFonts w:ascii="Arial Narrow" w:hAnsi="Arial Narrow" w:cs="Arial"/>
                <w:b/>
                <w:sz w:val="18"/>
                <w:szCs w:val="18"/>
              </w:rPr>
            </w:pPr>
            <w:r>
              <w:rPr>
                <w:rFonts w:ascii="Arial Narrow" w:hAnsi="Arial Narrow" w:cs="Arial"/>
                <w:b/>
                <w:sz w:val="18"/>
                <w:szCs w:val="18"/>
              </w:rPr>
              <w:t>E</w:t>
            </w:r>
            <w:r w:rsidRPr="000E6719">
              <w:rPr>
                <w:rFonts w:ascii="Arial Narrow" w:hAnsi="Arial Narrow" w:cs="Arial"/>
                <w:b/>
                <w:sz w:val="18"/>
                <w:szCs w:val="18"/>
              </w:rPr>
              <w:t>strangers</w:t>
            </w:r>
          </w:p>
        </w:tc>
        <w:tc>
          <w:tcPr>
            <w:tcW w:w="1134" w:type="dxa"/>
            <w:tcBorders>
              <w:bottom w:val="single" w:sz="12" w:space="0" w:color="auto"/>
            </w:tcBorders>
            <w:shd w:val="clear" w:color="auto" w:fill="D9D9D9" w:themeFill="background1" w:themeFillShade="D9"/>
          </w:tcPr>
          <w:p w:rsidR="00507FE7" w:rsidRPr="000E6719" w:rsidRDefault="00507FE7" w:rsidP="00A41348">
            <w:pPr>
              <w:rPr>
                <w:rFonts w:ascii="Arial Narrow" w:hAnsi="Arial Narrow" w:cs="Arial"/>
                <w:b/>
                <w:sz w:val="18"/>
                <w:szCs w:val="18"/>
              </w:rPr>
            </w:pPr>
            <w:r>
              <w:rPr>
                <w:rFonts w:ascii="Arial Narrow" w:hAnsi="Arial Narrow" w:cs="Arial"/>
                <w:b/>
                <w:sz w:val="18"/>
                <w:szCs w:val="18"/>
              </w:rPr>
              <w:t>A</w:t>
            </w:r>
            <w:r w:rsidRPr="000E6719">
              <w:rPr>
                <w:rFonts w:ascii="Arial Narrow" w:hAnsi="Arial Narrow" w:cs="Arial"/>
                <w:b/>
                <w:sz w:val="18"/>
                <w:szCs w:val="18"/>
              </w:rPr>
              <w:t>ntecedents</w:t>
            </w:r>
          </w:p>
        </w:tc>
        <w:tc>
          <w:tcPr>
            <w:tcW w:w="1134" w:type="dxa"/>
            <w:tcBorders>
              <w:bottom w:val="single" w:sz="12" w:space="0" w:color="auto"/>
            </w:tcBorders>
            <w:shd w:val="clear" w:color="auto" w:fill="D9D9D9" w:themeFill="background1" w:themeFillShade="D9"/>
          </w:tcPr>
          <w:p w:rsidR="00507FE7" w:rsidRPr="000E6719" w:rsidRDefault="00507FE7" w:rsidP="00A41348">
            <w:pPr>
              <w:rPr>
                <w:rFonts w:ascii="Arial Narrow" w:hAnsi="Arial Narrow" w:cs="Arial"/>
                <w:b/>
                <w:sz w:val="18"/>
                <w:szCs w:val="18"/>
              </w:rPr>
            </w:pPr>
            <w:r>
              <w:rPr>
                <w:rFonts w:ascii="Arial Narrow" w:hAnsi="Arial Narrow" w:cs="Arial"/>
                <w:b/>
                <w:sz w:val="18"/>
                <w:szCs w:val="18"/>
              </w:rPr>
              <w:t>C</w:t>
            </w:r>
            <w:r w:rsidRPr="000E6719">
              <w:rPr>
                <w:rFonts w:ascii="Arial Narrow" w:hAnsi="Arial Narrow" w:cs="Arial"/>
                <w:b/>
                <w:sz w:val="18"/>
                <w:szCs w:val="18"/>
              </w:rPr>
              <w:t>ompliment</w:t>
            </w:r>
          </w:p>
        </w:tc>
        <w:tc>
          <w:tcPr>
            <w:tcW w:w="1275" w:type="dxa"/>
            <w:tcBorders>
              <w:bottom w:val="single" w:sz="12" w:space="0" w:color="auto"/>
            </w:tcBorders>
            <w:shd w:val="clear" w:color="auto" w:fill="D9D9D9" w:themeFill="background1" w:themeFillShade="D9"/>
          </w:tcPr>
          <w:p w:rsidR="00507FE7" w:rsidRPr="000E6719" w:rsidRDefault="00507FE7" w:rsidP="00A41348">
            <w:pPr>
              <w:rPr>
                <w:rFonts w:ascii="Arial Narrow" w:hAnsi="Arial Narrow" w:cs="Arial"/>
                <w:b/>
                <w:sz w:val="18"/>
                <w:szCs w:val="18"/>
              </w:rPr>
            </w:pPr>
            <w:r>
              <w:rPr>
                <w:rFonts w:ascii="Arial Narrow" w:hAnsi="Arial Narrow" w:cs="Arial"/>
                <w:b/>
                <w:sz w:val="18"/>
                <w:szCs w:val="18"/>
              </w:rPr>
              <w:t>R</w:t>
            </w:r>
            <w:r w:rsidRPr="000E6719">
              <w:rPr>
                <w:rFonts w:ascii="Arial Narrow" w:hAnsi="Arial Narrow" w:cs="Arial"/>
                <w:b/>
                <w:sz w:val="18"/>
                <w:szCs w:val="18"/>
              </w:rPr>
              <w:t>eincidència</w:t>
            </w:r>
          </w:p>
        </w:tc>
      </w:tr>
      <w:tr w:rsidR="00507FE7" w:rsidRPr="000E6719" w:rsidTr="00A41348">
        <w:tc>
          <w:tcPr>
            <w:tcW w:w="2552" w:type="dxa"/>
            <w:tcBorders>
              <w:top w:val="single" w:sz="12" w:space="0" w:color="auto"/>
              <w:bottom w:val="single" w:sz="4" w:space="0" w:color="auto"/>
            </w:tcBorders>
          </w:tcPr>
          <w:p w:rsidR="00507FE7" w:rsidRPr="000E6719" w:rsidRDefault="00507FE7" w:rsidP="00A41348">
            <w:pPr>
              <w:rPr>
                <w:rFonts w:cs="Arial"/>
                <w:sz w:val="20"/>
                <w:szCs w:val="20"/>
              </w:rPr>
            </w:pPr>
            <w:r>
              <w:rPr>
                <w:rFonts w:cs="Arial"/>
                <w:sz w:val="20"/>
                <w:szCs w:val="20"/>
              </w:rPr>
              <w:t>T</w:t>
            </w:r>
            <w:r w:rsidRPr="000E6719">
              <w:rPr>
                <w:rFonts w:cs="Arial"/>
                <w:sz w:val="20"/>
                <w:szCs w:val="20"/>
              </w:rPr>
              <w:t>rànsit</w:t>
            </w:r>
          </w:p>
        </w:tc>
        <w:tc>
          <w:tcPr>
            <w:tcW w:w="1134" w:type="dxa"/>
            <w:tcBorders>
              <w:top w:val="single" w:sz="12" w:space="0" w:color="auto"/>
              <w:bottom w:val="single" w:sz="4" w:space="0" w:color="auto"/>
            </w:tcBorders>
            <w:vAlign w:val="bottom"/>
          </w:tcPr>
          <w:p w:rsidR="00507FE7" w:rsidRPr="000E6719" w:rsidRDefault="00507FE7" w:rsidP="00A41348">
            <w:pPr>
              <w:ind w:right="57"/>
              <w:jc w:val="right"/>
              <w:rPr>
                <w:rFonts w:cs="Arial"/>
                <w:sz w:val="20"/>
                <w:szCs w:val="20"/>
              </w:rPr>
            </w:pPr>
            <w:r w:rsidRPr="000E6719">
              <w:rPr>
                <w:rFonts w:cs="Arial"/>
                <w:sz w:val="20"/>
                <w:szCs w:val="20"/>
              </w:rPr>
              <w:t>6.268</w:t>
            </w:r>
          </w:p>
        </w:tc>
        <w:tc>
          <w:tcPr>
            <w:tcW w:w="850" w:type="dxa"/>
            <w:tcBorders>
              <w:top w:val="single" w:sz="12" w:space="0" w:color="auto"/>
              <w:bottom w:val="single" w:sz="4" w:space="0" w:color="auto"/>
            </w:tcBorders>
            <w:vAlign w:val="bottom"/>
          </w:tcPr>
          <w:p w:rsidR="00507FE7" w:rsidRPr="000E6719" w:rsidRDefault="00507FE7" w:rsidP="00A41348">
            <w:pPr>
              <w:ind w:right="57"/>
              <w:jc w:val="right"/>
              <w:rPr>
                <w:rFonts w:cs="Arial"/>
                <w:sz w:val="20"/>
                <w:szCs w:val="20"/>
              </w:rPr>
            </w:pPr>
            <w:r w:rsidRPr="000E6719">
              <w:rPr>
                <w:rFonts w:cs="Arial"/>
                <w:sz w:val="20"/>
                <w:szCs w:val="20"/>
              </w:rPr>
              <w:t>8</w:t>
            </w:r>
            <w:r>
              <w:rPr>
                <w:rFonts w:cs="Arial"/>
                <w:sz w:val="20"/>
                <w:szCs w:val="20"/>
              </w:rPr>
              <w:t xml:space="preserve"> </w:t>
            </w:r>
            <w:r w:rsidRPr="000E6719">
              <w:rPr>
                <w:rFonts w:cs="Arial"/>
                <w:sz w:val="20"/>
                <w:szCs w:val="20"/>
              </w:rPr>
              <w:t>%</w:t>
            </w:r>
          </w:p>
        </w:tc>
        <w:tc>
          <w:tcPr>
            <w:tcW w:w="993" w:type="dxa"/>
            <w:tcBorders>
              <w:top w:val="single" w:sz="12" w:space="0" w:color="auto"/>
              <w:bottom w:val="single" w:sz="4" w:space="0" w:color="auto"/>
            </w:tcBorders>
            <w:vAlign w:val="bottom"/>
          </w:tcPr>
          <w:p w:rsidR="00507FE7" w:rsidRPr="000E6719" w:rsidRDefault="00507FE7" w:rsidP="00A41348">
            <w:pPr>
              <w:ind w:right="57"/>
              <w:jc w:val="right"/>
              <w:rPr>
                <w:rFonts w:cs="Arial"/>
                <w:sz w:val="20"/>
                <w:szCs w:val="20"/>
              </w:rPr>
            </w:pPr>
            <w:r w:rsidRPr="000E6719">
              <w:rPr>
                <w:rFonts w:cs="Arial"/>
                <w:sz w:val="20"/>
                <w:szCs w:val="20"/>
              </w:rPr>
              <w:t>29</w:t>
            </w:r>
            <w:r>
              <w:rPr>
                <w:rFonts w:cs="Arial"/>
                <w:sz w:val="20"/>
                <w:szCs w:val="20"/>
              </w:rPr>
              <w:t xml:space="preserve"> </w:t>
            </w:r>
            <w:r w:rsidRPr="000E6719">
              <w:rPr>
                <w:rFonts w:cs="Arial"/>
                <w:sz w:val="20"/>
                <w:szCs w:val="20"/>
              </w:rPr>
              <w:t>%</w:t>
            </w:r>
          </w:p>
        </w:tc>
        <w:tc>
          <w:tcPr>
            <w:tcW w:w="1134" w:type="dxa"/>
            <w:tcBorders>
              <w:top w:val="single" w:sz="12" w:space="0" w:color="auto"/>
              <w:bottom w:val="single" w:sz="4" w:space="0" w:color="auto"/>
            </w:tcBorders>
            <w:vAlign w:val="bottom"/>
          </w:tcPr>
          <w:p w:rsidR="00507FE7" w:rsidRPr="000E6719" w:rsidRDefault="00507FE7" w:rsidP="00A41348">
            <w:pPr>
              <w:ind w:right="57"/>
              <w:jc w:val="right"/>
              <w:rPr>
                <w:rFonts w:cs="Arial"/>
                <w:sz w:val="20"/>
                <w:szCs w:val="20"/>
              </w:rPr>
            </w:pPr>
            <w:r w:rsidRPr="000E6719">
              <w:rPr>
                <w:rFonts w:cs="Arial"/>
                <w:sz w:val="20"/>
                <w:szCs w:val="20"/>
              </w:rPr>
              <w:t>21</w:t>
            </w:r>
            <w:r>
              <w:rPr>
                <w:rFonts w:cs="Arial"/>
                <w:sz w:val="20"/>
                <w:szCs w:val="20"/>
              </w:rPr>
              <w:t xml:space="preserve"> </w:t>
            </w:r>
            <w:r w:rsidRPr="000E6719">
              <w:rPr>
                <w:rFonts w:cs="Arial"/>
                <w:sz w:val="20"/>
                <w:szCs w:val="20"/>
              </w:rPr>
              <w:t>%</w:t>
            </w:r>
          </w:p>
        </w:tc>
        <w:tc>
          <w:tcPr>
            <w:tcW w:w="1134" w:type="dxa"/>
            <w:tcBorders>
              <w:top w:val="single" w:sz="12" w:space="0" w:color="auto"/>
              <w:bottom w:val="single" w:sz="4" w:space="0" w:color="auto"/>
            </w:tcBorders>
            <w:vAlign w:val="bottom"/>
          </w:tcPr>
          <w:p w:rsidR="00507FE7" w:rsidRPr="000E6719" w:rsidRDefault="00507FE7" w:rsidP="00A41348">
            <w:pPr>
              <w:ind w:right="57"/>
              <w:jc w:val="right"/>
              <w:rPr>
                <w:rFonts w:cs="Arial"/>
                <w:sz w:val="20"/>
                <w:szCs w:val="20"/>
              </w:rPr>
            </w:pPr>
            <w:r w:rsidRPr="000E6719">
              <w:rPr>
                <w:rFonts w:cs="Arial"/>
                <w:sz w:val="20"/>
                <w:szCs w:val="20"/>
              </w:rPr>
              <w:t>90</w:t>
            </w:r>
            <w:r>
              <w:rPr>
                <w:rFonts w:cs="Arial"/>
                <w:sz w:val="20"/>
                <w:szCs w:val="20"/>
              </w:rPr>
              <w:t xml:space="preserve"> </w:t>
            </w:r>
            <w:r w:rsidRPr="000E6719">
              <w:rPr>
                <w:rFonts w:cs="Arial"/>
                <w:sz w:val="20"/>
                <w:szCs w:val="20"/>
              </w:rPr>
              <w:t>%</w:t>
            </w:r>
          </w:p>
        </w:tc>
        <w:tc>
          <w:tcPr>
            <w:tcW w:w="1275" w:type="dxa"/>
            <w:tcBorders>
              <w:top w:val="single" w:sz="12" w:space="0" w:color="auto"/>
              <w:bottom w:val="single" w:sz="4" w:space="0" w:color="auto"/>
            </w:tcBorders>
            <w:vAlign w:val="bottom"/>
          </w:tcPr>
          <w:p w:rsidR="00507FE7" w:rsidRPr="000E6719" w:rsidRDefault="00507FE7" w:rsidP="00A41348">
            <w:pPr>
              <w:ind w:right="57"/>
              <w:jc w:val="right"/>
              <w:rPr>
                <w:rFonts w:cs="Arial"/>
                <w:sz w:val="20"/>
                <w:szCs w:val="20"/>
              </w:rPr>
            </w:pPr>
            <w:r w:rsidRPr="000E6719">
              <w:rPr>
                <w:rFonts w:cs="Arial"/>
                <w:sz w:val="20"/>
                <w:szCs w:val="20"/>
              </w:rPr>
              <w:t>9,1</w:t>
            </w:r>
            <w:r>
              <w:rPr>
                <w:rFonts w:cs="Arial"/>
                <w:sz w:val="20"/>
                <w:szCs w:val="20"/>
              </w:rPr>
              <w:t xml:space="preserve"> </w:t>
            </w:r>
            <w:r w:rsidRPr="000E6719">
              <w:rPr>
                <w:rFonts w:cs="Arial"/>
                <w:sz w:val="20"/>
                <w:szCs w:val="20"/>
              </w:rPr>
              <w:t>%</w:t>
            </w:r>
          </w:p>
        </w:tc>
      </w:tr>
      <w:tr w:rsidR="00507FE7" w:rsidRPr="000E6719" w:rsidTr="00A41348">
        <w:tc>
          <w:tcPr>
            <w:tcW w:w="2552" w:type="dxa"/>
            <w:tcBorders>
              <w:top w:val="single" w:sz="4" w:space="0" w:color="auto"/>
              <w:bottom w:val="single" w:sz="4" w:space="0" w:color="auto"/>
            </w:tcBorders>
          </w:tcPr>
          <w:p w:rsidR="00507FE7" w:rsidRPr="000E6719" w:rsidRDefault="00507FE7" w:rsidP="00A41348">
            <w:pPr>
              <w:rPr>
                <w:rFonts w:cs="Arial"/>
                <w:sz w:val="20"/>
                <w:szCs w:val="20"/>
              </w:rPr>
            </w:pPr>
            <w:r>
              <w:rPr>
                <w:rFonts w:cs="Arial"/>
                <w:sz w:val="20"/>
                <w:szCs w:val="20"/>
              </w:rPr>
              <w:t>V</w:t>
            </w:r>
            <w:r w:rsidRPr="000E6719">
              <w:rPr>
                <w:rFonts w:cs="Arial"/>
                <w:sz w:val="20"/>
                <w:szCs w:val="20"/>
              </w:rPr>
              <w:t>iolència de gènere</w:t>
            </w:r>
          </w:p>
        </w:tc>
        <w:tc>
          <w:tcPr>
            <w:tcW w:w="1134" w:type="dxa"/>
            <w:tcBorders>
              <w:top w:val="single" w:sz="4" w:space="0" w:color="auto"/>
              <w:bottom w:val="single" w:sz="4" w:space="0" w:color="auto"/>
            </w:tcBorders>
            <w:vAlign w:val="bottom"/>
          </w:tcPr>
          <w:p w:rsidR="00507FE7" w:rsidRPr="000E6719" w:rsidRDefault="00507FE7" w:rsidP="00A41348">
            <w:pPr>
              <w:ind w:right="57"/>
              <w:jc w:val="right"/>
              <w:rPr>
                <w:rFonts w:cs="Arial"/>
                <w:sz w:val="20"/>
                <w:szCs w:val="20"/>
              </w:rPr>
            </w:pPr>
            <w:r w:rsidRPr="000E6719">
              <w:rPr>
                <w:rFonts w:cs="Arial"/>
                <w:sz w:val="20"/>
                <w:szCs w:val="20"/>
              </w:rPr>
              <w:t>1.769</w:t>
            </w:r>
          </w:p>
        </w:tc>
        <w:tc>
          <w:tcPr>
            <w:tcW w:w="850" w:type="dxa"/>
            <w:tcBorders>
              <w:top w:val="single" w:sz="4" w:space="0" w:color="auto"/>
              <w:bottom w:val="single" w:sz="4" w:space="0" w:color="auto"/>
            </w:tcBorders>
            <w:vAlign w:val="bottom"/>
          </w:tcPr>
          <w:p w:rsidR="00507FE7" w:rsidRPr="000E6719" w:rsidRDefault="00507FE7" w:rsidP="00A41348">
            <w:pPr>
              <w:ind w:right="57"/>
              <w:jc w:val="right"/>
              <w:rPr>
                <w:rFonts w:cs="Arial"/>
                <w:sz w:val="20"/>
                <w:szCs w:val="20"/>
              </w:rPr>
            </w:pPr>
            <w:r w:rsidRPr="000E6719">
              <w:rPr>
                <w:rFonts w:cs="Arial"/>
                <w:sz w:val="20"/>
                <w:szCs w:val="20"/>
              </w:rPr>
              <w:t>6</w:t>
            </w:r>
            <w:r>
              <w:rPr>
                <w:rFonts w:cs="Arial"/>
                <w:sz w:val="20"/>
                <w:szCs w:val="20"/>
              </w:rPr>
              <w:t xml:space="preserve"> </w:t>
            </w:r>
            <w:r w:rsidRPr="000E6719">
              <w:rPr>
                <w:rFonts w:cs="Arial"/>
                <w:sz w:val="20"/>
                <w:szCs w:val="20"/>
              </w:rPr>
              <w:t>%</w:t>
            </w:r>
          </w:p>
        </w:tc>
        <w:tc>
          <w:tcPr>
            <w:tcW w:w="993" w:type="dxa"/>
            <w:tcBorders>
              <w:top w:val="single" w:sz="4" w:space="0" w:color="auto"/>
              <w:bottom w:val="single" w:sz="4" w:space="0" w:color="auto"/>
            </w:tcBorders>
            <w:vAlign w:val="bottom"/>
          </w:tcPr>
          <w:p w:rsidR="00507FE7" w:rsidRPr="000E6719" w:rsidRDefault="00507FE7" w:rsidP="00A41348">
            <w:pPr>
              <w:ind w:right="57"/>
              <w:jc w:val="right"/>
              <w:rPr>
                <w:rFonts w:cs="Arial"/>
                <w:sz w:val="20"/>
                <w:szCs w:val="20"/>
              </w:rPr>
            </w:pPr>
            <w:r w:rsidRPr="000E6719">
              <w:rPr>
                <w:rFonts w:cs="Arial"/>
                <w:sz w:val="20"/>
                <w:szCs w:val="20"/>
              </w:rPr>
              <w:t>38</w:t>
            </w:r>
            <w:r>
              <w:rPr>
                <w:rFonts w:cs="Arial"/>
                <w:sz w:val="20"/>
                <w:szCs w:val="20"/>
              </w:rPr>
              <w:t xml:space="preserve"> </w:t>
            </w:r>
            <w:r w:rsidRPr="000E6719">
              <w:rPr>
                <w:rFonts w:cs="Arial"/>
                <w:sz w:val="20"/>
                <w:szCs w:val="20"/>
              </w:rPr>
              <w:t>%</w:t>
            </w:r>
          </w:p>
        </w:tc>
        <w:tc>
          <w:tcPr>
            <w:tcW w:w="1134" w:type="dxa"/>
            <w:tcBorders>
              <w:top w:val="single" w:sz="4" w:space="0" w:color="auto"/>
              <w:bottom w:val="single" w:sz="4" w:space="0" w:color="auto"/>
            </w:tcBorders>
            <w:vAlign w:val="bottom"/>
          </w:tcPr>
          <w:p w:rsidR="00507FE7" w:rsidRPr="000E6719" w:rsidRDefault="00507FE7" w:rsidP="00A41348">
            <w:pPr>
              <w:ind w:right="57"/>
              <w:jc w:val="right"/>
              <w:rPr>
                <w:rFonts w:cs="Arial"/>
                <w:sz w:val="20"/>
                <w:szCs w:val="20"/>
              </w:rPr>
            </w:pPr>
            <w:r w:rsidRPr="000E6719">
              <w:rPr>
                <w:rFonts w:cs="Arial"/>
                <w:sz w:val="20"/>
                <w:szCs w:val="20"/>
              </w:rPr>
              <w:t>34</w:t>
            </w:r>
            <w:r>
              <w:rPr>
                <w:rFonts w:cs="Arial"/>
                <w:sz w:val="20"/>
                <w:szCs w:val="20"/>
              </w:rPr>
              <w:t xml:space="preserve"> </w:t>
            </w:r>
            <w:r w:rsidRPr="000E6719">
              <w:rPr>
                <w:rFonts w:cs="Arial"/>
                <w:sz w:val="20"/>
                <w:szCs w:val="20"/>
              </w:rPr>
              <w:t>%</w:t>
            </w:r>
          </w:p>
        </w:tc>
        <w:tc>
          <w:tcPr>
            <w:tcW w:w="1134" w:type="dxa"/>
            <w:tcBorders>
              <w:top w:val="single" w:sz="4" w:space="0" w:color="auto"/>
              <w:bottom w:val="single" w:sz="4" w:space="0" w:color="auto"/>
            </w:tcBorders>
            <w:vAlign w:val="bottom"/>
          </w:tcPr>
          <w:p w:rsidR="00507FE7" w:rsidRPr="000E6719" w:rsidRDefault="00507FE7" w:rsidP="00A41348">
            <w:pPr>
              <w:ind w:right="57"/>
              <w:jc w:val="right"/>
              <w:rPr>
                <w:rFonts w:cs="Arial"/>
                <w:sz w:val="20"/>
                <w:szCs w:val="20"/>
              </w:rPr>
            </w:pPr>
            <w:r w:rsidRPr="000E6719">
              <w:rPr>
                <w:rFonts w:cs="Arial"/>
                <w:sz w:val="20"/>
                <w:szCs w:val="20"/>
              </w:rPr>
              <w:t>90</w:t>
            </w:r>
            <w:r>
              <w:rPr>
                <w:rFonts w:cs="Arial"/>
                <w:sz w:val="20"/>
                <w:szCs w:val="20"/>
              </w:rPr>
              <w:t xml:space="preserve"> </w:t>
            </w:r>
            <w:r w:rsidRPr="000E6719">
              <w:rPr>
                <w:rFonts w:cs="Arial"/>
                <w:sz w:val="20"/>
                <w:szCs w:val="20"/>
              </w:rPr>
              <w:t>%</w:t>
            </w:r>
          </w:p>
        </w:tc>
        <w:tc>
          <w:tcPr>
            <w:tcW w:w="1275" w:type="dxa"/>
            <w:tcBorders>
              <w:top w:val="single" w:sz="4" w:space="0" w:color="auto"/>
              <w:bottom w:val="single" w:sz="4" w:space="0" w:color="auto"/>
            </w:tcBorders>
            <w:vAlign w:val="bottom"/>
          </w:tcPr>
          <w:p w:rsidR="00507FE7" w:rsidRPr="000E6719" w:rsidRDefault="00507FE7" w:rsidP="00A41348">
            <w:pPr>
              <w:ind w:right="57"/>
              <w:jc w:val="right"/>
              <w:rPr>
                <w:rFonts w:cs="Arial"/>
                <w:sz w:val="20"/>
                <w:szCs w:val="20"/>
              </w:rPr>
            </w:pPr>
            <w:r w:rsidRPr="000E6719">
              <w:rPr>
                <w:rFonts w:cs="Arial"/>
                <w:sz w:val="20"/>
                <w:szCs w:val="20"/>
              </w:rPr>
              <w:t>11,2</w:t>
            </w:r>
            <w:r>
              <w:rPr>
                <w:rFonts w:cs="Arial"/>
                <w:sz w:val="20"/>
                <w:szCs w:val="20"/>
              </w:rPr>
              <w:t xml:space="preserve"> </w:t>
            </w:r>
            <w:r w:rsidRPr="000E6719">
              <w:rPr>
                <w:rFonts w:cs="Arial"/>
                <w:sz w:val="20"/>
                <w:szCs w:val="20"/>
              </w:rPr>
              <w:t>%</w:t>
            </w:r>
          </w:p>
        </w:tc>
      </w:tr>
      <w:tr w:rsidR="00507FE7" w:rsidRPr="000E6719" w:rsidTr="00A41348">
        <w:tc>
          <w:tcPr>
            <w:tcW w:w="2552" w:type="dxa"/>
            <w:tcBorders>
              <w:top w:val="single" w:sz="4" w:space="0" w:color="auto"/>
              <w:bottom w:val="single" w:sz="4" w:space="0" w:color="auto"/>
            </w:tcBorders>
          </w:tcPr>
          <w:p w:rsidR="00507FE7" w:rsidRPr="000E6719" w:rsidRDefault="00507FE7" w:rsidP="00A41348">
            <w:pPr>
              <w:rPr>
                <w:rFonts w:cs="Arial"/>
                <w:sz w:val="20"/>
                <w:szCs w:val="20"/>
              </w:rPr>
            </w:pPr>
            <w:r>
              <w:rPr>
                <w:rFonts w:cs="Arial"/>
                <w:sz w:val="20"/>
                <w:szCs w:val="20"/>
              </w:rPr>
              <w:t>C</w:t>
            </w:r>
            <w:r w:rsidRPr="000E6719">
              <w:rPr>
                <w:rFonts w:cs="Arial"/>
                <w:sz w:val="20"/>
                <w:szCs w:val="20"/>
              </w:rPr>
              <w:t>ontra les persones i contra la llibertat sexual*</w:t>
            </w:r>
          </w:p>
        </w:tc>
        <w:tc>
          <w:tcPr>
            <w:tcW w:w="1134" w:type="dxa"/>
            <w:tcBorders>
              <w:top w:val="single" w:sz="4" w:space="0" w:color="auto"/>
              <w:bottom w:val="single" w:sz="4" w:space="0" w:color="auto"/>
            </w:tcBorders>
            <w:vAlign w:val="bottom"/>
          </w:tcPr>
          <w:p w:rsidR="00507FE7" w:rsidRPr="000E6719" w:rsidRDefault="00507FE7" w:rsidP="00A41348">
            <w:pPr>
              <w:ind w:right="57"/>
              <w:jc w:val="right"/>
              <w:rPr>
                <w:rFonts w:cs="Arial"/>
                <w:sz w:val="20"/>
                <w:szCs w:val="20"/>
              </w:rPr>
            </w:pPr>
            <w:r w:rsidRPr="000E6719">
              <w:rPr>
                <w:rFonts w:cs="Arial"/>
                <w:sz w:val="20"/>
                <w:szCs w:val="20"/>
              </w:rPr>
              <w:t>278</w:t>
            </w:r>
          </w:p>
        </w:tc>
        <w:tc>
          <w:tcPr>
            <w:tcW w:w="850" w:type="dxa"/>
            <w:tcBorders>
              <w:top w:val="single" w:sz="4" w:space="0" w:color="auto"/>
              <w:bottom w:val="single" w:sz="4" w:space="0" w:color="auto"/>
            </w:tcBorders>
            <w:vAlign w:val="bottom"/>
          </w:tcPr>
          <w:p w:rsidR="00507FE7" w:rsidRPr="000E6719" w:rsidRDefault="00507FE7" w:rsidP="00A41348">
            <w:pPr>
              <w:ind w:right="57"/>
              <w:jc w:val="right"/>
              <w:rPr>
                <w:rFonts w:cs="Arial"/>
                <w:sz w:val="20"/>
                <w:szCs w:val="20"/>
              </w:rPr>
            </w:pPr>
            <w:r w:rsidRPr="000E6719">
              <w:rPr>
                <w:rFonts w:cs="Arial"/>
                <w:sz w:val="20"/>
                <w:szCs w:val="20"/>
              </w:rPr>
              <w:t>9</w:t>
            </w:r>
            <w:r>
              <w:rPr>
                <w:rFonts w:cs="Arial"/>
                <w:sz w:val="20"/>
                <w:szCs w:val="20"/>
              </w:rPr>
              <w:t xml:space="preserve"> </w:t>
            </w:r>
            <w:r w:rsidRPr="000E6719">
              <w:rPr>
                <w:rFonts w:cs="Arial"/>
                <w:sz w:val="20"/>
                <w:szCs w:val="20"/>
              </w:rPr>
              <w:t>%</w:t>
            </w:r>
          </w:p>
        </w:tc>
        <w:tc>
          <w:tcPr>
            <w:tcW w:w="993" w:type="dxa"/>
            <w:tcBorders>
              <w:top w:val="single" w:sz="4" w:space="0" w:color="auto"/>
              <w:bottom w:val="single" w:sz="4" w:space="0" w:color="auto"/>
            </w:tcBorders>
            <w:vAlign w:val="bottom"/>
          </w:tcPr>
          <w:p w:rsidR="00507FE7" w:rsidRPr="000E6719" w:rsidRDefault="00507FE7" w:rsidP="00A41348">
            <w:pPr>
              <w:ind w:right="57"/>
              <w:jc w:val="right"/>
              <w:rPr>
                <w:rFonts w:cs="Arial"/>
                <w:sz w:val="20"/>
                <w:szCs w:val="20"/>
              </w:rPr>
            </w:pPr>
            <w:r w:rsidRPr="000E6719">
              <w:rPr>
                <w:rFonts w:cs="Arial"/>
                <w:sz w:val="20"/>
                <w:szCs w:val="20"/>
              </w:rPr>
              <w:t>19</w:t>
            </w:r>
            <w:r>
              <w:rPr>
                <w:rFonts w:cs="Arial"/>
                <w:sz w:val="20"/>
                <w:szCs w:val="20"/>
              </w:rPr>
              <w:t xml:space="preserve"> </w:t>
            </w:r>
            <w:r w:rsidRPr="000E6719">
              <w:rPr>
                <w:rFonts w:cs="Arial"/>
                <w:sz w:val="20"/>
                <w:szCs w:val="20"/>
              </w:rPr>
              <w:t>%</w:t>
            </w:r>
          </w:p>
        </w:tc>
        <w:tc>
          <w:tcPr>
            <w:tcW w:w="1134" w:type="dxa"/>
            <w:tcBorders>
              <w:top w:val="single" w:sz="4" w:space="0" w:color="auto"/>
              <w:bottom w:val="single" w:sz="4" w:space="0" w:color="auto"/>
            </w:tcBorders>
            <w:vAlign w:val="bottom"/>
          </w:tcPr>
          <w:p w:rsidR="00507FE7" w:rsidRPr="000E6719" w:rsidRDefault="00507FE7" w:rsidP="00A41348">
            <w:pPr>
              <w:ind w:right="57"/>
              <w:jc w:val="right"/>
              <w:rPr>
                <w:rFonts w:cs="Arial"/>
                <w:sz w:val="20"/>
                <w:szCs w:val="20"/>
              </w:rPr>
            </w:pPr>
            <w:r w:rsidRPr="000E6719">
              <w:rPr>
                <w:rFonts w:cs="Arial"/>
                <w:sz w:val="20"/>
                <w:szCs w:val="20"/>
              </w:rPr>
              <w:t>50</w:t>
            </w:r>
            <w:r>
              <w:rPr>
                <w:rFonts w:cs="Arial"/>
                <w:sz w:val="20"/>
                <w:szCs w:val="20"/>
              </w:rPr>
              <w:t xml:space="preserve"> </w:t>
            </w:r>
            <w:r w:rsidRPr="000E6719">
              <w:rPr>
                <w:rFonts w:cs="Arial"/>
                <w:sz w:val="20"/>
                <w:szCs w:val="20"/>
              </w:rPr>
              <w:t>%</w:t>
            </w:r>
          </w:p>
        </w:tc>
        <w:tc>
          <w:tcPr>
            <w:tcW w:w="1134" w:type="dxa"/>
            <w:tcBorders>
              <w:top w:val="single" w:sz="4" w:space="0" w:color="auto"/>
              <w:bottom w:val="single" w:sz="4" w:space="0" w:color="auto"/>
            </w:tcBorders>
            <w:vAlign w:val="bottom"/>
          </w:tcPr>
          <w:p w:rsidR="00507FE7" w:rsidRPr="000E6719" w:rsidRDefault="00507FE7" w:rsidP="00A41348">
            <w:pPr>
              <w:ind w:right="57"/>
              <w:jc w:val="right"/>
              <w:rPr>
                <w:rFonts w:cs="Arial"/>
                <w:sz w:val="20"/>
                <w:szCs w:val="20"/>
              </w:rPr>
            </w:pPr>
            <w:r w:rsidRPr="000E6719">
              <w:rPr>
                <w:rFonts w:cs="Arial"/>
                <w:sz w:val="20"/>
                <w:szCs w:val="20"/>
              </w:rPr>
              <w:t>83</w:t>
            </w:r>
            <w:r>
              <w:rPr>
                <w:rFonts w:cs="Arial"/>
                <w:sz w:val="20"/>
                <w:szCs w:val="20"/>
              </w:rPr>
              <w:t xml:space="preserve"> </w:t>
            </w:r>
            <w:r w:rsidRPr="000E6719">
              <w:rPr>
                <w:rFonts w:cs="Arial"/>
                <w:sz w:val="20"/>
                <w:szCs w:val="20"/>
              </w:rPr>
              <w:t>%</w:t>
            </w:r>
          </w:p>
        </w:tc>
        <w:tc>
          <w:tcPr>
            <w:tcW w:w="1275" w:type="dxa"/>
            <w:tcBorders>
              <w:top w:val="single" w:sz="4" w:space="0" w:color="auto"/>
              <w:bottom w:val="single" w:sz="4" w:space="0" w:color="auto"/>
            </w:tcBorders>
            <w:vAlign w:val="bottom"/>
          </w:tcPr>
          <w:p w:rsidR="00507FE7" w:rsidRPr="000E6719" w:rsidRDefault="00507FE7" w:rsidP="00A41348">
            <w:pPr>
              <w:ind w:right="57"/>
              <w:jc w:val="right"/>
              <w:rPr>
                <w:rFonts w:cs="Arial"/>
                <w:sz w:val="20"/>
                <w:szCs w:val="20"/>
              </w:rPr>
            </w:pPr>
            <w:r w:rsidRPr="000E6719">
              <w:rPr>
                <w:rFonts w:cs="Arial"/>
                <w:sz w:val="20"/>
                <w:szCs w:val="20"/>
              </w:rPr>
              <w:t>11,9</w:t>
            </w:r>
            <w:r>
              <w:rPr>
                <w:rFonts w:cs="Arial"/>
                <w:sz w:val="20"/>
                <w:szCs w:val="20"/>
              </w:rPr>
              <w:t xml:space="preserve"> </w:t>
            </w:r>
            <w:r w:rsidRPr="000E6719">
              <w:rPr>
                <w:rFonts w:cs="Arial"/>
                <w:sz w:val="20"/>
                <w:szCs w:val="20"/>
              </w:rPr>
              <w:t>%</w:t>
            </w:r>
          </w:p>
        </w:tc>
      </w:tr>
      <w:tr w:rsidR="00507FE7" w:rsidRPr="000E6719" w:rsidTr="00A41348">
        <w:tc>
          <w:tcPr>
            <w:tcW w:w="2552" w:type="dxa"/>
            <w:tcBorders>
              <w:top w:val="single" w:sz="4" w:space="0" w:color="auto"/>
              <w:bottom w:val="single" w:sz="4" w:space="0" w:color="auto"/>
            </w:tcBorders>
          </w:tcPr>
          <w:p w:rsidR="00507FE7" w:rsidRPr="000E6719" w:rsidRDefault="00507FE7" w:rsidP="00A41348">
            <w:pPr>
              <w:rPr>
                <w:rFonts w:cs="Arial"/>
                <w:sz w:val="20"/>
                <w:szCs w:val="20"/>
              </w:rPr>
            </w:pPr>
            <w:r>
              <w:rPr>
                <w:rFonts w:cs="Arial"/>
                <w:sz w:val="20"/>
                <w:szCs w:val="20"/>
              </w:rPr>
              <w:t>C</w:t>
            </w:r>
            <w:r w:rsidRPr="000E6719">
              <w:rPr>
                <w:rFonts w:cs="Arial"/>
                <w:sz w:val="20"/>
                <w:szCs w:val="20"/>
              </w:rPr>
              <w:t>ontra la propietat</w:t>
            </w:r>
          </w:p>
        </w:tc>
        <w:tc>
          <w:tcPr>
            <w:tcW w:w="1134" w:type="dxa"/>
            <w:tcBorders>
              <w:top w:val="single" w:sz="4" w:space="0" w:color="auto"/>
              <w:bottom w:val="single" w:sz="4" w:space="0" w:color="auto"/>
            </w:tcBorders>
            <w:vAlign w:val="bottom"/>
          </w:tcPr>
          <w:p w:rsidR="00507FE7" w:rsidRPr="000E6719" w:rsidRDefault="00507FE7" w:rsidP="00A41348">
            <w:pPr>
              <w:ind w:right="57"/>
              <w:jc w:val="right"/>
              <w:rPr>
                <w:rFonts w:cs="Arial"/>
                <w:sz w:val="20"/>
                <w:szCs w:val="20"/>
              </w:rPr>
            </w:pPr>
            <w:r w:rsidRPr="000E6719">
              <w:rPr>
                <w:rFonts w:cs="Arial"/>
                <w:sz w:val="20"/>
                <w:szCs w:val="20"/>
              </w:rPr>
              <w:t>222</w:t>
            </w:r>
          </w:p>
        </w:tc>
        <w:tc>
          <w:tcPr>
            <w:tcW w:w="850" w:type="dxa"/>
            <w:tcBorders>
              <w:top w:val="single" w:sz="4" w:space="0" w:color="auto"/>
              <w:bottom w:val="single" w:sz="4" w:space="0" w:color="auto"/>
            </w:tcBorders>
            <w:vAlign w:val="bottom"/>
          </w:tcPr>
          <w:p w:rsidR="00507FE7" w:rsidRPr="000E6719" w:rsidRDefault="00507FE7" w:rsidP="00A41348">
            <w:pPr>
              <w:ind w:right="57"/>
              <w:jc w:val="right"/>
              <w:rPr>
                <w:rFonts w:cs="Arial"/>
                <w:sz w:val="20"/>
                <w:szCs w:val="20"/>
              </w:rPr>
            </w:pPr>
            <w:r w:rsidRPr="000E6719">
              <w:rPr>
                <w:rFonts w:cs="Arial"/>
                <w:sz w:val="20"/>
                <w:szCs w:val="20"/>
              </w:rPr>
              <w:t>10</w:t>
            </w:r>
            <w:r>
              <w:rPr>
                <w:rFonts w:cs="Arial"/>
                <w:sz w:val="20"/>
                <w:szCs w:val="20"/>
              </w:rPr>
              <w:t xml:space="preserve"> </w:t>
            </w:r>
            <w:r w:rsidRPr="000E6719">
              <w:rPr>
                <w:rFonts w:cs="Arial"/>
                <w:sz w:val="20"/>
                <w:szCs w:val="20"/>
              </w:rPr>
              <w:t>%</w:t>
            </w:r>
          </w:p>
        </w:tc>
        <w:tc>
          <w:tcPr>
            <w:tcW w:w="993" w:type="dxa"/>
            <w:tcBorders>
              <w:top w:val="single" w:sz="4" w:space="0" w:color="auto"/>
              <w:bottom w:val="single" w:sz="4" w:space="0" w:color="auto"/>
            </w:tcBorders>
            <w:vAlign w:val="bottom"/>
          </w:tcPr>
          <w:p w:rsidR="00507FE7" w:rsidRPr="000E6719" w:rsidRDefault="00507FE7" w:rsidP="00A41348">
            <w:pPr>
              <w:ind w:right="57"/>
              <w:jc w:val="right"/>
              <w:rPr>
                <w:rFonts w:cs="Arial"/>
                <w:sz w:val="20"/>
                <w:szCs w:val="20"/>
              </w:rPr>
            </w:pPr>
            <w:r w:rsidRPr="000E6719">
              <w:rPr>
                <w:rFonts w:cs="Arial"/>
                <w:sz w:val="20"/>
                <w:szCs w:val="20"/>
              </w:rPr>
              <w:t>13</w:t>
            </w:r>
            <w:r>
              <w:rPr>
                <w:rFonts w:cs="Arial"/>
                <w:sz w:val="20"/>
                <w:szCs w:val="20"/>
              </w:rPr>
              <w:t xml:space="preserve"> </w:t>
            </w:r>
            <w:r w:rsidRPr="000E6719">
              <w:rPr>
                <w:rFonts w:cs="Arial"/>
                <w:sz w:val="20"/>
                <w:szCs w:val="20"/>
              </w:rPr>
              <w:t>%</w:t>
            </w:r>
          </w:p>
        </w:tc>
        <w:tc>
          <w:tcPr>
            <w:tcW w:w="1134" w:type="dxa"/>
            <w:tcBorders>
              <w:top w:val="single" w:sz="4" w:space="0" w:color="auto"/>
              <w:bottom w:val="single" w:sz="4" w:space="0" w:color="auto"/>
            </w:tcBorders>
            <w:vAlign w:val="bottom"/>
          </w:tcPr>
          <w:p w:rsidR="00507FE7" w:rsidRPr="000E6719" w:rsidRDefault="00507FE7" w:rsidP="00A41348">
            <w:pPr>
              <w:ind w:right="57"/>
              <w:jc w:val="right"/>
              <w:rPr>
                <w:rFonts w:cs="Arial"/>
                <w:sz w:val="20"/>
                <w:szCs w:val="20"/>
              </w:rPr>
            </w:pPr>
            <w:r w:rsidRPr="000E6719">
              <w:rPr>
                <w:rFonts w:cs="Arial"/>
                <w:sz w:val="20"/>
                <w:szCs w:val="20"/>
              </w:rPr>
              <w:t>83</w:t>
            </w:r>
            <w:r>
              <w:rPr>
                <w:rFonts w:cs="Arial"/>
                <w:sz w:val="20"/>
                <w:szCs w:val="20"/>
              </w:rPr>
              <w:t xml:space="preserve"> </w:t>
            </w:r>
            <w:r w:rsidRPr="000E6719">
              <w:rPr>
                <w:rFonts w:cs="Arial"/>
                <w:sz w:val="20"/>
                <w:szCs w:val="20"/>
              </w:rPr>
              <w:t>%</w:t>
            </w:r>
          </w:p>
        </w:tc>
        <w:tc>
          <w:tcPr>
            <w:tcW w:w="1134" w:type="dxa"/>
            <w:tcBorders>
              <w:top w:val="single" w:sz="4" w:space="0" w:color="auto"/>
              <w:bottom w:val="single" w:sz="4" w:space="0" w:color="auto"/>
            </w:tcBorders>
            <w:vAlign w:val="bottom"/>
          </w:tcPr>
          <w:p w:rsidR="00507FE7" w:rsidRPr="000E6719" w:rsidRDefault="00507FE7" w:rsidP="00A41348">
            <w:pPr>
              <w:ind w:right="57"/>
              <w:jc w:val="right"/>
              <w:rPr>
                <w:rFonts w:cs="Arial"/>
                <w:sz w:val="20"/>
                <w:szCs w:val="20"/>
              </w:rPr>
            </w:pPr>
            <w:r w:rsidRPr="000E6719">
              <w:rPr>
                <w:rFonts w:cs="Arial"/>
                <w:sz w:val="20"/>
                <w:szCs w:val="20"/>
              </w:rPr>
              <w:t>73</w:t>
            </w:r>
            <w:r>
              <w:rPr>
                <w:rFonts w:cs="Arial"/>
                <w:sz w:val="20"/>
                <w:szCs w:val="20"/>
              </w:rPr>
              <w:t xml:space="preserve"> </w:t>
            </w:r>
            <w:r w:rsidRPr="000E6719">
              <w:rPr>
                <w:rFonts w:cs="Arial"/>
                <w:sz w:val="20"/>
                <w:szCs w:val="20"/>
              </w:rPr>
              <w:t>%</w:t>
            </w:r>
          </w:p>
        </w:tc>
        <w:tc>
          <w:tcPr>
            <w:tcW w:w="1275" w:type="dxa"/>
            <w:tcBorders>
              <w:top w:val="single" w:sz="4" w:space="0" w:color="auto"/>
              <w:bottom w:val="single" w:sz="4" w:space="0" w:color="auto"/>
            </w:tcBorders>
            <w:vAlign w:val="bottom"/>
          </w:tcPr>
          <w:p w:rsidR="00507FE7" w:rsidRPr="000E6719" w:rsidRDefault="00507FE7" w:rsidP="00A41348">
            <w:pPr>
              <w:ind w:right="57"/>
              <w:jc w:val="right"/>
              <w:rPr>
                <w:rFonts w:cs="Arial"/>
                <w:sz w:val="20"/>
                <w:szCs w:val="20"/>
              </w:rPr>
            </w:pPr>
            <w:r w:rsidRPr="000E6719">
              <w:rPr>
                <w:rFonts w:cs="Arial"/>
                <w:sz w:val="20"/>
                <w:szCs w:val="20"/>
              </w:rPr>
              <w:t>21,6</w:t>
            </w:r>
            <w:r>
              <w:rPr>
                <w:rFonts w:cs="Arial"/>
                <w:sz w:val="20"/>
                <w:szCs w:val="20"/>
              </w:rPr>
              <w:t xml:space="preserve"> </w:t>
            </w:r>
            <w:r w:rsidRPr="000E6719">
              <w:rPr>
                <w:rFonts w:cs="Arial"/>
                <w:sz w:val="20"/>
                <w:szCs w:val="20"/>
              </w:rPr>
              <w:t>%</w:t>
            </w:r>
          </w:p>
        </w:tc>
      </w:tr>
      <w:tr w:rsidR="00507FE7" w:rsidRPr="000E6719" w:rsidTr="00A41348">
        <w:tc>
          <w:tcPr>
            <w:tcW w:w="2552" w:type="dxa"/>
            <w:tcBorders>
              <w:top w:val="single" w:sz="4" w:space="0" w:color="auto"/>
              <w:bottom w:val="single" w:sz="4" w:space="0" w:color="auto"/>
            </w:tcBorders>
          </w:tcPr>
          <w:p w:rsidR="00507FE7" w:rsidRPr="000E6719" w:rsidRDefault="00507FE7" w:rsidP="00A41348">
            <w:pPr>
              <w:rPr>
                <w:rFonts w:cs="Arial"/>
                <w:sz w:val="20"/>
                <w:szCs w:val="20"/>
              </w:rPr>
            </w:pPr>
            <w:r>
              <w:rPr>
                <w:rFonts w:cs="Arial"/>
                <w:sz w:val="20"/>
                <w:szCs w:val="20"/>
              </w:rPr>
              <w:t>A</w:t>
            </w:r>
            <w:r w:rsidRPr="000E6719">
              <w:rPr>
                <w:rFonts w:cs="Arial"/>
                <w:sz w:val="20"/>
                <w:szCs w:val="20"/>
              </w:rPr>
              <w:t>ltres delictes</w:t>
            </w:r>
          </w:p>
        </w:tc>
        <w:tc>
          <w:tcPr>
            <w:tcW w:w="1134" w:type="dxa"/>
            <w:tcBorders>
              <w:top w:val="single" w:sz="4" w:space="0" w:color="auto"/>
              <w:bottom w:val="single" w:sz="4" w:space="0" w:color="auto"/>
            </w:tcBorders>
            <w:vAlign w:val="bottom"/>
          </w:tcPr>
          <w:p w:rsidR="00507FE7" w:rsidRPr="000E6719" w:rsidRDefault="00507FE7" w:rsidP="00A41348">
            <w:pPr>
              <w:ind w:right="57"/>
              <w:jc w:val="right"/>
              <w:rPr>
                <w:rFonts w:cs="Arial"/>
                <w:sz w:val="20"/>
                <w:szCs w:val="20"/>
              </w:rPr>
            </w:pPr>
            <w:r w:rsidRPr="000E6719">
              <w:rPr>
                <w:rFonts w:cs="Arial"/>
                <w:sz w:val="20"/>
                <w:szCs w:val="20"/>
              </w:rPr>
              <w:t>302</w:t>
            </w:r>
          </w:p>
        </w:tc>
        <w:tc>
          <w:tcPr>
            <w:tcW w:w="850" w:type="dxa"/>
            <w:tcBorders>
              <w:top w:val="single" w:sz="4" w:space="0" w:color="auto"/>
              <w:bottom w:val="single" w:sz="4" w:space="0" w:color="auto"/>
            </w:tcBorders>
            <w:vAlign w:val="bottom"/>
          </w:tcPr>
          <w:p w:rsidR="00507FE7" w:rsidRPr="000E6719" w:rsidRDefault="00507FE7" w:rsidP="00A41348">
            <w:pPr>
              <w:ind w:right="57"/>
              <w:jc w:val="right"/>
              <w:rPr>
                <w:rFonts w:cs="Arial"/>
                <w:sz w:val="20"/>
                <w:szCs w:val="20"/>
              </w:rPr>
            </w:pPr>
            <w:r w:rsidRPr="000E6719">
              <w:rPr>
                <w:rFonts w:cs="Arial"/>
                <w:sz w:val="20"/>
                <w:szCs w:val="20"/>
              </w:rPr>
              <w:t>15</w:t>
            </w:r>
            <w:r>
              <w:rPr>
                <w:rFonts w:cs="Arial"/>
                <w:sz w:val="20"/>
                <w:szCs w:val="20"/>
              </w:rPr>
              <w:t xml:space="preserve"> </w:t>
            </w:r>
            <w:r w:rsidRPr="000E6719">
              <w:rPr>
                <w:rFonts w:cs="Arial"/>
                <w:sz w:val="20"/>
                <w:szCs w:val="20"/>
              </w:rPr>
              <w:t>%</w:t>
            </w:r>
          </w:p>
        </w:tc>
        <w:tc>
          <w:tcPr>
            <w:tcW w:w="993" w:type="dxa"/>
            <w:tcBorders>
              <w:top w:val="single" w:sz="4" w:space="0" w:color="auto"/>
              <w:bottom w:val="single" w:sz="4" w:space="0" w:color="auto"/>
            </w:tcBorders>
            <w:vAlign w:val="bottom"/>
          </w:tcPr>
          <w:p w:rsidR="00507FE7" w:rsidRPr="000E6719" w:rsidRDefault="00507FE7" w:rsidP="00A41348">
            <w:pPr>
              <w:ind w:right="57"/>
              <w:jc w:val="right"/>
              <w:rPr>
                <w:rFonts w:cs="Arial"/>
                <w:sz w:val="20"/>
                <w:szCs w:val="20"/>
              </w:rPr>
            </w:pPr>
            <w:r w:rsidRPr="000E6719">
              <w:rPr>
                <w:rFonts w:cs="Arial"/>
                <w:sz w:val="20"/>
                <w:szCs w:val="20"/>
              </w:rPr>
              <w:t>23</w:t>
            </w:r>
            <w:r>
              <w:rPr>
                <w:rFonts w:cs="Arial"/>
                <w:sz w:val="20"/>
                <w:szCs w:val="20"/>
              </w:rPr>
              <w:t xml:space="preserve"> </w:t>
            </w:r>
            <w:r w:rsidRPr="000E6719">
              <w:rPr>
                <w:rFonts w:cs="Arial"/>
                <w:sz w:val="20"/>
                <w:szCs w:val="20"/>
              </w:rPr>
              <w:t>%</w:t>
            </w:r>
          </w:p>
        </w:tc>
        <w:tc>
          <w:tcPr>
            <w:tcW w:w="1134" w:type="dxa"/>
            <w:tcBorders>
              <w:top w:val="single" w:sz="4" w:space="0" w:color="auto"/>
              <w:bottom w:val="single" w:sz="4" w:space="0" w:color="auto"/>
            </w:tcBorders>
            <w:vAlign w:val="bottom"/>
          </w:tcPr>
          <w:p w:rsidR="00507FE7" w:rsidRPr="000E6719" w:rsidRDefault="00507FE7" w:rsidP="00A41348">
            <w:pPr>
              <w:ind w:right="57"/>
              <w:jc w:val="right"/>
              <w:rPr>
                <w:rFonts w:cs="Arial"/>
                <w:sz w:val="20"/>
                <w:szCs w:val="20"/>
              </w:rPr>
            </w:pPr>
            <w:r w:rsidRPr="000E6719">
              <w:rPr>
                <w:rFonts w:cs="Arial"/>
                <w:sz w:val="20"/>
                <w:szCs w:val="20"/>
              </w:rPr>
              <w:t>57</w:t>
            </w:r>
            <w:r>
              <w:rPr>
                <w:rFonts w:cs="Arial"/>
                <w:sz w:val="20"/>
                <w:szCs w:val="20"/>
              </w:rPr>
              <w:t xml:space="preserve"> </w:t>
            </w:r>
            <w:r w:rsidRPr="000E6719">
              <w:rPr>
                <w:rFonts w:cs="Arial"/>
                <w:sz w:val="20"/>
                <w:szCs w:val="20"/>
              </w:rPr>
              <w:t>%</w:t>
            </w:r>
          </w:p>
        </w:tc>
        <w:tc>
          <w:tcPr>
            <w:tcW w:w="1134" w:type="dxa"/>
            <w:tcBorders>
              <w:top w:val="single" w:sz="4" w:space="0" w:color="auto"/>
              <w:bottom w:val="single" w:sz="4" w:space="0" w:color="auto"/>
            </w:tcBorders>
            <w:vAlign w:val="bottom"/>
          </w:tcPr>
          <w:p w:rsidR="00507FE7" w:rsidRPr="000E6719" w:rsidRDefault="00507FE7" w:rsidP="00A41348">
            <w:pPr>
              <w:ind w:right="57"/>
              <w:jc w:val="right"/>
              <w:rPr>
                <w:rFonts w:cs="Arial"/>
                <w:sz w:val="20"/>
                <w:szCs w:val="20"/>
              </w:rPr>
            </w:pPr>
            <w:r w:rsidRPr="000E6719">
              <w:rPr>
                <w:rFonts w:cs="Arial"/>
                <w:sz w:val="20"/>
                <w:szCs w:val="20"/>
              </w:rPr>
              <w:t>78</w:t>
            </w:r>
            <w:r>
              <w:rPr>
                <w:rFonts w:cs="Arial"/>
                <w:sz w:val="20"/>
                <w:szCs w:val="20"/>
              </w:rPr>
              <w:t xml:space="preserve"> </w:t>
            </w:r>
            <w:r w:rsidRPr="000E6719">
              <w:rPr>
                <w:rFonts w:cs="Arial"/>
                <w:sz w:val="20"/>
                <w:szCs w:val="20"/>
              </w:rPr>
              <w:t>%</w:t>
            </w:r>
          </w:p>
        </w:tc>
        <w:tc>
          <w:tcPr>
            <w:tcW w:w="1275" w:type="dxa"/>
            <w:tcBorders>
              <w:top w:val="single" w:sz="4" w:space="0" w:color="auto"/>
              <w:bottom w:val="single" w:sz="4" w:space="0" w:color="auto"/>
            </w:tcBorders>
            <w:vAlign w:val="bottom"/>
          </w:tcPr>
          <w:p w:rsidR="00507FE7" w:rsidRPr="000E6719" w:rsidRDefault="00507FE7" w:rsidP="00A41348">
            <w:pPr>
              <w:ind w:right="57"/>
              <w:jc w:val="right"/>
              <w:rPr>
                <w:rFonts w:cs="Arial"/>
                <w:sz w:val="20"/>
                <w:szCs w:val="20"/>
              </w:rPr>
            </w:pPr>
            <w:r w:rsidRPr="000E6719">
              <w:rPr>
                <w:rFonts w:cs="Arial"/>
                <w:sz w:val="20"/>
                <w:szCs w:val="20"/>
              </w:rPr>
              <w:t>9,9</w:t>
            </w:r>
            <w:r>
              <w:rPr>
                <w:rFonts w:cs="Arial"/>
                <w:sz w:val="20"/>
                <w:szCs w:val="20"/>
              </w:rPr>
              <w:t xml:space="preserve"> </w:t>
            </w:r>
            <w:r w:rsidRPr="000E6719">
              <w:rPr>
                <w:rFonts w:cs="Arial"/>
                <w:sz w:val="20"/>
                <w:szCs w:val="20"/>
              </w:rPr>
              <w:t>%</w:t>
            </w:r>
          </w:p>
        </w:tc>
      </w:tr>
      <w:tr w:rsidR="00507FE7" w:rsidRPr="000E6719" w:rsidTr="00A41348">
        <w:tc>
          <w:tcPr>
            <w:tcW w:w="2552" w:type="dxa"/>
            <w:tcBorders>
              <w:top w:val="single" w:sz="4" w:space="0" w:color="auto"/>
            </w:tcBorders>
            <w:shd w:val="clear" w:color="auto" w:fill="D9D9D9" w:themeFill="background1" w:themeFillShade="D9"/>
          </w:tcPr>
          <w:p w:rsidR="00507FE7" w:rsidRPr="000E6719" w:rsidRDefault="00507FE7" w:rsidP="00A41348">
            <w:pPr>
              <w:rPr>
                <w:rFonts w:cs="Arial"/>
                <w:b/>
                <w:sz w:val="20"/>
                <w:szCs w:val="20"/>
              </w:rPr>
            </w:pPr>
            <w:r>
              <w:rPr>
                <w:rFonts w:cs="Arial"/>
                <w:b/>
                <w:sz w:val="20"/>
                <w:szCs w:val="20"/>
              </w:rPr>
              <w:t>T</w:t>
            </w:r>
            <w:r w:rsidRPr="000E6719">
              <w:rPr>
                <w:rFonts w:cs="Arial"/>
                <w:b/>
                <w:sz w:val="20"/>
                <w:szCs w:val="20"/>
              </w:rPr>
              <w:t>ots</w:t>
            </w:r>
          </w:p>
        </w:tc>
        <w:tc>
          <w:tcPr>
            <w:tcW w:w="1134" w:type="dxa"/>
            <w:tcBorders>
              <w:top w:val="single" w:sz="4" w:space="0" w:color="auto"/>
            </w:tcBorders>
            <w:shd w:val="clear" w:color="auto" w:fill="D9D9D9" w:themeFill="background1" w:themeFillShade="D9"/>
            <w:vAlign w:val="bottom"/>
          </w:tcPr>
          <w:p w:rsidR="00507FE7" w:rsidRPr="000E6719" w:rsidRDefault="00507FE7" w:rsidP="00A41348">
            <w:pPr>
              <w:ind w:right="57"/>
              <w:jc w:val="right"/>
              <w:rPr>
                <w:rFonts w:cs="Arial"/>
                <w:b/>
                <w:sz w:val="20"/>
                <w:szCs w:val="20"/>
              </w:rPr>
            </w:pPr>
          </w:p>
        </w:tc>
        <w:tc>
          <w:tcPr>
            <w:tcW w:w="850" w:type="dxa"/>
            <w:tcBorders>
              <w:top w:val="single" w:sz="4" w:space="0" w:color="auto"/>
            </w:tcBorders>
            <w:shd w:val="clear" w:color="auto" w:fill="D9D9D9" w:themeFill="background1" w:themeFillShade="D9"/>
            <w:vAlign w:val="bottom"/>
          </w:tcPr>
          <w:p w:rsidR="00507FE7" w:rsidRPr="000E6719" w:rsidRDefault="00507FE7" w:rsidP="00A41348">
            <w:pPr>
              <w:ind w:right="57"/>
              <w:jc w:val="right"/>
              <w:rPr>
                <w:rFonts w:cs="Arial"/>
                <w:b/>
                <w:sz w:val="20"/>
                <w:szCs w:val="20"/>
              </w:rPr>
            </w:pPr>
          </w:p>
        </w:tc>
        <w:tc>
          <w:tcPr>
            <w:tcW w:w="993" w:type="dxa"/>
            <w:tcBorders>
              <w:top w:val="single" w:sz="4" w:space="0" w:color="auto"/>
            </w:tcBorders>
            <w:shd w:val="clear" w:color="auto" w:fill="D9D9D9" w:themeFill="background1" w:themeFillShade="D9"/>
            <w:vAlign w:val="bottom"/>
          </w:tcPr>
          <w:p w:rsidR="00507FE7" w:rsidRPr="000E6719" w:rsidRDefault="00507FE7" w:rsidP="00A41348">
            <w:pPr>
              <w:ind w:right="57"/>
              <w:jc w:val="right"/>
              <w:rPr>
                <w:rFonts w:cs="Arial"/>
                <w:b/>
                <w:sz w:val="20"/>
                <w:szCs w:val="20"/>
              </w:rPr>
            </w:pPr>
          </w:p>
        </w:tc>
        <w:tc>
          <w:tcPr>
            <w:tcW w:w="1134" w:type="dxa"/>
            <w:tcBorders>
              <w:top w:val="single" w:sz="4" w:space="0" w:color="auto"/>
            </w:tcBorders>
            <w:shd w:val="clear" w:color="auto" w:fill="D9D9D9" w:themeFill="background1" w:themeFillShade="D9"/>
            <w:vAlign w:val="bottom"/>
          </w:tcPr>
          <w:p w:rsidR="00507FE7" w:rsidRPr="000E6719" w:rsidRDefault="00507FE7" w:rsidP="00A41348">
            <w:pPr>
              <w:ind w:right="57"/>
              <w:jc w:val="right"/>
              <w:rPr>
                <w:rFonts w:cs="Arial"/>
                <w:b/>
                <w:sz w:val="20"/>
                <w:szCs w:val="20"/>
              </w:rPr>
            </w:pPr>
          </w:p>
        </w:tc>
        <w:tc>
          <w:tcPr>
            <w:tcW w:w="1134" w:type="dxa"/>
            <w:tcBorders>
              <w:top w:val="single" w:sz="4" w:space="0" w:color="auto"/>
            </w:tcBorders>
            <w:shd w:val="clear" w:color="auto" w:fill="D9D9D9" w:themeFill="background1" w:themeFillShade="D9"/>
            <w:vAlign w:val="bottom"/>
          </w:tcPr>
          <w:p w:rsidR="00507FE7" w:rsidRPr="000E6719" w:rsidRDefault="00507FE7" w:rsidP="00A41348">
            <w:pPr>
              <w:ind w:right="57"/>
              <w:jc w:val="right"/>
              <w:rPr>
                <w:rFonts w:cs="Arial"/>
                <w:b/>
                <w:sz w:val="20"/>
                <w:szCs w:val="20"/>
              </w:rPr>
            </w:pPr>
          </w:p>
        </w:tc>
        <w:tc>
          <w:tcPr>
            <w:tcW w:w="1275" w:type="dxa"/>
            <w:tcBorders>
              <w:top w:val="single" w:sz="4" w:space="0" w:color="auto"/>
            </w:tcBorders>
            <w:shd w:val="clear" w:color="auto" w:fill="D9D9D9" w:themeFill="background1" w:themeFillShade="D9"/>
            <w:vAlign w:val="bottom"/>
          </w:tcPr>
          <w:p w:rsidR="00507FE7" w:rsidRPr="000E6719" w:rsidRDefault="00507FE7" w:rsidP="00A41348">
            <w:pPr>
              <w:ind w:right="57"/>
              <w:jc w:val="right"/>
              <w:rPr>
                <w:rFonts w:cs="Arial"/>
                <w:b/>
                <w:sz w:val="20"/>
                <w:szCs w:val="20"/>
              </w:rPr>
            </w:pPr>
          </w:p>
        </w:tc>
      </w:tr>
    </w:tbl>
    <w:p w:rsidR="00507FE7" w:rsidRPr="000E6719" w:rsidRDefault="00507FE7" w:rsidP="00A41348">
      <w:pPr>
        <w:spacing w:after="0"/>
        <w:jc w:val="right"/>
        <w:rPr>
          <w:rFonts w:cs="Arial"/>
          <w:sz w:val="16"/>
          <w:szCs w:val="16"/>
        </w:rPr>
      </w:pPr>
      <w:r w:rsidRPr="000E6719">
        <w:rPr>
          <w:rFonts w:cs="Arial"/>
          <w:sz w:val="16"/>
          <w:szCs w:val="16"/>
        </w:rPr>
        <w:t>(*) 253 delictes contra les persones i 25 delictes contra la llibertat sexual</w:t>
      </w:r>
    </w:p>
    <w:p w:rsidR="0068128C" w:rsidRDefault="0068128C">
      <w:pPr>
        <w:spacing w:before="0"/>
        <w:jc w:val="left"/>
      </w:pPr>
      <w:r>
        <w:br w:type="page"/>
      </w:r>
    </w:p>
    <w:p w:rsidR="00170574" w:rsidRDefault="00170574" w:rsidP="00170574">
      <w:pPr>
        <w:pStyle w:val="Ttol1"/>
      </w:pPr>
      <w:bookmarkStart w:id="847" w:name="_Toc465293528"/>
      <w:r>
        <w:lastRenderedPageBreak/>
        <w:t>Index de gràfics</w:t>
      </w:r>
      <w:bookmarkEnd w:id="847"/>
    </w:p>
    <w:p w:rsidR="00170574" w:rsidRPr="00170574" w:rsidRDefault="00170574" w:rsidP="00170574"/>
    <w:p w:rsidR="00752E4C" w:rsidRPr="00752E4C" w:rsidRDefault="0068128C">
      <w:pPr>
        <w:pStyle w:val="ndexdillustracions"/>
        <w:tabs>
          <w:tab w:val="right" w:leader="dot" w:pos="9061"/>
        </w:tabs>
        <w:rPr>
          <w:rFonts w:asciiTheme="minorHAnsi" w:eastAsiaTheme="minorEastAsia" w:hAnsiTheme="minorHAnsi"/>
          <w:noProof/>
          <w:sz w:val="18"/>
          <w:lang w:eastAsia="ca-ES"/>
        </w:rPr>
      </w:pPr>
      <w:r w:rsidRPr="00752E4C">
        <w:rPr>
          <w:sz w:val="16"/>
        </w:rPr>
        <w:fldChar w:fldCharType="begin"/>
      </w:r>
      <w:r w:rsidRPr="00752E4C">
        <w:rPr>
          <w:sz w:val="16"/>
        </w:rPr>
        <w:instrText xml:space="preserve"> TOC \h \z \t "Llegenda" \c </w:instrText>
      </w:r>
      <w:r w:rsidRPr="00752E4C">
        <w:rPr>
          <w:sz w:val="16"/>
        </w:rPr>
        <w:fldChar w:fldCharType="separate"/>
      </w:r>
      <w:hyperlink w:anchor="_Toc465293807" w:history="1">
        <w:r w:rsidR="00752E4C" w:rsidRPr="00752E4C">
          <w:rPr>
            <w:rStyle w:val="Enlla"/>
            <w:noProof/>
            <w:sz w:val="18"/>
          </w:rPr>
          <w:t>Gràfic 1. Evolució de la població encarcerada l’últim dia de cada any i taxa que representa per cada 100.000 habitants.</w:t>
        </w:r>
        <w:r w:rsidR="00752E4C" w:rsidRPr="00752E4C">
          <w:rPr>
            <w:noProof/>
            <w:webHidden/>
            <w:sz w:val="18"/>
          </w:rPr>
          <w:tab/>
        </w:r>
        <w:r w:rsidR="00752E4C" w:rsidRPr="00752E4C">
          <w:rPr>
            <w:noProof/>
            <w:webHidden/>
            <w:sz w:val="18"/>
          </w:rPr>
          <w:fldChar w:fldCharType="begin"/>
        </w:r>
        <w:r w:rsidR="00752E4C" w:rsidRPr="00752E4C">
          <w:rPr>
            <w:noProof/>
            <w:webHidden/>
            <w:sz w:val="18"/>
          </w:rPr>
          <w:instrText xml:space="preserve"> PAGEREF _Toc465293807 \h </w:instrText>
        </w:r>
        <w:r w:rsidR="00752E4C" w:rsidRPr="00752E4C">
          <w:rPr>
            <w:noProof/>
            <w:webHidden/>
            <w:sz w:val="18"/>
          </w:rPr>
        </w:r>
        <w:r w:rsidR="00752E4C" w:rsidRPr="00752E4C">
          <w:rPr>
            <w:noProof/>
            <w:webHidden/>
            <w:sz w:val="18"/>
          </w:rPr>
          <w:fldChar w:fldCharType="separate"/>
        </w:r>
        <w:r w:rsidR="00752E4C" w:rsidRPr="00752E4C">
          <w:rPr>
            <w:noProof/>
            <w:webHidden/>
            <w:sz w:val="18"/>
          </w:rPr>
          <w:t>32</w:t>
        </w:r>
        <w:r w:rsidR="00752E4C" w:rsidRPr="00752E4C">
          <w:rPr>
            <w:noProof/>
            <w:webHidden/>
            <w:sz w:val="18"/>
          </w:rPr>
          <w:fldChar w:fldCharType="end"/>
        </w:r>
      </w:hyperlink>
    </w:p>
    <w:p w:rsidR="00752E4C" w:rsidRPr="00752E4C" w:rsidRDefault="00DB496B">
      <w:pPr>
        <w:pStyle w:val="ndexdillustracions"/>
        <w:tabs>
          <w:tab w:val="right" w:leader="dot" w:pos="9061"/>
        </w:tabs>
        <w:rPr>
          <w:rFonts w:asciiTheme="minorHAnsi" w:eastAsiaTheme="minorEastAsia" w:hAnsiTheme="minorHAnsi"/>
          <w:noProof/>
          <w:sz w:val="18"/>
          <w:lang w:eastAsia="ca-ES"/>
        </w:rPr>
      </w:pPr>
      <w:hyperlink w:anchor="_Toc465293808" w:history="1">
        <w:r w:rsidR="00752E4C" w:rsidRPr="00752E4C">
          <w:rPr>
            <w:rStyle w:val="Enlla"/>
            <w:noProof/>
            <w:sz w:val="18"/>
          </w:rPr>
          <w:t xml:space="preserve">Gràfic 2. Evolució de la xifra d’encarcerats i de la taxa de victimització (font: Enquestes de victimització de Barcelona i àmbit metropolità). Període 1984-1994: </w:t>
        </w:r>
        <w:r w:rsidR="00752E4C" w:rsidRPr="00752E4C">
          <w:rPr>
            <w:rStyle w:val="Enlla"/>
            <w:i/>
            <w:noProof/>
            <w:sz w:val="18"/>
          </w:rPr>
          <w:t>Rho de Spearman</w:t>
        </w:r>
        <w:r w:rsidR="00752E4C" w:rsidRPr="00752E4C">
          <w:rPr>
            <w:rStyle w:val="Enlla"/>
            <w:noProof/>
            <w:sz w:val="18"/>
          </w:rPr>
          <w:t xml:space="preserve"> = -0,811, sig.= 0,000. Període 2001-2009: </w:t>
        </w:r>
        <w:r w:rsidR="00752E4C" w:rsidRPr="00752E4C">
          <w:rPr>
            <w:rStyle w:val="Enlla"/>
            <w:i/>
            <w:noProof/>
            <w:sz w:val="18"/>
          </w:rPr>
          <w:t>Rho de Spearman</w:t>
        </w:r>
        <w:r w:rsidR="00752E4C" w:rsidRPr="00752E4C">
          <w:rPr>
            <w:rStyle w:val="Enlla"/>
            <w:noProof/>
            <w:sz w:val="18"/>
          </w:rPr>
          <w:t xml:space="preserve"> = 0,783, sig.= 0,013.</w:t>
        </w:r>
        <w:r w:rsidR="00752E4C" w:rsidRPr="00752E4C">
          <w:rPr>
            <w:noProof/>
            <w:webHidden/>
            <w:sz w:val="18"/>
          </w:rPr>
          <w:tab/>
        </w:r>
        <w:r w:rsidR="00752E4C" w:rsidRPr="00752E4C">
          <w:rPr>
            <w:noProof/>
            <w:webHidden/>
            <w:sz w:val="18"/>
          </w:rPr>
          <w:fldChar w:fldCharType="begin"/>
        </w:r>
        <w:r w:rsidR="00752E4C" w:rsidRPr="00752E4C">
          <w:rPr>
            <w:noProof/>
            <w:webHidden/>
            <w:sz w:val="18"/>
          </w:rPr>
          <w:instrText xml:space="preserve"> PAGEREF _Toc465293808 \h </w:instrText>
        </w:r>
        <w:r w:rsidR="00752E4C" w:rsidRPr="00752E4C">
          <w:rPr>
            <w:noProof/>
            <w:webHidden/>
            <w:sz w:val="18"/>
          </w:rPr>
        </w:r>
        <w:r w:rsidR="00752E4C" w:rsidRPr="00752E4C">
          <w:rPr>
            <w:noProof/>
            <w:webHidden/>
            <w:sz w:val="18"/>
          </w:rPr>
          <w:fldChar w:fldCharType="separate"/>
        </w:r>
        <w:r w:rsidR="00752E4C" w:rsidRPr="00752E4C">
          <w:rPr>
            <w:noProof/>
            <w:webHidden/>
            <w:sz w:val="18"/>
          </w:rPr>
          <w:t>32</w:t>
        </w:r>
        <w:r w:rsidR="00752E4C" w:rsidRPr="00752E4C">
          <w:rPr>
            <w:noProof/>
            <w:webHidden/>
            <w:sz w:val="18"/>
          </w:rPr>
          <w:fldChar w:fldCharType="end"/>
        </w:r>
      </w:hyperlink>
    </w:p>
    <w:p w:rsidR="00752E4C" w:rsidRPr="00752E4C" w:rsidRDefault="00DB496B">
      <w:pPr>
        <w:pStyle w:val="ndexdillustracions"/>
        <w:tabs>
          <w:tab w:val="right" w:leader="dot" w:pos="9061"/>
        </w:tabs>
        <w:rPr>
          <w:rFonts w:asciiTheme="minorHAnsi" w:eastAsiaTheme="minorEastAsia" w:hAnsiTheme="minorHAnsi"/>
          <w:noProof/>
          <w:sz w:val="18"/>
          <w:lang w:eastAsia="ca-ES"/>
        </w:rPr>
      </w:pPr>
      <w:hyperlink w:anchor="_Toc465293809" w:history="1">
        <w:r w:rsidR="00752E4C" w:rsidRPr="00752E4C">
          <w:rPr>
            <w:rStyle w:val="Enlla"/>
            <w:noProof/>
            <w:sz w:val="18"/>
          </w:rPr>
          <w:t xml:space="preserve">Gràfic 3. Evolució de la població encarcerada i de la taxa d’efectius policials (policies per cada 100.000 habitants). </w:t>
        </w:r>
        <w:r w:rsidR="00752E4C" w:rsidRPr="00752E4C">
          <w:rPr>
            <w:rStyle w:val="Enlla"/>
            <w:i/>
            <w:noProof/>
            <w:sz w:val="18"/>
          </w:rPr>
          <w:t>Rho de Spearman</w:t>
        </w:r>
        <w:r w:rsidR="00752E4C" w:rsidRPr="00752E4C">
          <w:rPr>
            <w:rStyle w:val="Enlla"/>
            <w:noProof/>
            <w:sz w:val="18"/>
          </w:rPr>
          <w:t xml:space="preserve"> = 0,855, sig. = 0,000. Període 2001-2009: </w:t>
        </w:r>
        <w:r w:rsidR="00752E4C" w:rsidRPr="00752E4C">
          <w:rPr>
            <w:rStyle w:val="Enlla"/>
            <w:i/>
            <w:noProof/>
            <w:sz w:val="18"/>
          </w:rPr>
          <w:t>Rho de Spearman</w:t>
        </w:r>
        <w:r w:rsidR="00752E4C" w:rsidRPr="00752E4C">
          <w:rPr>
            <w:rStyle w:val="Enlla"/>
            <w:noProof/>
            <w:sz w:val="18"/>
          </w:rPr>
          <w:t xml:space="preserve"> = 1.</w:t>
        </w:r>
        <w:r w:rsidR="00752E4C" w:rsidRPr="00752E4C">
          <w:rPr>
            <w:noProof/>
            <w:webHidden/>
            <w:sz w:val="18"/>
          </w:rPr>
          <w:tab/>
        </w:r>
        <w:r w:rsidR="00752E4C" w:rsidRPr="00752E4C">
          <w:rPr>
            <w:noProof/>
            <w:webHidden/>
            <w:sz w:val="18"/>
          </w:rPr>
          <w:fldChar w:fldCharType="begin"/>
        </w:r>
        <w:r w:rsidR="00752E4C" w:rsidRPr="00752E4C">
          <w:rPr>
            <w:noProof/>
            <w:webHidden/>
            <w:sz w:val="18"/>
          </w:rPr>
          <w:instrText xml:space="preserve"> PAGEREF _Toc465293809 \h </w:instrText>
        </w:r>
        <w:r w:rsidR="00752E4C" w:rsidRPr="00752E4C">
          <w:rPr>
            <w:noProof/>
            <w:webHidden/>
            <w:sz w:val="18"/>
          </w:rPr>
        </w:r>
        <w:r w:rsidR="00752E4C" w:rsidRPr="00752E4C">
          <w:rPr>
            <w:noProof/>
            <w:webHidden/>
            <w:sz w:val="18"/>
          </w:rPr>
          <w:fldChar w:fldCharType="separate"/>
        </w:r>
        <w:r w:rsidR="00752E4C" w:rsidRPr="00752E4C">
          <w:rPr>
            <w:noProof/>
            <w:webHidden/>
            <w:sz w:val="18"/>
          </w:rPr>
          <w:t>33</w:t>
        </w:r>
        <w:r w:rsidR="00752E4C" w:rsidRPr="00752E4C">
          <w:rPr>
            <w:noProof/>
            <w:webHidden/>
            <w:sz w:val="18"/>
          </w:rPr>
          <w:fldChar w:fldCharType="end"/>
        </w:r>
      </w:hyperlink>
    </w:p>
    <w:p w:rsidR="00752E4C" w:rsidRPr="00752E4C" w:rsidRDefault="00DB496B">
      <w:pPr>
        <w:pStyle w:val="ndexdillustracions"/>
        <w:tabs>
          <w:tab w:val="right" w:leader="dot" w:pos="9061"/>
        </w:tabs>
        <w:rPr>
          <w:rFonts w:asciiTheme="minorHAnsi" w:eastAsiaTheme="minorEastAsia" w:hAnsiTheme="minorHAnsi"/>
          <w:noProof/>
          <w:sz w:val="18"/>
          <w:lang w:eastAsia="ca-ES"/>
        </w:rPr>
      </w:pPr>
      <w:hyperlink w:anchor="_Toc465293810" w:history="1">
        <w:r w:rsidR="00752E4C" w:rsidRPr="00752E4C">
          <w:rPr>
            <w:rStyle w:val="Enlla"/>
            <w:noProof/>
            <w:sz w:val="18"/>
          </w:rPr>
          <w:t xml:space="preserve">Gràfic 4. Evolució de la població encarcerada, de les causes resoltes per sentència, de les causes registrades i dels fets penals. Les dades de població encarcerada correlacionen amb les tres derivades de l’activitat judicial amb els valors de </w:t>
        </w:r>
        <w:r w:rsidR="00752E4C" w:rsidRPr="00752E4C">
          <w:rPr>
            <w:rStyle w:val="Enlla"/>
            <w:i/>
            <w:noProof/>
            <w:sz w:val="18"/>
          </w:rPr>
          <w:t>Rho de Spearman</w:t>
        </w:r>
        <w:r w:rsidR="00752E4C" w:rsidRPr="00752E4C">
          <w:rPr>
            <w:rStyle w:val="Enlla"/>
            <w:noProof/>
            <w:sz w:val="18"/>
          </w:rPr>
          <w:t xml:space="preserve"> següents: 0,650, 0,897 i 0,791, respectivament, amb significacions de 0,006, 0,000 i 0,001. Període 2010-2015: (1) </w:t>
        </w:r>
        <w:r w:rsidR="00752E4C" w:rsidRPr="00752E4C">
          <w:rPr>
            <w:rStyle w:val="Enlla"/>
            <w:i/>
            <w:noProof/>
            <w:sz w:val="18"/>
          </w:rPr>
          <w:t>Rho de Spearman</w:t>
        </w:r>
        <w:r w:rsidR="00752E4C" w:rsidRPr="00752E4C">
          <w:rPr>
            <w:rStyle w:val="Enlla"/>
            <w:noProof/>
            <w:sz w:val="18"/>
          </w:rPr>
          <w:t xml:space="preserve"> = -1, entre població encarcerada i causes resoltes per sentència; (2) </w:t>
        </w:r>
        <w:r w:rsidR="00752E4C" w:rsidRPr="00752E4C">
          <w:rPr>
            <w:rStyle w:val="Enlla"/>
            <w:i/>
            <w:noProof/>
            <w:sz w:val="18"/>
          </w:rPr>
          <w:t>Rho de Spearman</w:t>
        </w:r>
        <w:r w:rsidR="00752E4C" w:rsidRPr="00752E4C">
          <w:rPr>
            <w:rStyle w:val="Enlla"/>
            <w:noProof/>
            <w:sz w:val="18"/>
          </w:rPr>
          <w:t xml:space="preserve"> = 1, entre població encarcerada i fets penals coneguts per la policia.</w:t>
        </w:r>
        <w:r w:rsidR="00752E4C" w:rsidRPr="00752E4C">
          <w:rPr>
            <w:noProof/>
            <w:webHidden/>
            <w:sz w:val="18"/>
          </w:rPr>
          <w:tab/>
        </w:r>
        <w:r w:rsidR="00752E4C" w:rsidRPr="00752E4C">
          <w:rPr>
            <w:noProof/>
            <w:webHidden/>
            <w:sz w:val="18"/>
          </w:rPr>
          <w:fldChar w:fldCharType="begin"/>
        </w:r>
        <w:r w:rsidR="00752E4C" w:rsidRPr="00752E4C">
          <w:rPr>
            <w:noProof/>
            <w:webHidden/>
            <w:sz w:val="18"/>
          </w:rPr>
          <w:instrText xml:space="preserve"> PAGEREF _Toc465293810 \h </w:instrText>
        </w:r>
        <w:r w:rsidR="00752E4C" w:rsidRPr="00752E4C">
          <w:rPr>
            <w:noProof/>
            <w:webHidden/>
            <w:sz w:val="18"/>
          </w:rPr>
        </w:r>
        <w:r w:rsidR="00752E4C" w:rsidRPr="00752E4C">
          <w:rPr>
            <w:noProof/>
            <w:webHidden/>
            <w:sz w:val="18"/>
          </w:rPr>
          <w:fldChar w:fldCharType="separate"/>
        </w:r>
        <w:r w:rsidR="00752E4C" w:rsidRPr="00752E4C">
          <w:rPr>
            <w:noProof/>
            <w:webHidden/>
            <w:sz w:val="18"/>
          </w:rPr>
          <w:t>34</w:t>
        </w:r>
        <w:r w:rsidR="00752E4C" w:rsidRPr="00752E4C">
          <w:rPr>
            <w:noProof/>
            <w:webHidden/>
            <w:sz w:val="18"/>
          </w:rPr>
          <w:fldChar w:fldCharType="end"/>
        </w:r>
      </w:hyperlink>
    </w:p>
    <w:p w:rsidR="00752E4C" w:rsidRPr="00752E4C" w:rsidRDefault="00DB496B">
      <w:pPr>
        <w:pStyle w:val="ndexdillustracions"/>
        <w:tabs>
          <w:tab w:val="right" w:leader="dot" w:pos="9061"/>
        </w:tabs>
        <w:rPr>
          <w:rFonts w:asciiTheme="minorHAnsi" w:eastAsiaTheme="minorEastAsia" w:hAnsiTheme="minorHAnsi"/>
          <w:noProof/>
          <w:sz w:val="18"/>
          <w:lang w:eastAsia="ca-ES"/>
        </w:rPr>
      </w:pPr>
      <w:hyperlink w:anchor="_Toc465293811" w:history="1">
        <w:r w:rsidR="00752E4C" w:rsidRPr="00752E4C">
          <w:rPr>
            <w:rStyle w:val="Enlla"/>
            <w:noProof/>
            <w:sz w:val="18"/>
          </w:rPr>
          <w:t>Gràfic 5. Evolució de la població encarcerada i el temps (en dies) d’estada en presó (</w:t>
        </w:r>
        <w:r w:rsidR="00752E4C" w:rsidRPr="00752E4C">
          <w:rPr>
            <w:rStyle w:val="Enlla"/>
            <w:i/>
            <w:noProof/>
            <w:sz w:val="18"/>
          </w:rPr>
          <w:t>Rho de Spearman</w:t>
        </w:r>
        <w:r w:rsidR="00752E4C" w:rsidRPr="00752E4C">
          <w:rPr>
            <w:rStyle w:val="Enlla"/>
            <w:noProof/>
            <w:sz w:val="18"/>
          </w:rPr>
          <w:t xml:space="preserve"> = 0,807, sig. = 0,000).</w:t>
        </w:r>
        <w:r w:rsidR="00752E4C" w:rsidRPr="00752E4C">
          <w:rPr>
            <w:noProof/>
            <w:webHidden/>
            <w:sz w:val="18"/>
          </w:rPr>
          <w:tab/>
        </w:r>
        <w:r w:rsidR="00752E4C" w:rsidRPr="00752E4C">
          <w:rPr>
            <w:noProof/>
            <w:webHidden/>
            <w:sz w:val="18"/>
          </w:rPr>
          <w:fldChar w:fldCharType="begin"/>
        </w:r>
        <w:r w:rsidR="00752E4C" w:rsidRPr="00752E4C">
          <w:rPr>
            <w:noProof/>
            <w:webHidden/>
            <w:sz w:val="18"/>
          </w:rPr>
          <w:instrText xml:space="preserve"> PAGEREF _Toc465293811 \h </w:instrText>
        </w:r>
        <w:r w:rsidR="00752E4C" w:rsidRPr="00752E4C">
          <w:rPr>
            <w:noProof/>
            <w:webHidden/>
            <w:sz w:val="18"/>
          </w:rPr>
        </w:r>
        <w:r w:rsidR="00752E4C" w:rsidRPr="00752E4C">
          <w:rPr>
            <w:noProof/>
            <w:webHidden/>
            <w:sz w:val="18"/>
          </w:rPr>
          <w:fldChar w:fldCharType="separate"/>
        </w:r>
        <w:r w:rsidR="00752E4C" w:rsidRPr="00752E4C">
          <w:rPr>
            <w:noProof/>
            <w:webHidden/>
            <w:sz w:val="18"/>
          </w:rPr>
          <w:t>34</w:t>
        </w:r>
        <w:r w:rsidR="00752E4C" w:rsidRPr="00752E4C">
          <w:rPr>
            <w:noProof/>
            <w:webHidden/>
            <w:sz w:val="18"/>
          </w:rPr>
          <w:fldChar w:fldCharType="end"/>
        </w:r>
      </w:hyperlink>
    </w:p>
    <w:p w:rsidR="00752E4C" w:rsidRPr="00752E4C" w:rsidRDefault="00DB496B">
      <w:pPr>
        <w:pStyle w:val="ndexdillustracions"/>
        <w:tabs>
          <w:tab w:val="right" w:leader="dot" w:pos="9061"/>
        </w:tabs>
        <w:rPr>
          <w:rFonts w:asciiTheme="minorHAnsi" w:eastAsiaTheme="minorEastAsia" w:hAnsiTheme="minorHAnsi"/>
          <w:noProof/>
          <w:sz w:val="18"/>
          <w:lang w:eastAsia="ca-ES"/>
        </w:rPr>
      </w:pPr>
      <w:hyperlink w:anchor="_Toc465293812" w:history="1">
        <w:r w:rsidR="00752E4C" w:rsidRPr="00752E4C">
          <w:rPr>
            <w:rStyle w:val="Enlla"/>
            <w:noProof/>
            <w:sz w:val="18"/>
          </w:rPr>
          <w:t>Gràfic 6. Evolució de la població encarcerada i del percentatge de preventius encarcerats (</w:t>
        </w:r>
        <w:r w:rsidR="00752E4C" w:rsidRPr="00752E4C">
          <w:rPr>
            <w:rStyle w:val="Enlla"/>
            <w:i/>
            <w:noProof/>
            <w:sz w:val="18"/>
          </w:rPr>
          <w:t>Rho de Spearman</w:t>
        </w:r>
        <w:r w:rsidR="00752E4C" w:rsidRPr="00752E4C">
          <w:rPr>
            <w:rStyle w:val="Enlla"/>
            <w:noProof/>
            <w:sz w:val="18"/>
          </w:rPr>
          <w:t xml:space="preserve"> = -0,769, sig. = 0,000).</w:t>
        </w:r>
        <w:r w:rsidR="00752E4C" w:rsidRPr="00752E4C">
          <w:rPr>
            <w:noProof/>
            <w:webHidden/>
            <w:sz w:val="18"/>
          </w:rPr>
          <w:tab/>
        </w:r>
        <w:r w:rsidR="00752E4C" w:rsidRPr="00752E4C">
          <w:rPr>
            <w:noProof/>
            <w:webHidden/>
            <w:sz w:val="18"/>
          </w:rPr>
          <w:fldChar w:fldCharType="begin"/>
        </w:r>
        <w:r w:rsidR="00752E4C" w:rsidRPr="00752E4C">
          <w:rPr>
            <w:noProof/>
            <w:webHidden/>
            <w:sz w:val="18"/>
          </w:rPr>
          <w:instrText xml:space="preserve"> PAGEREF _Toc465293812 \h </w:instrText>
        </w:r>
        <w:r w:rsidR="00752E4C" w:rsidRPr="00752E4C">
          <w:rPr>
            <w:noProof/>
            <w:webHidden/>
            <w:sz w:val="18"/>
          </w:rPr>
        </w:r>
        <w:r w:rsidR="00752E4C" w:rsidRPr="00752E4C">
          <w:rPr>
            <w:noProof/>
            <w:webHidden/>
            <w:sz w:val="18"/>
          </w:rPr>
          <w:fldChar w:fldCharType="separate"/>
        </w:r>
        <w:r w:rsidR="00752E4C" w:rsidRPr="00752E4C">
          <w:rPr>
            <w:noProof/>
            <w:webHidden/>
            <w:sz w:val="18"/>
          </w:rPr>
          <w:t>35</w:t>
        </w:r>
        <w:r w:rsidR="00752E4C" w:rsidRPr="00752E4C">
          <w:rPr>
            <w:noProof/>
            <w:webHidden/>
            <w:sz w:val="18"/>
          </w:rPr>
          <w:fldChar w:fldCharType="end"/>
        </w:r>
      </w:hyperlink>
    </w:p>
    <w:p w:rsidR="00752E4C" w:rsidRPr="00752E4C" w:rsidRDefault="00DB496B">
      <w:pPr>
        <w:pStyle w:val="ndexdillustracions"/>
        <w:tabs>
          <w:tab w:val="right" w:leader="dot" w:pos="9061"/>
        </w:tabs>
        <w:rPr>
          <w:rFonts w:asciiTheme="minorHAnsi" w:eastAsiaTheme="minorEastAsia" w:hAnsiTheme="minorHAnsi"/>
          <w:noProof/>
          <w:sz w:val="18"/>
          <w:lang w:eastAsia="ca-ES"/>
        </w:rPr>
      </w:pPr>
      <w:hyperlink w:anchor="_Toc465293813" w:history="1">
        <w:r w:rsidR="00752E4C" w:rsidRPr="00752E4C">
          <w:rPr>
            <w:rStyle w:val="Enlla"/>
            <w:noProof/>
            <w:sz w:val="18"/>
          </w:rPr>
          <w:t>Gràfic 7. Evolució de la població encarcerada i dels ingressos en presó de persones preventives (</w:t>
        </w:r>
        <w:r w:rsidR="00752E4C" w:rsidRPr="00752E4C">
          <w:rPr>
            <w:rStyle w:val="Enlla"/>
            <w:i/>
            <w:noProof/>
            <w:sz w:val="18"/>
          </w:rPr>
          <w:t>Rho de Spearman</w:t>
        </w:r>
        <w:r w:rsidR="00752E4C" w:rsidRPr="00752E4C">
          <w:rPr>
            <w:rStyle w:val="Enlla"/>
            <w:noProof/>
            <w:sz w:val="18"/>
          </w:rPr>
          <w:t xml:space="preserve"> = -0,501, sig. = 0,021). Període 1991-1994: </w:t>
        </w:r>
        <w:r w:rsidR="00752E4C" w:rsidRPr="00752E4C">
          <w:rPr>
            <w:rStyle w:val="Enlla"/>
            <w:i/>
            <w:noProof/>
            <w:sz w:val="18"/>
          </w:rPr>
          <w:t>Rho de Spearman</w:t>
        </w:r>
        <w:r w:rsidR="00752E4C" w:rsidRPr="00752E4C">
          <w:rPr>
            <w:rStyle w:val="Enlla"/>
            <w:noProof/>
            <w:sz w:val="18"/>
          </w:rPr>
          <w:t xml:space="preserve"> = 0,926, sig. = 0,000. Període 2010-2015: </w:t>
        </w:r>
        <w:r w:rsidR="00752E4C" w:rsidRPr="00752E4C">
          <w:rPr>
            <w:rStyle w:val="Enlla"/>
            <w:i/>
            <w:noProof/>
            <w:sz w:val="18"/>
          </w:rPr>
          <w:t>Rho de Spearman</w:t>
        </w:r>
        <w:r w:rsidR="00752E4C" w:rsidRPr="00752E4C">
          <w:rPr>
            <w:rStyle w:val="Enlla"/>
            <w:noProof/>
            <w:sz w:val="18"/>
          </w:rPr>
          <w:t xml:space="preserve"> = 0,886, sig. = 0,019.</w:t>
        </w:r>
        <w:r w:rsidR="00752E4C" w:rsidRPr="00752E4C">
          <w:rPr>
            <w:noProof/>
            <w:webHidden/>
            <w:sz w:val="18"/>
          </w:rPr>
          <w:tab/>
        </w:r>
        <w:r w:rsidR="00752E4C" w:rsidRPr="00752E4C">
          <w:rPr>
            <w:noProof/>
            <w:webHidden/>
            <w:sz w:val="18"/>
          </w:rPr>
          <w:fldChar w:fldCharType="begin"/>
        </w:r>
        <w:r w:rsidR="00752E4C" w:rsidRPr="00752E4C">
          <w:rPr>
            <w:noProof/>
            <w:webHidden/>
            <w:sz w:val="18"/>
          </w:rPr>
          <w:instrText xml:space="preserve"> PAGEREF _Toc465293813 \h </w:instrText>
        </w:r>
        <w:r w:rsidR="00752E4C" w:rsidRPr="00752E4C">
          <w:rPr>
            <w:noProof/>
            <w:webHidden/>
            <w:sz w:val="18"/>
          </w:rPr>
        </w:r>
        <w:r w:rsidR="00752E4C" w:rsidRPr="00752E4C">
          <w:rPr>
            <w:noProof/>
            <w:webHidden/>
            <w:sz w:val="18"/>
          </w:rPr>
          <w:fldChar w:fldCharType="separate"/>
        </w:r>
        <w:r w:rsidR="00752E4C" w:rsidRPr="00752E4C">
          <w:rPr>
            <w:noProof/>
            <w:webHidden/>
            <w:sz w:val="18"/>
          </w:rPr>
          <w:t>36</w:t>
        </w:r>
        <w:r w:rsidR="00752E4C" w:rsidRPr="00752E4C">
          <w:rPr>
            <w:noProof/>
            <w:webHidden/>
            <w:sz w:val="18"/>
          </w:rPr>
          <w:fldChar w:fldCharType="end"/>
        </w:r>
      </w:hyperlink>
    </w:p>
    <w:p w:rsidR="00752E4C" w:rsidRPr="00752E4C" w:rsidRDefault="00DB496B">
      <w:pPr>
        <w:pStyle w:val="ndexdillustracions"/>
        <w:tabs>
          <w:tab w:val="right" w:leader="dot" w:pos="9061"/>
        </w:tabs>
        <w:rPr>
          <w:rFonts w:asciiTheme="minorHAnsi" w:eastAsiaTheme="minorEastAsia" w:hAnsiTheme="minorHAnsi"/>
          <w:noProof/>
          <w:sz w:val="18"/>
          <w:lang w:eastAsia="ca-ES"/>
        </w:rPr>
      </w:pPr>
      <w:hyperlink w:anchor="_Toc465293814" w:history="1">
        <w:r w:rsidR="00752E4C" w:rsidRPr="00752E4C">
          <w:rPr>
            <w:rStyle w:val="Enlla"/>
            <w:noProof/>
            <w:sz w:val="18"/>
          </w:rPr>
          <w:t>Gràfic 8. Evolució de les causes resoltes per sentència i del percentatge de preventius encarcerats (</w:t>
        </w:r>
        <w:r w:rsidR="00752E4C" w:rsidRPr="00752E4C">
          <w:rPr>
            <w:rStyle w:val="Enlla"/>
            <w:i/>
            <w:noProof/>
            <w:sz w:val="18"/>
          </w:rPr>
          <w:t>Rho de Spearman</w:t>
        </w:r>
        <w:r w:rsidR="00752E4C" w:rsidRPr="00752E4C">
          <w:rPr>
            <w:rStyle w:val="Enlla"/>
            <w:noProof/>
            <w:sz w:val="18"/>
          </w:rPr>
          <w:t xml:space="preserve"> = -0,565, sig. = 0,023).</w:t>
        </w:r>
        <w:r w:rsidR="00752E4C" w:rsidRPr="00752E4C">
          <w:rPr>
            <w:noProof/>
            <w:webHidden/>
            <w:sz w:val="18"/>
          </w:rPr>
          <w:tab/>
        </w:r>
        <w:r w:rsidR="00752E4C" w:rsidRPr="00752E4C">
          <w:rPr>
            <w:noProof/>
            <w:webHidden/>
            <w:sz w:val="18"/>
          </w:rPr>
          <w:fldChar w:fldCharType="begin"/>
        </w:r>
        <w:r w:rsidR="00752E4C" w:rsidRPr="00752E4C">
          <w:rPr>
            <w:noProof/>
            <w:webHidden/>
            <w:sz w:val="18"/>
          </w:rPr>
          <w:instrText xml:space="preserve"> PAGEREF _Toc465293814 \h </w:instrText>
        </w:r>
        <w:r w:rsidR="00752E4C" w:rsidRPr="00752E4C">
          <w:rPr>
            <w:noProof/>
            <w:webHidden/>
            <w:sz w:val="18"/>
          </w:rPr>
        </w:r>
        <w:r w:rsidR="00752E4C" w:rsidRPr="00752E4C">
          <w:rPr>
            <w:noProof/>
            <w:webHidden/>
            <w:sz w:val="18"/>
          </w:rPr>
          <w:fldChar w:fldCharType="separate"/>
        </w:r>
        <w:r w:rsidR="00752E4C" w:rsidRPr="00752E4C">
          <w:rPr>
            <w:noProof/>
            <w:webHidden/>
            <w:sz w:val="18"/>
          </w:rPr>
          <w:t>36</w:t>
        </w:r>
        <w:r w:rsidR="00752E4C" w:rsidRPr="00752E4C">
          <w:rPr>
            <w:noProof/>
            <w:webHidden/>
            <w:sz w:val="18"/>
          </w:rPr>
          <w:fldChar w:fldCharType="end"/>
        </w:r>
      </w:hyperlink>
    </w:p>
    <w:p w:rsidR="00752E4C" w:rsidRPr="00752E4C" w:rsidRDefault="00DB496B">
      <w:pPr>
        <w:pStyle w:val="ndexdillustracions"/>
        <w:tabs>
          <w:tab w:val="right" w:leader="dot" w:pos="9061"/>
        </w:tabs>
        <w:rPr>
          <w:rFonts w:asciiTheme="minorHAnsi" w:eastAsiaTheme="minorEastAsia" w:hAnsiTheme="minorHAnsi"/>
          <w:noProof/>
          <w:sz w:val="18"/>
          <w:lang w:eastAsia="ca-ES"/>
        </w:rPr>
      </w:pPr>
      <w:hyperlink w:anchor="_Toc465293815" w:history="1">
        <w:r w:rsidR="00752E4C" w:rsidRPr="00752E4C">
          <w:rPr>
            <w:rStyle w:val="Enlla"/>
            <w:noProof/>
            <w:sz w:val="18"/>
          </w:rPr>
          <w:t xml:space="preserve">Gràfic 9. Evolució de la població encarcerada i de les sortides en llibertat de persones preventives. Període 1995-2000: </w:t>
        </w:r>
        <w:r w:rsidR="00752E4C" w:rsidRPr="00752E4C">
          <w:rPr>
            <w:rStyle w:val="Enlla"/>
            <w:i/>
            <w:noProof/>
            <w:sz w:val="18"/>
          </w:rPr>
          <w:t>Rho de Spearman</w:t>
        </w:r>
        <w:r w:rsidR="00752E4C" w:rsidRPr="00752E4C">
          <w:rPr>
            <w:rStyle w:val="Enlla"/>
            <w:noProof/>
            <w:sz w:val="18"/>
          </w:rPr>
          <w:t xml:space="preserve"> = 0,829, sig. = 0,042. Període 2010-2015: </w:t>
        </w:r>
        <w:r w:rsidR="00752E4C" w:rsidRPr="00752E4C">
          <w:rPr>
            <w:rStyle w:val="Enlla"/>
            <w:i/>
            <w:noProof/>
            <w:sz w:val="18"/>
          </w:rPr>
          <w:t>Rho de Spearman</w:t>
        </w:r>
        <w:r w:rsidR="00752E4C" w:rsidRPr="00752E4C">
          <w:rPr>
            <w:rStyle w:val="Enlla"/>
            <w:noProof/>
            <w:sz w:val="18"/>
          </w:rPr>
          <w:t xml:space="preserve"> = 1.</w:t>
        </w:r>
        <w:r w:rsidR="00752E4C" w:rsidRPr="00752E4C">
          <w:rPr>
            <w:noProof/>
            <w:webHidden/>
            <w:sz w:val="18"/>
          </w:rPr>
          <w:tab/>
        </w:r>
        <w:r w:rsidR="00752E4C" w:rsidRPr="00752E4C">
          <w:rPr>
            <w:noProof/>
            <w:webHidden/>
            <w:sz w:val="18"/>
          </w:rPr>
          <w:fldChar w:fldCharType="begin"/>
        </w:r>
        <w:r w:rsidR="00752E4C" w:rsidRPr="00752E4C">
          <w:rPr>
            <w:noProof/>
            <w:webHidden/>
            <w:sz w:val="18"/>
          </w:rPr>
          <w:instrText xml:space="preserve"> PAGEREF _Toc465293815 \h </w:instrText>
        </w:r>
        <w:r w:rsidR="00752E4C" w:rsidRPr="00752E4C">
          <w:rPr>
            <w:noProof/>
            <w:webHidden/>
            <w:sz w:val="18"/>
          </w:rPr>
        </w:r>
        <w:r w:rsidR="00752E4C" w:rsidRPr="00752E4C">
          <w:rPr>
            <w:noProof/>
            <w:webHidden/>
            <w:sz w:val="18"/>
          </w:rPr>
          <w:fldChar w:fldCharType="separate"/>
        </w:r>
        <w:r w:rsidR="00752E4C" w:rsidRPr="00752E4C">
          <w:rPr>
            <w:noProof/>
            <w:webHidden/>
            <w:sz w:val="18"/>
          </w:rPr>
          <w:t>37</w:t>
        </w:r>
        <w:r w:rsidR="00752E4C" w:rsidRPr="00752E4C">
          <w:rPr>
            <w:noProof/>
            <w:webHidden/>
            <w:sz w:val="18"/>
          </w:rPr>
          <w:fldChar w:fldCharType="end"/>
        </w:r>
      </w:hyperlink>
    </w:p>
    <w:p w:rsidR="00752E4C" w:rsidRPr="00752E4C" w:rsidRDefault="00DB496B">
      <w:pPr>
        <w:pStyle w:val="ndexdillustracions"/>
        <w:tabs>
          <w:tab w:val="right" w:leader="dot" w:pos="9061"/>
        </w:tabs>
        <w:rPr>
          <w:rFonts w:asciiTheme="minorHAnsi" w:eastAsiaTheme="minorEastAsia" w:hAnsiTheme="minorHAnsi"/>
          <w:noProof/>
          <w:sz w:val="18"/>
          <w:lang w:eastAsia="ca-ES"/>
        </w:rPr>
      </w:pPr>
      <w:hyperlink w:anchor="_Toc465293816" w:history="1">
        <w:r w:rsidR="00752E4C" w:rsidRPr="00752E4C">
          <w:rPr>
            <w:rStyle w:val="Enlla"/>
            <w:noProof/>
            <w:sz w:val="18"/>
          </w:rPr>
          <w:t>Gràfic 10. Població penitenciària l’últim dia de cada any i entrades i sortides de la presó (altes i baixes) produïdes cada any des de llibertat o per llibertat.</w:t>
        </w:r>
        <w:r w:rsidR="00752E4C" w:rsidRPr="00752E4C">
          <w:rPr>
            <w:noProof/>
            <w:webHidden/>
            <w:sz w:val="18"/>
          </w:rPr>
          <w:tab/>
        </w:r>
        <w:r w:rsidR="00752E4C" w:rsidRPr="00752E4C">
          <w:rPr>
            <w:noProof/>
            <w:webHidden/>
            <w:sz w:val="18"/>
          </w:rPr>
          <w:fldChar w:fldCharType="begin"/>
        </w:r>
        <w:r w:rsidR="00752E4C" w:rsidRPr="00752E4C">
          <w:rPr>
            <w:noProof/>
            <w:webHidden/>
            <w:sz w:val="18"/>
          </w:rPr>
          <w:instrText xml:space="preserve"> PAGEREF _Toc465293816 \h </w:instrText>
        </w:r>
        <w:r w:rsidR="00752E4C" w:rsidRPr="00752E4C">
          <w:rPr>
            <w:noProof/>
            <w:webHidden/>
            <w:sz w:val="18"/>
          </w:rPr>
        </w:r>
        <w:r w:rsidR="00752E4C" w:rsidRPr="00752E4C">
          <w:rPr>
            <w:noProof/>
            <w:webHidden/>
            <w:sz w:val="18"/>
          </w:rPr>
          <w:fldChar w:fldCharType="separate"/>
        </w:r>
        <w:r w:rsidR="00752E4C" w:rsidRPr="00752E4C">
          <w:rPr>
            <w:noProof/>
            <w:webHidden/>
            <w:sz w:val="18"/>
          </w:rPr>
          <w:t>37</w:t>
        </w:r>
        <w:r w:rsidR="00752E4C" w:rsidRPr="00752E4C">
          <w:rPr>
            <w:noProof/>
            <w:webHidden/>
            <w:sz w:val="18"/>
          </w:rPr>
          <w:fldChar w:fldCharType="end"/>
        </w:r>
      </w:hyperlink>
    </w:p>
    <w:p w:rsidR="00752E4C" w:rsidRPr="00752E4C" w:rsidRDefault="00DB496B">
      <w:pPr>
        <w:pStyle w:val="ndexdillustracions"/>
        <w:tabs>
          <w:tab w:val="right" w:leader="dot" w:pos="9061"/>
        </w:tabs>
        <w:rPr>
          <w:rFonts w:asciiTheme="minorHAnsi" w:eastAsiaTheme="minorEastAsia" w:hAnsiTheme="minorHAnsi"/>
          <w:noProof/>
          <w:sz w:val="18"/>
          <w:lang w:eastAsia="ca-ES"/>
        </w:rPr>
      </w:pPr>
      <w:hyperlink w:anchor="_Toc465293817" w:history="1">
        <w:r w:rsidR="00752E4C" w:rsidRPr="00752E4C">
          <w:rPr>
            <w:rStyle w:val="Enlla"/>
            <w:noProof/>
            <w:sz w:val="18"/>
          </w:rPr>
          <w:t xml:space="preserve">Gràfic 11. Evolució de la població encarcerada l’últim dia de cada any i de l’índex PIB. </w:t>
        </w:r>
        <w:r w:rsidR="00752E4C" w:rsidRPr="00752E4C">
          <w:rPr>
            <w:rStyle w:val="Enlla"/>
            <w:i/>
            <w:noProof/>
            <w:sz w:val="18"/>
          </w:rPr>
          <w:t>Rho de Spearman</w:t>
        </w:r>
        <w:r w:rsidR="00752E4C" w:rsidRPr="00752E4C">
          <w:rPr>
            <w:rStyle w:val="Enlla"/>
            <w:noProof/>
            <w:sz w:val="18"/>
          </w:rPr>
          <w:t xml:space="preserve"> = 0,944, sig. = 0,000).</w:t>
        </w:r>
        <w:r w:rsidR="00752E4C" w:rsidRPr="00752E4C">
          <w:rPr>
            <w:noProof/>
            <w:webHidden/>
            <w:sz w:val="18"/>
          </w:rPr>
          <w:tab/>
        </w:r>
        <w:r w:rsidR="00752E4C" w:rsidRPr="00752E4C">
          <w:rPr>
            <w:noProof/>
            <w:webHidden/>
            <w:sz w:val="18"/>
          </w:rPr>
          <w:fldChar w:fldCharType="begin"/>
        </w:r>
        <w:r w:rsidR="00752E4C" w:rsidRPr="00752E4C">
          <w:rPr>
            <w:noProof/>
            <w:webHidden/>
            <w:sz w:val="18"/>
          </w:rPr>
          <w:instrText xml:space="preserve"> PAGEREF _Toc465293817 \h </w:instrText>
        </w:r>
        <w:r w:rsidR="00752E4C" w:rsidRPr="00752E4C">
          <w:rPr>
            <w:noProof/>
            <w:webHidden/>
            <w:sz w:val="18"/>
          </w:rPr>
        </w:r>
        <w:r w:rsidR="00752E4C" w:rsidRPr="00752E4C">
          <w:rPr>
            <w:noProof/>
            <w:webHidden/>
            <w:sz w:val="18"/>
          </w:rPr>
          <w:fldChar w:fldCharType="separate"/>
        </w:r>
        <w:r w:rsidR="00752E4C" w:rsidRPr="00752E4C">
          <w:rPr>
            <w:noProof/>
            <w:webHidden/>
            <w:sz w:val="18"/>
          </w:rPr>
          <w:t>38</w:t>
        </w:r>
        <w:r w:rsidR="00752E4C" w:rsidRPr="00752E4C">
          <w:rPr>
            <w:noProof/>
            <w:webHidden/>
            <w:sz w:val="18"/>
          </w:rPr>
          <w:fldChar w:fldCharType="end"/>
        </w:r>
      </w:hyperlink>
    </w:p>
    <w:p w:rsidR="00752E4C" w:rsidRPr="00752E4C" w:rsidRDefault="00DB496B">
      <w:pPr>
        <w:pStyle w:val="ndexdillustracions"/>
        <w:tabs>
          <w:tab w:val="right" w:leader="dot" w:pos="9061"/>
        </w:tabs>
        <w:rPr>
          <w:rFonts w:asciiTheme="minorHAnsi" w:eastAsiaTheme="minorEastAsia" w:hAnsiTheme="minorHAnsi"/>
          <w:noProof/>
          <w:sz w:val="18"/>
          <w:lang w:eastAsia="ca-ES"/>
        </w:rPr>
      </w:pPr>
      <w:hyperlink w:anchor="_Toc465293818" w:history="1">
        <w:r w:rsidR="00752E4C" w:rsidRPr="00752E4C">
          <w:rPr>
            <w:rStyle w:val="Enlla"/>
            <w:noProof/>
            <w:sz w:val="18"/>
          </w:rPr>
          <w:t xml:space="preserve">Gràfic 12. Evolució de la població encarcerada l’últim dia de cada any i les persones que anualment han complert alguna MPA. </w:t>
        </w:r>
        <w:r w:rsidR="00752E4C" w:rsidRPr="00752E4C">
          <w:rPr>
            <w:rStyle w:val="Enlla"/>
            <w:i/>
            <w:noProof/>
            <w:sz w:val="18"/>
          </w:rPr>
          <w:t>Rho de Spearman</w:t>
        </w:r>
        <w:r w:rsidR="00752E4C" w:rsidRPr="00752E4C">
          <w:rPr>
            <w:rStyle w:val="Enlla"/>
            <w:noProof/>
            <w:sz w:val="18"/>
          </w:rPr>
          <w:t xml:space="preserve"> = 0,873, sig. = 0,000).</w:t>
        </w:r>
        <w:r w:rsidR="00752E4C" w:rsidRPr="00752E4C">
          <w:rPr>
            <w:noProof/>
            <w:webHidden/>
            <w:sz w:val="18"/>
          </w:rPr>
          <w:tab/>
        </w:r>
        <w:r w:rsidR="00752E4C" w:rsidRPr="00752E4C">
          <w:rPr>
            <w:noProof/>
            <w:webHidden/>
            <w:sz w:val="18"/>
          </w:rPr>
          <w:fldChar w:fldCharType="begin"/>
        </w:r>
        <w:r w:rsidR="00752E4C" w:rsidRPr="00752E4C">
          <w:rPr>
            <w:noProof/>
            <w:webHidden/>
            <w:sz w:val="18"/>
          </w:rPr>
          <w:instrText xml:space="preserve"> PAGEREF _Toc465293818 \h </w:instrText>
        </w:r>
        <w:r w:rsidR="00752E4C" w:rsidRPr="00752E4C">
          <w:rPr>
            <w:noProof/>
            <w:webHidden/>
            <w:sz w:val="18"/>
          </w:rPr>
        </w:r>
        <w:r w:rsidR="00752E4C" w:rsidRPr="00752E4C">
          <w:rPr>
            <w:noProof/>
            <w:webHidden/>
            <w:sz w:val="18"/>
          </w:rPr>
          <w:fldChar w:fldCharType="separate"/>
        </w:r>
        <w:r w:rsidR="00752E4C" w:rsidRPr="00752E4C">
          <w:rPr>
            <w:noProof/>
            <w:webHidden/>
            <w:sz w:val="18"/>
          </w:rPr>
          <w:t>38</w:t>
        </w:r>
        <w:r w:rsidR="00752E4C" w:rsidRPr="00752E4C">
          <w:rPr>
            <w:noProof/>
            <w:webHidden/>
            <w:sz w:val="18"/>
          </w:rPr>
          <w:fldChar w:fldCharType="end"/>
        </w:r>
      </w:hyperlink>
    </w:p>
    <w:p w:rsidR="00752E4C" w:rsidRPr="00752E4C" w:rsidRDefault="00DB496B">
      <w:pPr>
        <w:pStyle w:val="ndexdillustracions"/>
        <w:tabs>
          <w:tab w:val="right" w:leader="dot" w:pos="9061"/>
        </w:tabs>
        <w:rPr>
          <w:rFonts w:asciiTheme="minorHAnsi" w:eastAsiaTheme="minorEastAsia" w:hAnsiTheme="minorHAnsi"/>
          <w:noProof/>
          <w:sz w:val="18"/>
          <w:lang w:eastAsia="ca-ES"/>
        </w:rPr>
      </w:pPr>
      <w:hyperlink w:anchor="_Toc465293819" w:history="1">
        <w:r w:rsidR="00752E4C" w:rsidRPr="00752E4C">
          <w:rPr>
            <w:rStyle w:val="Enlla"/>
            <w:noProof/>
            <w:sz w:val="18"/>
          </w:rPr>
          <w:t>Gràfic 13. Evolució de la taxa d’encarcerament en els països del nostre entorn. Període 2005-2015</w:t>
        </w:r>
        <w:r w:rsidR="00752E4C" w:rsidRPr="00752E4C">
          <w:rPr>
            <w:noProof/>
            <w:webHidden/>
            <w:sz w:val="18"/>
          </w:rPr>
          <w:tab/>
        </w:r>
        <w:r w:rsidR="00752E4C" w:rsidRPr="00752E4C">
          <w:rPr>
            <w:noProof/>
            <w:webHidden/>
            <w:sz w:val="18"/>
          </w:rPr>
          <w:fldChar w:fldCharType="begin"/>
        </w:r>
        <w:r w:rsidR="00752E4C" w:rsidRPr="00752E4C">
          <w:rPr>
            <w:noProof/>
            <w:webHidden/>
            <w:sz w:val="18"/>
          </w:rPr>
          <w:instrText xml:space="preserve"> PAGEREF _Toc465293819 \h </w:instrText>
        </w:r>
        <w:r w:rsidR="00752E4C" w:rsidRPr="00752E4C">
          <w:rPr>
            <w:noProof/>
            <w:webHidden/>
            <w:sz w:val="18"/>
          </w:rPr>
        </w:r>
        <w:r w:rsidR="00752E4C" w:rsidRPr="00752E4C">
          <w:rPr>
            <w:noProof/>
            <w:webHidden/>
            <w:sz w:val="18"/>
          </w:rPr>
          <w:fldChar w:fldCharType="separate"/>
        </w:r>
        <w:r w:rsidR="00752E4C" w:rsidRPr="00752E4C">
          <w:rPr>
            <w:noProof/>
            <w:webHidden/>
            <w:sz w:val="18"/>
          </w:rPr>
          <w:t>42</w:t>
        </w:r>
        <w:r w:rsidR="00752E4C" w:rsidRPr="00752E4C">
          <w:rPr>
            <w:noProof/>
            <w:webHidden/>
            <w:sz w:val="18"/>
          </w:rPr>
          <w:fldChar w:fldCharType="end"/>
        </w:r>
      </w:hyperlink>
    </w:p>
    <w:p w:rsidR="00752E4C" w:rsidRPr="00752E4C" w:rsidRDefault="00DB496B">
      <w:pPr>
        <w:pStyle w:val="ndexdillustracions"/>
        <w:tabs>
          <w:tab w:val="right" w:leader="dot" w:pos="9061"/>
        </w:tabs>
        <w:rPr>
          <w:rFonts w:asciiTheme="minorHAnsi" w:eastAsiaTheme="minorEastAsia" w:hAnsiTheme="minorHAnsi"/>
          <w:noProof/>
          <w:sz w:val="18"/>
          <w:lang w:eastAsia="ca-ES"/>
        </w:rPr>
      </w:pPr>
      <w:hyperlink w:anchor="_Toc465293820" w:history="1">
        <w:r w:rsidR="00752E4C" w:rsidRPr="00752E4C">
          <w:rPr>
            <w:rStyle w:val="Enlla"/>
            <w:noProof/>
            <w:sz w:val="18"/>
          </w:rPr>
          <w:t>Gràfic 14. Evolució de la població encarcerada i dels interns que han sortit en llibertat condicional. Període 2004-2015.</w:t>
        </w:r>
        <w:r w:rsidR="00752E4C" w:rsidRPr="00752E4C">
          <w:rPr>
            <w:noProof/>
            <w:webHidden/>
            <w:sz w:val="18"/>
          </w:rPr>
          <w:tab/>
        </w:r>
        <w:r w:rsidR="00752E4C" w:rsidRPr="00752E4C">
          <w:rPr>
            <w:noProof/>
            <w:webHidden/>
            <w:sz w:val="18"/>
          </w:rPr>
          <w:fldChar w:fldCharType="begin"/>
        </w:r>
        <w:r w:rsidR="00752E4C" w:rsidRPr="00752E4C">
          <w:rPr>
            <w:noProof/>
            <w:webHidden/>
            <w:sz w:val="18"/>
          </w:rPr>
          <w:instrText xml:space="preserve"> PAGEREF _Toc465293820 \h </w:instrText>
        </w:r>
        <w:r w:rsidR="00752E4C" w:rsidRPr="00752E4C">
          <w:rPr>
            <w:noProof/>
            <w:webHidden/>
            <w:sz w:val="18"/>
          </w:rPr>
        </w:r>
        <w:r w:rsidR="00752E4C" w:rsidRPr="00752E4C">
          <w:rPr>
            <w:noProof/>
            <w:webHidden/>
            <w:sz w:val="18"/>
          </w:rPr>
          <w:fldChar w:fldCharType="separate"/>
        </w:r>
        <w:r w:rsidR="00752E4C" w:rsidRPr="00752E4C">
          <w:rPr>
            <w:noProof/>
            <w:webHidden/>
            <w:sz w:val="18"/>
          </w:rPr>
          <w:t>43</w:t>
        </w:r>
        <w:r w:rsidR="00752E4C" w:rsidRPr="00752E4C">
          <w:rPr>
            <w:noProof/>
            <w:webHidden/>
            <w:sz w:val="18"/>
          </w:rPr>
          <w:fldChar w:fldCharType="end"/>
        </w:r>
      </w:hyperlink>
    </w:p>
    <w:p w:rsidR="00752E4C" w:rsidRPr="00752E4C" w:rsidRDefault="00DB496B">
      <w:pPr>
        <w:pStyle w:val="ndexdillustracions"/>
        <w:tabs>
          <w:tab w:val="right" w:leader="dot" w:pos="9061"/>
        </w:tabs>
        <w:rPr>
          <w:rFonts w:asciiTheme="minorHAnsi" w:eastAsiaTheme="minorEastAsia" w:hAnsiTheme="minorHAnsi"/>
          <w:noProof/>
          <w:sz w:val="18"/>
          <w:lang w:eastAsia="ca-ES"/>
        </w:rPr>
      </w:pPr>
      <w:hyperlink w:anchor="_Toc465293821" w:history="1">
        <w:r w:rsidR="00752E4C" w:rsidRPr="00752E4C">
          <w:rPr>
            <w:rStyle w:val="Enlla"/>
            <w:noProof/>
            <w:sz w:val="18"/>
          </w:rPr>
          <w:t>Gràfic 15. Evolució de la taxa de reincidència penitenciària a Catalunya.</w:t>
        </w:r>
        <w:r w:rsidR="00752E4C" w:rsidRPr="00752E4C">
          <w:rPr>
            <w:noProof/>
            <w:webHidden/>
            <w:sz w:val="18"/>
          </w:rPr>
          <w:tab/>
        </w:r>
        <w:r w:rsidR="00752E4C" w:rsidRPr="00752E4C">
          <w:rPr>
            <w:noProof/>
            <w:webHidden/>
            <w:sz w:val="18"/>
          </w:rPr>
          <w:fldChar w:fldCharType="begin"/>
        </w:r>
        <w:r w:rsidR="00752E4C" w:rsidRPr="00752E4C">
          <w:rPr>
            <w:noProof/>
            <w:webHidden/>
            <w:sz w:val="18"/>
          </w:rPr>
          <w:instrText xml:space="preserve"> PAGEREF _Toc465293821 \h </w:instrText>
        </w:r>
        <w:r w:rsidR="00752E4C" w:rsidRPr="00752E4C">
          <w:rPr>
            <w:noProof/>
            <w:webHidden/>
            <w:sz w:val="18"/>
          </w:rPr>
        </w:r>
        <w:r w:rsidR="00752E4C" w:rsidRPr="00752E4C">
          <w:rPr>
            <w:noProof/>
            <w:webHidden/>
            <w:sz w:val="18"/>
          </w:rPr>
          <w:fldChar w:fldCharType="separate"/>
        </w:r>
        <w:r w:rsidR="00752E4C" w:rsidRPr="00752E4C">
          <w:rPr>
            <w:noProof/>
            <w:webHidden/>
            <w:sz w:val="18"/>
          </w:rPr>
          <w:t>45</w:t>
        </w:r>
        <w:r w:rsidR="00752E4C" w:rsidRPr="00752E4C">
          <w:rPr>
            <w:noProof/>
            <w:webHidden/>
            <w:sz w:val="18"/>
          </w:rPr>
          <w:fldChar w:fldCharType="end"/>
        </w:r>
      </w:hyperlink>
    </w:p>
    <w:p w:rsidR="00752E4C" w:rsidRPr="00752E4C" w:rsidRDefault="00DB496B">
      <w:pPr>
        <w:pStyle w:val="ndexdillustracions"/>
        <w:tabs>
          <w:tab w:val="right" w:leader="dot" w:pos="9061"/>
        </w:tabs>
        <w:rPr>
          <w:rFonts w:asciiTheme="minorHAnsi" w:eastAsiaTheme="minorEastAsia" w:hAnsiTheme="minorHAnsi"/>
          <w:noProof/>
          <w:sz w:val="18"/>
          <w:lang w:eastAsia="ca-ES"/>
        </w:rPr>
      </w:pPr>
      <w:hyperlink w:anchor="_Toc465293822" w:history="1">
        <w:r w:rsidR="00752E4C" w:rsidRPr="00752E4C">
          <w:rPr>
            <w:rStyle w:val="Enlla"/>
            <w:noProof/>
            <w:sz w:val="18"/>
          </w:rPr>
          <w:t>Gràfic 16. Predicció de la població encarcerada des del 2004 fins al 2010 sobre la base de les observacions del període gener 2001 a març 2004, i posterior comprovació de les dades reals, abril 2004 a desembre 2010.</w:t>
        </w:r>
        <w:r w:rsidR="00752E4C" w:rsidRPr="00752E4C">
          <w:rPr>
            <w:noProof/>
            <w:webHidden/>
            <w:sz w:val="18"/>
          </w:rPr>
          <w:tab/>
        </w:r>
        <w:r w:rsidR="00752E4C" w:rsidRPr="00752E4C">
          <w:rPr>
            <w:noProof/>
            <w:webHidden/>
            <w:sz w:val="18"/>
          </w:rPr>
          <w:fldChar w:fldCharType="begin"/>
        </w:r>
        <w:r w:rsidR="00752E4C" w:rsidRPr="00752E4C">
          <w:rPr>
            <w:noProof/>
            <w:webHidden/>
            <w:sz w:val="18"/>
          </w:rPr>
          <w:instrText xml:space="preserve"> PAGEREF _Toc465293822 \h </w:instrText>
        </w:r>
        <w:r w:rsidR="00752E4C" w:rsidRPr="00752E4C">
          <w:rPr>
            <w:noProof/>
            <w:webHidden/>
            <w:sz w:val="18"/>
          </w:rPr>
        </w:r>
        <w:r w:rsidR="00752E4C" w:rsidRPr="00752E4C">
          <w:rPr>
            <w:noProof/>
            <w:webHidden/>
            <w:sz w:val="18"/>
          </w:rPr>
          <w:fldChar w:fldCharType="separate"/>
        </w:r>
        <w:r w:rsidR="00752E4C" w:rsidRPr="00752E4C">
          <w:rPr>
            <w:noProof/>
            <w:webHidden/>
            <w:sz w:val="18"/>
          </w:rPr>
          <w:t>46</w:t>
        </w:r>
        <w:r w:rsidR="00752E4C" w:rsidRPr="00752E4C">
          <w:rPr>
            <w:noProof/>
            <w:webHidden/>
            <w:sz w:val="18"/>
          </w:rPr>
          <w:fldChar w:fldCharType="end"/>
        </w:r>
      </w:hyperlink>
    </w:p>
    <w:p w:rsidR="00752E4C" w:rsidRPr="00752E4C" w:rsidRDefault="00DB496B">
      <w:pPr>
        <w:pStyle w:val="ndexdillustracions"/>
        <w:tabs>
          <w:tab w:val="right" w:leader="dot" w:pos="9061"/>
        </w:tabs>
        <w:rPr>
          <w:rFonts w:asciiTheme="minorHAnsi" w:eastAsiaTheme="minorEastAsia" w:hAnsiTheme="minorHAnsi"/>
          <w:noProof/>
          <w:sz w:val="18"/>
          <w:lang w:eastAsia="ca-ES"/>
        </w:rPr>
      </w:pPr>
      <w:hyperlink w:anchor="_Toc465293823" w:history="1">
        <w:r w:rsidR="00752E4C" w:rsidRPr="00752E4C">
          <w:rPr>
            <w:rStyle w:val="Enlla"/>
            <w:noProof/>
            <w:sz w:val="18"/>
          </w:rPr>
          <w:t>Gràfic 17. Predicció de la població encarcerada des d’abril de 2016 fins al desembre de 2020 en base a les observacions del període gener-2011 a març 2016. S’han recollit els valors reals dels 5 primers mesos de la predicció (abril a agost de 2016) que comproven l’ajust de la predicció.</w:t>
        </w:r>
        <w:r w:rsidR="00752E4C" w:rsidRPr="00752E4C">
          <w:rPr>
            <w:noProof/>
            <w:webHidden/>
            <w:sz w:val="18"/>
          </w:rPr>
          <w:tab/>
        </w:r>
        <w:r w:rsidR="00752E4C" w:rsidRPr="00752E4C">
          <w:rPr>
            <w:noProof/>
            <w:webHidden/>
            <w:sz w:val="18"/>
          </w:rPr>
          <w:fldChar w:fldCharType="begin"/>
        </w:r>
        <w:r w:rsidR="00752E4C" w:rsidRPr="00752E4C">
          <w:rPr>
            <w:noProof/>
            <w:webHidden/>
            <w:sz w:val="18"/>
          </w:rPr>
          <w:instrText xml:space="preserve"> PAGEREF _Toc465293823 \h </w:instrText>
        </w:r>
        <w:r w:rsidR="00752E4C" w:rsidRPr="00752E4C">
          <w:rPr>
            <w:noProof/>
            <w:webHidden/>
            <w:sz w:val="18"/>
          </w:rPr>
        </w:r>
        <w:r w:rsidR="00752E4C" w:rsidRPr="00752E4C">
          <w:rPr>
            <w:noProof/>
            <w:webHidden/>
            <w:sz w:val="18"/>
          </w:rPr>
          <w:fldChar w:fldCharType="separate"/>
        </w:r>
        <w:r w:rsidR="00752E4C" w:rsidRPr="00752E4C">
          <w:rPr>
            <w:noProof/>
            <w:webHidden/>
            <w:sz w:val="18"/>
          </w:rPr>
          <w:t>46</w:t>
        </w:r>
        <w:r w:rsidR="00752E4C" w:rsidRPr="00752E4C">
          <w:rPr>
            <w:noProof/>
            <w:webHidden/>
            <w:sz w:val="18"/>
          </w:rPr>
          <w:fldChar w:fldCharType="end"/>
        </w:r>
      </w:hyperlink>
    </w:p>
    <w:p w:rsidR="00752E4C" w:rsidRPr="00752E4C" w:rsidRDefault="00DB496B">
      <w:pPr>
        <w:pStyle w:val="ndexdillustracions"/>
        <w:tabs>
          <w:tab w:val="right" w:leader="dot" w:pos="9061"/>
        </w:tabs>
        <w:rPr>
          <w:rFonts w:asciiTheme="minorHAnsi" w:eastAsiaTheme="minorEastAsia" w:hAnsiTheme="minorHAnsi"/>
          <w:noProof/>
          <w:sz w:val="18"/>
          <w:lang w:eastAsia="ca-ES"/>
        </w:rPr>
      </w:pPr>
      <w:hyperlink w:anchor="_Toc465293824" w:history="1">
        <w:r w:rsidR="00752E4C" w:rsidRPr="00752E4C">
          <w:rPr>
            <w:rStyle w:val="Enlla"/>
            <w:noProof/>
            <w:sz w:val="18"/>
          </w:rPr>
          <w:t>Gràfic 18. Nivells d'intervenció i recursos segons el nivell de risc - necessitat de cada individu</w:t>
        </w:r>
        <w:r w:rsidR="00752E4C" w:rsidRPr="00752E4C">
          <w:rPr>
            <w:noProof/>
            <w:webHidden/>
            <w:sz w:val="18"/>
          </w:rPr>
          <w:tab/>
        </w:r>
        <w:r w:rsidR="00752E4C" w:rsidRPr="00752E4C">
          <w:rPr>
            <w:noProof/>
            <w:webHidden/>
            <w:sz w:val="18"/>
          </w:rPr>
          <w:fldChar w:fldCharType="begin"/>
        </w:r>
        <w:r w:rsidR="00752E4C" w:rsidRPr="00752E4C">
          <w:rPr>
            <w:noProof/>
            <w:webHidden/>
            <w:sz w:val="18"/>
          </w:rPr>
          <w:instrText xml:space="preserve"> PAGEREF _Toc465293824 \h </w:instrText>
        </w:r>
        <w:r w:rsidR="00752E4C" w:rsidRPr="00752E4C">
          <w:rPr>
            <w:noProof/>
            <w:webHidden/>
            <w:sz w:val="18"/>
          </w:rPr>
        </w:r>
        <w:r w:rsidR="00752E4C" w:rsidRPr="00752E4C">
          <w:rPr>
            <w:noProof/>
            <w:webHidden/>
            <w:sz w:val="18"/>
          </w:rPr>
          <w:fldChar w:fldCharType="separate"/>
        </w:r>
        <w:r w:rsidR="00752E4C" w:rsidRPr="00752E4C">
          <w:rPr>
            <w:noProof/>
            <w:webHidden/>
            <w:sz w:val="18"/>
          </w:rPr>
          <w:t>49</w:t>
        </w:r>
        <w:r w:rsidR="00752E4C" w:rsidRPr="00752E4C">
          <w:rPr>
            <w:noProof/>
            <w:webHidden/>
            <w:sz w:val="18"/>
          </w:rPr>
          <w:fldChar w:fldCharType="end"/>
        </w:r>
      </w:hyperlink>
    </w:p>
    <w:p w:rsidR="00752E4C" w:rsidRPr="00752E4C" w:rsidRDefault="00DB496B">
      <w:pPr>
        <w:pStyle w:val="ndexdillustracions"/>
        <w:tabs>
          <w:tab w:val="right" w:leader="dot" w:pos="9061"/>
        </w:tabs>
        <w:rPr>
          <w:rFonts w:asciiTheme="minorHAnsi" w:eastAsiaTheme="minorEastAsia" w:hAnsiTheme="minorHAnsi"/>
          <w:noProof/>
          <w:sz w:val="18"/>
          <w:lang w:eastAsia="ca-ES"/>
        </w:rPr>
      </w:pPr>
      <w:hyperlink w:anchor="_Toc465293825" w:history="1">
        <w:r w:rsidR="00752E4C" w:rsidRPr="00752E4C">
          <w:rPr>
            <w:rStyle w:val="Enlla"/>
            <w:noProof/>
            <w:sz w:val="18"/>
          </w:rPr>
          <w:t>Gràfic 19. Evolució de les taxes de reincidència a Catalunya</w:t>
        </w:r>
        <w:r w:rsidR="00752E4C" w:rsidRPr="00752E4C">
          <w:rPr>
            <w:noProof/>
            <w:webHidden/>
            <w:sz w:val="18"/>
          </w:rPr>
          <w:tab/>
        </w:r>
        <w:r w:rsidR="00752E4C" w:rsidRPr="00752E4C">
          <w:rPr>
            <w:noProof/>
            <w:webHidden/>
            <w:sz w:val="18"/>
          </w:rPr>
          <w:fldChar w:fldCharType="begin"/>
        </w:r>
        <w:r w:rsidR="00752E4C" w:rsidRPr="00752E4C">
          <w:rPr>
            <w:noProof/>
            <w:webHidden/>
            <w:sz w:val="18"/>
          </w:rPr>
          <w:instrText xml:space="preserve"> PAGEREF _Toc465293825 \h </w:instrText>
        </w:r>
        <w:r w:rsidR="00752E4C" w:rsidRPr="00752E4C">
          <w:rPr>
            <w:noProof/>
            <w:webHidden/>
            <w:sz w:val="18"/>
          </w:rPr>
        </w:r>
        <w:r w:rsidR="00752E4C" w:rsidRPr="00752E4C">
          <w:rPr>
            <w:noProof/>
            <w:webHidden/>
            <w:sz w:val="18"/>
          </w:rPr>
          <w:fldChar w:fldCharType="separate"/>
        </w:r>
        <w:r w:rsidR="00752E4C" w:rsidRPr="00752E4C">
          <w:rPr>
            <w:noProof/>
            <w:webHidden/>
            <w:sz w:val="18"/>
          </w:rPr>
          <w:t>70</w:t>
        </w:r>
        <w:r w:rsidR="00752E4C" w:rsidRPr="00752E4C">
          <w:rPr>
            <w:noProof/>
            <w:webHidden/>
            <w:sz w:val="18"/>
          </w:rPr>
          <w:fldChar w:fldCharType="end"/>
        </w:r>
      </w:hyperlink>
    </w:p>
    <w:p w:rsidR="00752E4C" w:rsidRPr="00752E4C" w:rsidRDefault="00DB496B">
      <w:pPr>
        <w:pStyle w:val="ndexdillustracions"/>
        <w:tabs>
          <w:tab w:val="right" w:leader="dot" w:pos="9061"/>
        </w:tabs>
        <w:rPr>
          <w:rFonts w:asciiTheme="minorHAnsi" w:eastAsiaTheme="minorEastAsia" w:hAnsiTheme="minorHAnsi"/>
          <w:noProof/>
          <w:sz w:val="18"/>
          <w:lang w:eastAsia="ca-ES"/>
        </w:rPr>
      </w:pPr>
      <w:hyperlink w:anchor="_Toc465293826" w:history="1">
        <w:r w:rsidR="00752E4C" w:rsidRPr="00752E4C">
          <w:rPr>
            <w:rStyle w:val="Enlla"/>
            <w:noProof/>
            <w:sz w:val="18"/>
          </w:rPr>
          <w:t>Gràfic 20. Evolució de la freqüència de visites als CP del 2016 i també per edats del mes d’agost</w:t>
        </w:r>
        <w:r w:rsidR="00752E4C" w:rsidRPr="00752E4C">
          <w:rPr>
            <w:noProof/>
            <w:webHidden/>
            <w:sz w:val="18"/>
          </w:rPr>
          <w:tab/>
        </w:r>
        <w:r w:rsidR="00752E4C" w:rsidRPr="00752E4C">
          <w:rPr>
            <w:noProof/>
            <w:webHidden/>
            <w:sz w:val="18"/>
          </w:rPr>
          <w:fldChar w:fldCharType="begin"/>
        </w:r>
        <w:r w:rsidR="00752E4C" w:rsidRPr="00752E4C">
          <w:rPr>
            <w:noProof/>
            <w:webHidden/>
            <w:sz w:val="18"/>
          </w:rPr>
          <w:instrText xml:space="preserve"> PAGEREF _Toc465293826 \h </w:instrText>
        </w:r>
        <w:r w:rsidR="00752E4C" w:rsidRPr="00752E4C">
          <w:rPr>
            <w:noProof/>
            <w:webHidden/>
            <w:sz w:val="18"/>
          </w:rPr>
        </w:r>
        <w:r w:rsidR="00752E4C" w:rsidRPr="00752E4C">
          <w:rPr>
            <w:noProof/>
            <w:webHidden/>
            <w:sz w:val="18"/>
          </w:rPr>
          <w:fldChar w:fldCharType="separate"/>
        </w:r>
        <w:r w:rsidR="00752E4C" w:rsidRPr="00752E4C">
          <w:rPr>
            <w:noProof/>
            <w:webHidden/>
            <w:sz w:val="18"/>
          </w:rPr>
          <w:t>97</w:t>
        </w:r>
        <w:r w:rsidR="00752E4C" w:rsidRPr="00752E4C">
          <w:rPr>
            <w:noProof/>
            <w:webHidden/>
            <w:sz w:val="18"/>
          </w:rPr>
          <w:fldChar w:fldCharType="end"/>
        </w:r>
      </w:hyperlink>
    </w:p>
    <w:p w:rsidR="00752E4C" w:rsidRPr="00752E4C" w:rsidRDefault="00DB496B">
      <w:pPr>
        <w:pStyle w:val="ndexdillustracions"/>
        <w:tabs>
          <w:tab w:val="right" w:leader="dot" w:pos="9061"/>
        </w:tabs>
        <w:rPr>
          <w:rFonts w:asciiTheme="minorHAnsi" w:eastAsiaTheme="minorEastAsia" w:hAnsiTheme="minorHAnsi"/>
          <w:noProof/>
          <w:sz w:val="18"/>
          <w:lang w:eastAsia="ca-ES"/>
        </w:rPr>
      </w:pPr>
      <w:hyperlink w:anchor="_Toc465293827" w:history="1">
        <w:r w:rsidR="00752E4C" w:rsidRPr="00752E4C">
          <w:rPr>
            <w:rStyle w:val="Enlla"/>
            <w:noProof/>
            <w:sz w:val="18"/>
          </w:rPr>
          <w:t>Gràfic 21. La prevalença de malalties cròniques actuals</w:t>
        </w:r>
        <w:r w:rsidR="00752E4C" w:rsidRPr="00752E4C">
          <w:rPr>
            <w:noProof/>
            <w:webHidden/>
            <w:sz w:val="18"/>
          </w:rPr>
          <w:tab/>
        </w:r>
        <w:r w:rsidR="00752E4C" w:rsidRPr="00752E4C">
          <w:rPr>
            <w:noProof/>
            <w:webHidden/>
            <w:sz w:val="18"/>
          </w:rPr>
          <w:fldChar w:fldCharType="begin"/>
        </w:r>
        <w:r w:rsidR="00752E4C" w:rsidRPr="00752E4C">
          <w:rPr>
            <w:noProof/>
            <w:webHidden/>
            <w:sz w:val="18"/>
          </w:rPr>
          <w:instrText xml:space="preserve"> PAGEREF _Toc465293827 \h </w:instrText>
        </w:r>
        <w:r w:rsidR="00752E4C" w:rsidRPr="00752E4C">
          <w:rPr>
            <w:noProof/>
            <w:webHidden/>
            <w:sz w:val="18"/>
          </w:rPr>
        </w:r>
        <w:r w:rsidR="00752E4C" w:rsidRPr="00752E4C">
          <w:rPr>
            <w:noProof/>
            <w:webHidden/>
            <w:sz w:val="18"/>
          </w:rPr>
          <w:fldChar w:fldCharType="separate"/>
        </w:r>
        <w:r w:rsidR="00752E4C" w:rsidRPr="00752E4C">
          <w:rPr>
            <w:noProof/>
            <w:webHidden/>
            <w:sz w:val="18"/>
          </w:rPr>
          <w:t>98</w:t>
        </w:r>
        <w:r w:rsidR="00752E4C" w:rsidRPr="00752E4C">
          <w:rPr>
            <w:noProof/>
            <w:webHidden/>
            <w:sz w:val="18"/>
          </w:rPr>
          <w:fldChar w:fldCharType="end"/>
        </w:r>
      </w:hyperlink>
    </w:p>
    <w:p w:rsidR="00752E4C" w:rsidRPr="00752E4C" w:rsidRDefault="00DB496B">
      <w:pPr>
        <w:pStyle w:val="ndexdillustracions"/>
        <w:tabs>
          <w:tab w:val="right" w:leader="dot" w:pos="9061"/>
        </w:tabs>
        <w:rPr>
          <w:rFonts w:asciiTheme="minorHAnsi" w:eastAsiaTheme="minorEastAsia" w:hAnsiTheme="minorHAnsi"/>
          <w:noProof/>
          <w:sz w:val="18"/>
          <w:lang w:eastAsia="ca-ES"/>
        </w:rPr>
      </w:pPr>
      <w:hyperlink w:anchor="_Toc465293828" w:history="1">
        <w:r w:rsidR="00752E4C" w:rsidRPr="00752E4C">
          <w:rPr>
            <w:rStyle w:val="Enlla"/>
            <w:noProof/>
            <w:sz w:val="18"/>
          </w:rPr>
          <w:t>Gràfic 22. La prevalença de malalties agudes actuals</w:t>
        </w:r>
        <w:r w:rsidR="00752E4C" w:rsidRPr="00752E4C">
          <w:rPr>
            <w:noProof/>
            <w:webHidden/>
            <w:sz w:val="18"/>
          </w:rPr>
          <w:tab/>
        </w:r>
        <w:r w:rsidR="00752E4C" w:rsidRPr="00752E4C">
          <w:rPr>
            <w:noProof/>
            <w:webHidden/>
            <w:sz w:val="18"/>
          </w:rPr>
          <w:fldChar w:fldCharType="begin"/>
        </w:r>
        <w:r w:rsidR="00752E4C" w:rsidRPr="00752E4C">
          <w:rPr>
            <w:noProof/>
            <w:webHidden/>
            <w:sz w:val="18"/>
          </w:rPr>
          <w:instrText xml:space="preserve"> PAGEREF _Toc465293828 \h </w:instrText>
        </w:r>
        <w:r w:rsidR="00752E4C" w:rsidRPr="00752E4C">
          <w:rPr>
            <w:noProof/>
            <w:webHidden/>
            <w:sz w:val="18"/>
          </w:rPr>
        </w:r>
        <w:r w:rsidR="00752E4C" w:rsidRPr="00752E4C">
          <w:rPr>
            <w:noProof/>
            <w:webHidden/>
            <w:sz w:val="18"/>
          </w:rPr>
          <w:fldChar w:fldCharType="separate"/>
        </w:r>
        <w:r w:rsidR="00752E4C" w:rsidRPr="00752E4C">
          <w:rPr>
            <w:noProof/>
            <w:webHidden/>
            <w:sz w:val="18"/>
          </w:rPr>
          <w:t>100</w:t>
        </w:r>
        <w:r w:rsidR="00752E4C" w:rsidRPr="00752E4C">
          <w:rPr>
            <w:noProof/>
            <w:webHidden/>
            <w:sz w:val="18"/>
          </w:rPr>
          <w:fldChar w:fldCharType="end"/>
        </w:r>
      </w:hyperlink>
    </w:p>
    <w:p w:rsidR="00752E4C" w:rsidRPr="00752E4C" w:rsidRDefault="00DB496B">
      <w:pPr>
        <w:pStyle w:val="ndexdillustracions"/>
        <w:tabs>
          <w:tab w:val="right" w:leader="dot" w:pos="9061"/>
        </w:tabs>
        <w:rPr>
          <w:rFonts w:asciiTheme="minorHAnsi" w:eastAsiaTheme="minorEastAsia" w:hAnsiTheme="minorHAnsi"/>
          <w:noProof/>
          <w:sz w:val="18"/>
          <w:lang w:eastAsia="ca-ES"/>
        </w:rPr>
      </w:pPr>
      <w:hyperlink w:anchor="_Toc465293829" w:history="1">
        <w:r w:rsidR="00752E4C" w:rsidRPr="00752E4C">
          <w:rPr>
            <w:rStyle w:val="Enlla"/>
            <w:noProof/>
            <w:sz w:val="18"/>
          </w:rPr>
          <w:t>Gràfic 23. Comparativa 2012-2013-2014-2015-2016 (fins a l’agost)</w:t>
        </w:r>
        <w:r w:rsidR="00752E4C" w:rsidRPr="00752E4C">
          <w:rPr>
            <w:noProof/>
            <w:webHidden/>
            <w:sz w:val="18"/>
          </w:rPr>
          <w:tab/>
        </w:r>
        <w:r w:rsidR="00752E4C" w:rsidRPr="00752E4C">
          <w:rPr>
            <w:noProof/>
            <w:webHidden/>
            <w:sz w:val="18"/>
          </w:rPr>
          <w:fldChar w:fldCharType="begin"/>
        </w:r>
        <w:r w:rsidR="00752E4C" w:rsidRPr="00752E4C">
          <w:rPr>
            <w:noProof/>
            <w:webHidden/>
            <w:sz w:val="18"/>
          </w:rPr>
          <w:instrText xml:space="preserve"> PAGEREF _Toc465293829 \h </w:instrText>
        </w:r>
        <w:r w:rsidR="00752E4C" w:rsidRPr="00752E4C">
          <w:rPr>
            <w:noProof/>
            <w:webHidden/>
            <w:sz w:val="18"/>
          </w:rPr>
        </w:r>
        <w:r w:rsidR="00752E4C" w:rsidRPr="00752E4C">
          <w:rPr>
            <w:noProof/>
            <w:webHidden/>
            <w:sz w:val="18"/>
          </w:rPr>
          <w:fldChar w:fldCharType="separate"/>
        </w:r>
        <w:r w:rsidR="00752E4C" w:rsidRPr="00752E4C">
          <w:rPr>
            <w:noProof/>
            <w:webHidden/>
            <w:sz w:val="18"/>
          </w:rPr>
          <w:t>107</w:t>
        </w:r>
        <w:r w:rsidR="00752E4C" w:rsidRPr="00752E4C">
          <w:rPr>
            <w:noProof/>
            <w:webHidden/>
            <w:sz w:val="18"/>
          </w:rPr>
          <w:fldChar w:fldCharType="end"/>
        </w:r>
      </w:hyperlink>
    </w:p>
    <w:p w:rsidR="00752E4C" w:rsidRPr="00752E4C" w:rsidRDefault="00DB496B">
      <w:pPr>
        <w:pStyle w:val="ndexdillustracions"/>
        <w:tabs>
          <w:tab w:val="right" w:leader="dot" w:pos="9061"/>
        </w:tabs>
        <w:rPr>
          <w:rFonts w:asciiTheme="minorHAnsi" w:eastAsiaTheme="minorEastAsia" w:hAnsiTheme="minorHAnsi"/>
          <w:noProof/>
          <w:sz w:val="18"/>
          <w:lang w:eastAsia="ca-ES"/>
        </w:rPr>
      </w:pPr>
      <w:hyperlink w:anchor="_Toc465293830" w:history="1">
        <w:r w:rsidR="00752E4C" w:rsidRPr="00752E4C">
          <w:rPr>
            <w:rStyle w:val="Enlla"/>
            <w:noProof/>
            <w:sz w:val="18"/>
          </w:rPr>
          <w:t>Gràfic 24. Evolució de les persones ocupades pel CIRE</w:t>
        </w:r>
        <w:r w:rsidR="00752E4C" w:rsidRPr="00752E4C">
          <w:rPr>
            <w:noProof/>
            <w:webHidden/>
            <w:sz w:val="18"/>
          </w:rPr>
          <w:tab/>
        </w:r>
        <w:r w:rsidR="00752E4C" w:rsidRPr="00752E4C">
          <w:rPr>
            <w:noProof/>
            <w:webHidden/>
            <w:sz w:val="18"/>
          </w:rPr>
          <w:fldChar w:fldCharType="begin"/>
        </w:r>
        <w:r w:rsidR="00752E4C" w:rsidRPr="00752E4C">
          <w:rPr>
            <w:noProof/>
            <w:webHidden/>
            <w:sz w:val="18"/>
          </w:rPr>
          <w:instrText xml:space="preserve"> PAGEREF _Toc465293830 \h </w:instrText>
        </w:r>
        <w:r w:rsidR="00752E4C" w:rsidRPr="00752E4C">
          <w:rPr>
            <w:noProof/>
            <w:webHidden/>
            <w:sz w:val="18"/>
          </w:rPr>
        </w:r>
        <w:r w:rsidR="00752E4C" w:rsidRPr="00752E4C">
          <w:rPr>
            <w:noProof/>
            <w:webHidden/>
            <w:sz w:val="18"/>
          </w:rPr>
          <w:fldChar w:fldCharType="separate"/>
        </w:r>
        <w:r w:rsidR="00752E4C" w:rsidRPr="00752E4C">
          <w:rPr>
            <w:noProof/>
            <w:webHidden/>
            <w:sz w:val="18"/>
          </w:rPr>
          <w:t>108</w:t>
        </w:r>
        <w:r w:rsidR="00752E4C" w:rsidRPr="00752E4C">
          <w:rPr>
            <w:noProof/>
            <w:webHidden/>
            <w:sz w:val="18"/>
          </w:rPr>
          <w:fldChar w:fldCharType="end"/>
        </w:r>
      </w:hyperlink>
    </w:p>
    <w:p w:rsidR="00752E4C" w:rsidRPr="00752E4C" w:rsidRDefault="00DB496B">
      <w:pPr>
        <w:pStyle w:val="ndexdillustracions"/>
        <w:tabs>
          <w:tab w:val="right" w:leader="dot" w:pos="9061"/>
        </w:tabs>
        <w:rPr>
          <w:rFonts w:asciiTheme="minorHAnsi" w:eastAsiaTheme="minorEastAsia" w:hAnsiTheme="minorHAnsi"/>
          <w:noProof/>
          <w:sz w:val="18"/>
          <w:lang w:eastAsia="ca-ES"/>
        </w:rPr>
      </w:pPr>
      <w:hyperlink w:anchor="_Toc465293831" w:history="1">
        <w:r w:rsidR="00752E4C" w:rsidRPr="00752E4C">
          <w:rPr>
            <w:rStyle w:val="Enlla"/>
            <w:noProof/>
            <w:sz w:val="18"/>
          </w:rPr>
          <w:t>Gràfic 25. Personal dels centres penitenciaris a 31.8.2016 per col•lectiu i tipus de vinculació</w:t>
        </w:r>
        <w:r w:rsidR="00752E4C" w:rsidRPr="00752E4C">
          <w:rPr>
            <w:noProof/>
            <w:webHidden/>
            <w:sz w:val="18"/>
          </w:rPr>
          <w:tab/>
        </w:r>
        <w:r w:rsidR="00752E4C" w:rsidRPr="00752E4C">
          <w:rPr>
            <w:noProof/>
            <w:webHidden/>
            <w:sz w:val="18"/>
          </w:rPr>
          <w:fldChar w:fldCharType="begin"/>
        </w:r>
        <w:r w:rsidR="00752E4C" w:rsidRPr="00752E4C">
          <w:rPr>
            <w:noProof/>
            <w:webHidden/>
            <w:sz w:val="18"/>
          </w:rPr>
          <w:instrText xml:space="preserve"> PAGEREF _Toc465293831 \h </w:instrText>
        </w:r>
        <w:r w:rsidR="00752E4C" w:rsidRPr="00752E4C">
          <w:rPr>
            <w:noProof/>
            <w:webHidden/>
            <w:sz w:val="18"/>
          </w:rPr>
        </w:r>
        <w:r w:rsidR="00752E4C" w:rsidRPr="00752E4C">
          <w:rPr>
            <w:noProof/>
            <w:webHidden/>
            <w:sz w:val="18"/>
          </w:rPr>
          <w:fldChar w:fldCharType="separate"/>
        </w:r>
        <w:r w:rsidR="00752E4C" w:rsidRPr="00752E4C">
          <w:rPr>
            <w:noProof/>
            <w:webHidden/>
            <w:sz w:val="18"/>
          </w:rPr>
          <w:t>124</w:t>
        </w:r>
        <w:r w:rsidR="00752E4C" w:rsidRPr="00752E4C">
          <w:rPr>
            <w:noProof/>
            <w:webHidden/>
            <w:sz w:val="18"/>
          </w:rPr>
          <w:fldChar w:fldCharType="end"/>
        </w:r>
      </w:hyperlink>
    </w:p>
    <w:p w:rsidR="00752E4C" w:rsidRPr="00752E4C" w:rsidRDefault="00DB496B">
      <w:pPr>
        <w:pStyle w:val="ndexdillustracions"/>
        <w:tabs>
          <w:tab w:val="right" w:leader="dot" w:pos="9061"/>
        </w:tabs>
        <w:rPr>
          <w:rFonts w:asciiTheme="minorHAnsi" w:eastAsiaTheme="minorEastAsia" w:hAnsiTheme="minorHAnsi"/>
          <w:noProof/>
          <w:sz w:val="18"/>
          <w:lang w:eastAsia="ca-ES"/>
        </w:rPr>
      </w:pPr>
      <w:hyperlink w:anchor="_Toc465293832" w:history="1">
        <w:r w:rsidR="00752E4C" w:rsidRPr="00752E4C">
          <w:rPr>
            <w:rStyle w:val="Enlla"/>
            <w:noProof/>
            <w:sz w:val="18"/>
          </w:rPr>
          <w:t>Gràfic 26. Personal dels centres penitenciaris a 31.8.2016 per col·lectiu</w:t>
        </w:r>
        <w:r w:rsidR="00752E4C" w:rsidRPr="00752E4C">
          <w:rPr>
            <w:noProof/>
            <w:webHidden/>
            <w:sz w:val="18"/>
          </w:rPr>
          <w:tab/>
        </w:r>
        <w:r w:rsidR="00752E4C" w:rsidRPr="00752E4C">
          <w:rPr>
            <w:noProof/>
            <w:webHidden/>
            <w:sz w:val="18"/>
          </w:rPr>
          <w:fldChar w:fldCharType="begin"/>
        </w:r>
        <w:r w:rsidR="00752E4C" w:rsidRPr="00752E4C">
          <w:rPr>
            <w:noProof/>
            <w:webHidden/>
            <w:sz w:val="18"/>
          </w:rPr>
          <w:instrText xml:space="preserve"> PAGEREF _Toc465293832 \h </w:instrText>
        </w:r>
        <w:r w:rsidR="00752E4C" w:rsidRPr="00752E4C">
          <w:rPr>
            <w:noProof/>
            <w:webHidden/>
            <w:sz w:val="18"/>
          </w:rPr>
        </w:r>
        <w:r w:rsidR="00752E4C" w:rsidRPr="00752E4C">
          <w:rPr>
            <w:noProof/>
            <w:webHidden/>
            <w:sz w:val="18"/>
          </w:rPr>
          <w:fldChar w:fldCharType="separate"/>
        </w:r>
        <w:r w:rsidR="00752E4C" w:rsidRPr="00752E4C">
          <w:rPr>
            <w:noProof/>
            <w:webHidden/>
            <w:sz w:val="18"/>
          </w:rPr>
          <w:t>125</w:t>
        </w:r>
        <w:r w:rsidR="00752E4C" w:rsidRPr="00752E4C">
          <w:rPr>
            <w:noProof/>
            <w:webHidden/>
            <w:sz w:val="18"/>
          </w:rPr>
          <w:fldChar w:fldCharType="end"/>
        </w:r>
      </w:hyperlink>
    </w:p>
    <w:p w:rsidR="00752E4C" w:rsidRPr="00752E4C" w:rsidRDefault="00DB496B">
      <w:pPr>
        <w:pStyle w:val="ndexdillustracions"/>
        <w:tabs>
          <w:tab w:val="right" w:leader="dot" w:pos="9061"/>
        </w:tabs>
        <w:rPr>
          <w:rFonts w:asciiTheme="minorHAnsi" w:eastAsiaTheme="minorEastAsia" w:hAnsiTheme="minorHAnsi"/>
          <w:noProof/>
          <w:sz w:val="18"/>
          <w:lang w:eastAsia="ca-ES"/>
        </w:rPr>
      </w:pPr>
      <w:hyperlink w:anchor="_Toc465293833" w:history="1">
        <w:r w:rsidR="00752E4C" w:rsidRPr="00752E4C">
          <w:rPr>
            <w:rStyle w:val="Enlla"/>
            <w:noProof/>
            <w:sz w:val="18"/>
          </w:rPr>
          <w:t>Gràfic 27. Categories, especialitats del personal laboral</w:t>
        </w:r>
        <w:r w:rsidR="00752E4C" w:rsidRPr="00752E4C">
          <w:rPr>
            <w:noProof/>
            <w:webHidden/>
            <w:sz w:val="18"/>
          </w:rPr>
          <w:tab/>
        </w:r>
        <w:r w:rsidR="00752E4C" w:rsidRPr="00752E4C">
          <w:rPr>
            <w:noProof/>
            <w:webHidden/>
            <w:sz w:val="18"/>
          </w:rPr>
          <w:fldChar w:fldCharType="begin"/>
        </w:r>
        <w:r w:rsidR="00752E4C" w:rsidRPr="00752E4C">
          <w:rPr>
            <w:noProof/>
            <w:webHidden/>
            <w:sz w:val="18"/>
          </w:rPr>
          <w:instrText xml:space="preserve"> PAGEREF _Toc465293833 \h </w:instrText>
        </w:r>
        <w:r w:rsidR="00752E4C" w:rsidRPr="00752E4C">
          <w:rPr>
            <w:noProof/>
            <w:webHidden/>
            <w:sz w:val="18"/>
          </w:rPr>
        </w:r>
        <w:r w:rsidR="00752E4C" w:rsidRPr="00752E4C">
          <w:rPr>
            <w:noProof/>
            <w:webHidden/>
            <w:sz w:val="18"/>
          </w:rPr>
          <w:fldChar w:fldCharType="separate"/>
        </w:r>
        <w:r w:rsidR="00752E4C" w:rsidRPr="00752E4C">
          <w:rPr>
            <w:noProof/>
            <w:webHidden/>
            <w:sz w:val="18"/>
          </w:rPr>
          <w:t>126</w:t>
        </w:r>
        <w:r w:rsidR="00752E4C" w:rsidRPr="00752E4C">
          <w:rPr>
            <w:noProof/>
            <w:webHidden/>
            <w:sz w:val="18"/>
          </w:rPr>
          <w:fldChar w:fldCharType="end"/>
        </w:r>
      </w:hyperlink>
    </w:p>
    <w:p w:rsidR="00752E4C" w:rsidRPr="00752E4C" w:rsidRDefault="00DB496B">
      <w:pPr>
        <w:pStyle w:val="ndexdillustracions"/>
        <w:tabs>
          <w:tab w:val="right" w:leader="dot" w:pos="9061"/>
        </w:tabs>
        <w:rPr>
          <w:rFonts w:asciiTheme="minorHAnsi" w:eastAsiaTheme="minorEastAsia" w:hAnsiTheme="minorHAnsi"/>
          <w:noProof/>
          <w:sz w:val="18"/>
          <w:lang w:eastAsia="ca-ES"/>
        </w:rPr>
      </w:pPr>
      <w:hyperlink w:anchor="_Toc465293834" w:history="1">
        <w:r w:rsidR="00752E4C" w:rsidRPr="00752E4C">
          <w:rPr>
            <w:rStyle w:val="Enlla"/>
            <w:noProof/>
            <w:sz w:val="18"/>
          </w:rPr>
          <w:t>Gràfic 28. Personal funcionari dels centres penitenciaris a 31.8.2016 per cos i especialitat</w:t>
        </w:r>
        <w:r w:rsidR="00752E4C" w:rsidRPr="00752E4C">
          <w:rPr>
            <w:noProof/>
            <w:webHidden/>
            <w:sz w:val="18"/>
          </w:rPr>
          <w:tab/>
        </w:r>
        <w:r w:rsidR="00752E4C" w:rsidRPr="00752E4C">
          <w:rPr>
            <w:noProof/>
            <w:webHidden/>
            <w:sz w:val="18"/>
          </w:rPr>
          <w:fldChar w:fldCharType="begin"/>
        </w:r>
        <w:r w:rsidR="00752E4C" w:rsidRPr="00752E4C">
          <w:rPr>
            <w:noProof/>
            <w:webHidden/>
            <w:sz w:val="18"/>
          </w:rPr>
          <w:instrText xml:space="preserve"> PAGEREF _Toc465293834 \h </w:instrText>
        </w:r>
        <w:r w:rsidR="00752E4C" w:rsidRPr="00752E4C">
          <w:rPr>
            <w:noProof/>
            <w:webHidden/>
            <w:sz w:val="18"/>
          </w:rPr>
        </w:r>
        <w:r w:rsidR="00752E4C" w:rsidRPr="00752E4C">
          <w:rPr>
            <w:noProof/>
            <w:webHidden/>
            <w:sz w:val="18"/>
          </w:rPr>
          <w:fldChar w:fldCharType="separate"/>
        </w:r>
        <w:r w:rsidR="00752E4C" w:rsidRPr="00752E4C">
          <w:rPr>
            <w:noProof/>
            <w:webHidden/>
            <w:sz w:val="18"/>
          </w:rPr>
          <w:t>127</w:t>
        </w:r>
        <w:r w:rsidR="00752E4C" w:rsidRPr="00752E4C">
          <w:rPr>
            <w:noProof/>
            <w:webHidden/>
            <w:sz w:val="18"/>
          </w:rPr>
          <w:fldChar w:fldCharType="end"/>
        </w:r>
      </w:hyperlink>
    </w:p>
    <w:p w:rsidR="00752E4C" w:rsidRPr="00752E4C" w:rsidRDefault="00DB496B">
      <w:pPr>
        <w:pStyle w:val="ndexdillustracions"/>
        <w:tabs>
          <w:tab w:val="right" w:leader="dot" w:pos="9061"/>
        </w:tabs>
        <w:rPr>
          <w:rFonts w:asciiTheme="minorHAnsi" w:eastAsiaTheme="minorEastAsia" w:hAnsiTheme="minorHAnsi"/>
          <w:noProof/>
          <w:sz w:val="18"/>
          <w:lang w:eastAsia="ca-ES"/>
        </w:rPr>
      </w:pPr>
      <w:hyperlink w:anchor="_Toc465293835" w:history="1">
        <w:r w:rsidR="00752E4C" w:rsidRPr="00752E4C">
          <w:rPr>
            <w:rStyle w:val="Enlla"/>
            <w:noProof/>
            <w:sz w:val="18"/>
          </w:rPr>
          <w:t>Gràfic 29. Personal laboral dels centres penitenciaris a 31.8.2016 per categoria i especialitat</w:t>
        </w:r>
        <w:r w:rsidR="00752E4C" w:rsidRPr="00752E4C">
          <w:rPr>
            <w:noProof/>
            <w:webHidden/>
            <w:sz w:val="18"/>
          </w:rPr>
          <w:tab/>
        </w:r>
        <w:r w:rsidR="00752E4C" w:rsidRPr="00752E4C">
          <w:rPr>
            <w:noProof/>
            <w:webHidden/>
            <w:sz w:val="18"/>
          </w:rPr>
          <w:fldChar w:fldCharType="begin"/>
        </w:r>
        <w:r w:rsidR="00752E4C" w:rsidRPr="00752E4C">
          <w:rPr>
            <w:noProof/>
            <w:webHidden/>
            <w:sz w:val="18"/>
          </w:rPr>
          <w:instrText xml:space="preserve"> PAGEREF _Toc465293835 \h </w:instrText>
        </w:r>
        <w:r w:rsidR="00752E4C" w:rsidRPr="00752E4C">
          <w:rPr>
            <w:noProof/>
            <w:webHidden/>
            <w:sz w:val="18"/>
          </w:rPr>
        </w:r>
        <w:r w:rsidR="00752E4C" w:rsidRPr="00752E4C">
          <w:rPr>
            <w:noProof/>
            <w:webHidden/>
            <w:sz w:val="18"/>
          </w:rPr>
          <w:fldChar w:fldCharType="separate"/>
        </w:r>
        <w:r w:rsidR="00752E4C" w:rsidRPr="00752E4C">
          <w:rPr>
            <w:noProof/>
            <w:webHidden/>
            <w:sz w:val="18"/>
          </w:rPr>
          <w:t>127</w:t>
        </w:r>
        <w:r w:rsidR="00752E4C" w:rsidRPr="00752E4C">
          <w:rPr>
            <w:noProof/>
            <w:webHidden/>
            <w:sz w:val="18"/>
          </w:rPr>
          <w:fldChar w:fldCharType="end"/>
        </w:r>
      </w:hyperlink>
    </w:p>
    <w:p w:rsidR="00752E4C" w:rsidRPr="00752E4C" w:rsidRDefault="00DB496B">
      <w:pPr>
        <w:pStyle w:val="ndexdillustracions"/>
        <w:tabs>
          <w:tab w:val="right" w:leader="dot" w:pos="9061"/>
        </w:tabs>
        <w:rPr>
          <w:rFonts w:asciiTheme="minorHAnsi" w:eastAsiaTheme="minorEastAsia" w:hAnsiTheme="minorHAnsi"/>
          <w:noProof/>
          <w:sz w:val="18"/>
          <w:lang w:eastAsia="ca-ES"/>
        </w:rPr>
      </w:pPr>
      <w:hyperlink w:anchor="_Toc465293836" w:history="1">
        <w:r w:rsidR="00752E4C" w:rsidRPr="00752E4C">
          <w:rPr>
            <w:rStyle w:val="Enlla"/>
            <w:noProof/>
            <w:sz w:val="18"/>
          </w:rPr>
          <w:t>Gràfic 30. Llocs adscrits als centres penitenciaris per àmbit d’actuació i tipologia de lloc</w:t>
        </w:r>
        <w:r w:rsidR="00752E4C" w:rsidRPr="00752E4C">
          <w:rPr>
            <w:noProof/>
            <w:webHidden/>
            <w:sz w:val="18"/>
          </w:rPr>
          <w:tab/>
        </w:r>
        <w:r w:rsidR="00752E4C" w:rsidRPr="00752E4C">
          <w:rPr>
            <w:noProof/>
            <w:webHidden/>
            <w:sz w:val="18"/>
          </w:rPr>
          <w:fldChar w:fldCharType="begin"/>
        </w:r>
        <w:r w:rsidR="00752E4C" w:rsidRPr="00752E4C">
          <w:rPr>
            <w:noProof/>
            <w:webHidden/>
            <w:sz w:val="18"/>
          </w:rPr>
          <w:instrText xml:space="preserve"> PAGEREF _Toc465293836 \h </w:instrText>
        </w:r>
        <w:r w:rsidR="00752E4C" w:rsidRPr="00752E4C">
          <w:rPr>
            <w:noProof/>
            <w:webHidden/>
            <w:sz w:val="18"/>
          </w:rPr>
        </w:r>
        <w:r w:rsidR="00752E4C" w:rsidRPr="00752E4C">
          <w:rPr>
            <w:noProof/>
            <w:webHidden/>
            <w:sz w:val="18"/>
          </w:rPr>
          <w:fldChar w:fldCharType="separate"/>
        </w:r>
        <w:r w:rsidR="00752E4C" w:rsidRPr="00752E4C">
          <w:rPr>
            <w:noProof/>
            <w:webHidden/>
            <w:sz w:val="18"/>
          </w:rPr>
          <w:t>129</w:t>
        </w:r>
        <w:r w:rsidR="00752E4C" w:rsidRPr="00752E4C">
          <w:rPr>
            <w:noProof/>
            <w:webHidden/>
            <w:sz w:val="18"/>
          </w:rPr>
          <w:fldChar w:fldCharType="end"/>
        </w:r>
      </w:hyperlink>
    </w:p>
    <w:p w:rsidR="00752E4C" w:rsidRPr="00752E4C" w:rsidRDefault="00DB496B">
      <w:pPr>
        <w:pStyle w:val="ndexdillustracions"/>
        <w:tabs>
          <w:tab w:val="right" w:leader="dot" w:pos="9061"/>
        </w:tabs>
        <w:rPr>
          <w:rFonts w:asciiTheme="minorHAnsi" w:eastAsiaTheme="minorEastAsia" w:hAnsiTheme="minorHAnsi"/>
          <w:noProof/>
          <w:sz w:val="18"/>
          <w:lang w:eastAsia="ca-ES"/>
        </w:rPr>
      </w:pPr>
      <w:hyperlink w:anchor="_Toc465293837" w:history="1">
        <w:r w:rsidR="00752E4C" w:rsidRPr="00752E4C">
          <w:rPr>
            <w:rStyle w:val="Enlla"/>
            <w:noProof/>
            <w:sz w:val="18"/>
          </w:rPr>
          <w:t>Gràfic 31. Personal dels centres penitenciaris 1986-1992 per àmbit d’actuació</w:t>
        </w:r>
        <w:r w:rsidR="00752E4C" w:rsidRPr="00752E4C">
          <w:rPr>
            <w:noProof/>
            <w:webHidden/>
            <w:sz w:val="18"/>
          </w:rPr>
          <w:tab/>
        </w:r>
        <w:r w:rsidR="00752E4C" w:rsidRPr="00752E4C">
          <w:rPr>
            <w:noProof/>
            <w:webHidden/>
            <w:sz w:val="18"/>
          </w:rPr>
          <w:fldChar w:fldCharType="begin"/>
        </w:r>
        <w:r w:rsidR="00752E4C" w:rsidRPr="00752E4C">
          <w:rPr>
            <w:noProof/>
            <w:webHidden/>
            <w:sz w:val="18"/>
          </w:rPr>
          <w:instrText xml:space="preserve"> PAGEREF _Toc465293837 \h </w:instrText>
        </w:r>
        <w:r w:rsidR="00752E4C" w:rsidRPr="00752E4C">
          <w:rPr>
            <w:noProof/>
            <w:webHidden/>
            <w:sz w:val="18"/>
          </w:rPr>
        </w:r>
        <w:r w:rsidR="00752E4C" w:rsidRPr="00752E4C">
          <w:rPr>
            <w:noProof/>
            <w:webHidden/>
            <w:sz w:val="18"/>
          </w:rPr>
          <w:fldChar w:fldCharType="separate"/>
        </w:r>
        <w:r w:rsidR="00752E4C" w:rsidRPr="00752E4C">
          <w:rPr>
            <w:noProof/>
            <w:webHidden/>
            <w:sz w:val="18"/>
          </w:rPr>
          <w:t>130</w:t>
        </w:r>
        <w:r w:rsidR="00752E4C" w:rsidRPr="00752E4C">
          <w:rPr>
            <w:noProof/>
            <w:webHidden/>
            <w:sz w:val="18"/>
          </w:rPr>
          <w:fldChar w:fldCharType="end"/>
        </w:r>
      </w:hyperlink>
    </w:p>
    <w:p w:rsidR="00752E4C" w:rsidRPr="00752E4C" w:rsidRDefault="00DB496B">
      <w:pPr>
        <w:pStyle w:val="ndexdillustracions"/>
        <w:tabs>
          <w:tab w:val="right" w:leader="dot" w:pos="9061"/>
        </w:tabs>
        <w:rPr>
          <w:rFonts w:asciiTheme="minorHAnsi" w:eastAsiaTheme="minorEastAsia" w:hAnsiTheme="minorHAnsi"/>
          <w:noProof/>
          <w:sz w:val="18"/>
          <w:lang w:eastAsia="ca-ES"/>
        </w:rPr>
      </w:pPr>
      <w:hyperlink w:anchor="_Toc465293838" w:history="1">
        <w:r w:rsidR="00752E4C" w:rsidRPr="00752E4C">
          <w:rPr>
            <w:rStyle w:val="Enlla"/>
            <w:noProof/>
            <w:sz w:val="18"/>
          </w:rPr>
          <w:t>Gràfic 32. Personal dels centres penitenciaris 1993-2004 per àmbit d’actuació</w:t>
        </w:r>
        <w:r w:rsidR="00752E4C" w:rsidRPr="00752E4C">
          <w:rPr>
            <w:noProof/>
            <w:webHidden/>
            <w:sz w:val="18"/>
          </w:rPr>
          <w:tab/>
        </w:r>
        <w:r w:rsidR="00752E4C" w:rsidRPr="00752E4C">
          <w:rPr>
            <w:noProof/>
            <w:webHidden/>
            <w:sz w:val="18"/>
          </w:rPr>
          <w:fldChar w:fldCharType="begin"/>
        </w:r>
        <w:r w:rsidR="00752E4C" w:rsidRPr="00752E4C">
          <w:rPr>
            <w:noProof/>
            <w:webHidden/>
            <w:sz w:val="18"/>
          </w:rPr>
          <w:instrText xml:space="preserve"> PAGEREF _Toc465293838 \h </w:instrText>
        </w:r>
        <w:r w:rsidR="00752E4C" w:rsidRPr="00752E4C">
          <w:rPr>
            <w:noProof/>
            <w:webHidden/>
            <w:sz w:val="18"/>
          </w:rPr>
        </w:r>
        <w:r w:rsidR="00752E4C" w:rsidRPr="00752E4C">
          <w:rPr>
            <w:noProof/>
            <w:webHidden/>
            <w:sz w:val="18"/>
          </w:rPr>
          <w:fldChar w:fldCharType="separate"/>
        </w:r>
        <w:r w:rsidR="00752E4C" w:rsidRPr="00752E4C">
          <w:rPr>
            <w:noProof/>
            <w:webHidden/>
            <w:sz w:val="18"/>
          </w:rPr>
          <w:t>130</w:t>
        </w:r>
        <w:r w:rsidR="00752E4C" w:rsidRPr="00752E4C">
          <w:rPr>
            <w:noProof/>
            <w:webHidden/>
            <w:sz w:val="18"/>
          </w:rPr>
          <w:fldChar w:fldCharType="end"/>
        </w:r>
      </w:hyperlink>
    </w:p>
    <w:p w:rsidR="00752E4C" w:rsidRPr="00752E4C" w:rsidRDefault="00DB496B">
      <w:pPr>
        <w:pStyle w:val="ndexdillustracions"/>
        <w:tabs>
          <w:tab w:val="right" w:leader="dot" w:pos="9061"/>
        </w:tabs>
        <w:rPr>
          <w:rFonts w:asciiTheme="minorHAnsi" w:eastAsiaTheme="minorEastAsia" w:hAnsiTheme="minorHAnsi"/>
          <w:noProof/>
          <w:sz w:val="18"/>
          <w:lang w:eastAsia="ca-ES"/>
        </w:rPr>
      </w:pPr>
      <w:hyperlink w:anchor="_Toc465293839" w:history="1">
        <w:r w:rsidR="00752E4C" w:rsidRPr="00752E4C">
          <w:rPr>
            <w:rStyle w:val="Enlla"/>
            <w:noProof/>
            <w:sz w:val="18"/>
          </w:rPr>
          <w:t>Gràfic 33. Personal dels centres penitenciaris 2005-2012 per àmbit d’actuació</w:t>
        </w:r>
        <w:r w:rsidR="00752E4C" w:rsidRPr="00752E4C">
          <w:rPr>
            <w:noProof/>
            <w:webHidden/>
            <w:sz w:val="18"/>
          </w:rPr>
          <w:tab/>
        </w:r>
        <w:r w:rsidR="00752E4C" w:rsidRPr="00752E4C">
          <w:rPr>
            <w:noProof/>
            <w:webHidden/>
            <w:sz w:val="18"/>
          </w:rPr>
          <w:fldChar w:fldCharType="begin"/>
        </w:r>
        <w:r w:rsidR="00752E4C" w:rsidRPr="00752E4C">
          <w:rPr>
            <w:noProof/>
            <w:webHidden/>
            <w:sz w:val="18"/>
          </w:rPr>
          <w:instrText xml:space="preserve"> PAGEREF _Toc465293839 \h </w:instrText>
        </w:r>
        <w:r w:rsidR="00752E4C" w:rsidRPr="00752E4C">
          <w:rPr>
            <w:noProof/>
            <w:webHidden/>
            <w:sz w:val="18"/>
          </w:rPr>
        </w:r>
        <w:r w:rsidR="00752E4C" w:rsidRPr="00752E4C">
          <w:rPr>
            <w:noProof/>
            <w:webHidden/>
            <w:sz w:val="18"/>
          </w:rPr>
          <w:fldChar w:fldCharType="separate"/>
        </w:r>
        <w:r w:rsidR="00752E4C" w:rsidRPr="00752E4C">
          <w:rPr>
            <w:noProof/>
            <w:webHidden/>
            <w:sz w:val="18"/>
          </w:rPr>
          <w:t>131</w:t>
        </w:r>
        <w:r w:rsidR="00752E4C" w:rsidRPr="00752E4C">
          <w:rPr>
            <w:noProof/>
            <w:webHidden/>
            <w:sz w:val="18"/>
          </w:rPr>
          <w:fldChar w:fldCharType="end"/>
        </w:r>
      </w:hyperlink>
    </w:p>
    <w:p w:rsidR="00752E4C" w:rsidRPr="00752E4C" w:rsidRDefault="00DB496B">
      <w:pPr>
        <w:pStyle w:val="ndexdillustracions"/>
        <w:tabs>
          <w:tab w:val="right" w:leader="dot" w:pos="9061"/>
        </w:tabs>
        <w:rPr>
          <w:rFonts w:asciiTheme="minorHAnsi" w:eastAsiaTheme="minorEastAsia" w:hAnsiTheme="minorHAnsi"/>
          <w:noProof/>
          <w:sz w:val="18"/>
          <w:lang w:eastAsia="ca-ES"/>
        </w:rPr>
      </w:pPr>
      <w:hyperlink w:anchor="_Toc465293840" w:history="1">
        <w:r w:rsidR="00752E4C" w:rsidRPr="00752E4C">
          <w:rPr>
            <w:rStyle w:val="Enlla"/>
            <w:noProof/>
            <w:sz w:val="18"/>
          </w:rPr>
          <w:t>Gràfic 34. Personal dels centres penitenciaris 2013-2016 per àmbit d’actuació</w:t>
        </w:r>
        <w:r w:rsidR="00752E4C" w:rsidRPr="00752E4C">
          <w:rPr>
            <w:noProof/>
            <w:webHidden/>
            <w:sz w:val="18"/>
          </w:rPr>
          <w:tab/>
        </w:r>
        <w:r w:rsidR="00752E4C" w:rsidRPr="00752E4C">
          <w:rPr>
            <w:noProof/>
            <w:webHidden/>
            <w:sz w:val="18"/>
          </w:rPr>
          <w:fldChar w:fldCharType="begin"/>
        </w:r>
        <w:r w:rsidR="00752E4C" w:rsidRPr="00752E4C">
          <w:rPr>
            <w:noProof/>
            <w:webHidden/>
            <w:sz w:val="18"/>
          </w:rPr>
          <w:instrText xml:space="preserve"> PAGEREF _Toc465293840 \h </w:instrText>
        </w:r>
        <w:r w:rsidR="00752E4C" w:rsidRPr="00752E4C">
          <w:rPr>
            <w:noProof/>
            <w:webHidden/>
            <w:sz w:val="18"/>
          </w:rPr>
        </w:r>
        <w:r w:rsidR="00752E4C" w:rsidRPr="00752E4C">
          <w:rPr>
            <w:noProof/>
            <w:webHidden/>
            <w:sz w:val="18"/>
          </w:rPr>
          <w:fldChar w:fldCharType="separate"/>
        </w:r>
        <w:r w:rsidR="00752E4C" w:rsidRPr="00752E4C">
          <w:rPr>
            <w:noProof/>
            <w:webHidden/>
            <w:sz w:val="18"/>
          </w:rPr>
          <w:t>132</w:t>
        </w:r>
        <w:r w:rsidR="00752E4C" w:rsidRPr="00752E4C">
          <w:rPr>
            <w:noProof/>
            <w:webHidden/>
            <w:sz w:val="18"/>
          </w:rPr>
          <w:fldChar w:fldCharType="end"/>
        </w:r>
      </w:hyperlink>
    </w:p>
    <w:p w:rsidR="00752E4C" w:rsidRPr="00752E4C" w:rsidRDefault="00DB496B">
      <w:pPr>
        <w:pStyle w:val="ndexdillustracions"/>
        <w:tabs>
          <w:tab w:val="right" w:leader="dot" w:pos="9061"/>
        </w:tabs>
        <w:rPr>
          <w:rFonts w:asciiTheme="minorHAnsi" w:eastAsiaTheme="minorEastAsia" w:hAnsiTheme="minorHAnsi"/>
          <w:noProof/>
          <w:sz w:val="18"/>
          <w:lang w:eastAsia="ca-ES"/>
        </w:rPr>
      </w:pPr>
      <w:hyperlink w:anchor="_Toc465293841" w:history="1">
        <w:r w:rsidR="00752E4C" w:rsidRPr="00752E4C">
          <w:rPr>
            <w:rStyle w:val="Enlla"/>
            <w:noProof/>
            <w:sz w:val="18"/>
          </w:rPr>
          <w:t>Gràfic 35. Persones internes / Plantilla de personal centres penitenciaris 1990-2016</w:t>
        </w:r>
        <w:r w:rsidR="00752E4C" w:rsidRPr="00752E4C">
          <w:rPr>
            <w:noProof/>
            <w:webHidden/>
            <w:sz w:val="18"/>
          </w:rPr>
          <w:tab/>
        </w:r>
        <w:r w:rsidR="00752E4C" w:rsidRPr="00752E4C">
          <w:rPr>
            <w:noProof/>
            <w:webHidden/>
            <w:sz w:val="18"/>
          </w:rPr>
          <w:fldChar w:fldCharType="begin"/>
        </w:r>
        <w:r w:rsidR="00752E4C" w:rsidRPr="00752E4C">
          <w:rPr>
            <w:noProof/>
            <w:webHidden/>
            <w:sz w:val="18"/>
          </w:rPr>
          <w:instrText xml:space="preserve"> PAGEREF _Toc465293841 \h </w:instrText>
        </w:r>
        <w:r w:rsidR="00752E4C" w:rsidRPr="00752E4C">
          <w:rPr>
            <w:noProof/>
            <w:webHidden/>
            <w:sz w:val="18"/>
          </w:rPr>
        </w:r>
        <w:r w:rsidR="00752E4C" w:rsidRPr="00752E4C">
          <w:rPr>
            <w:noProof/>
            <w:webHidden/>
            <w:sz w:val="18"/>
          </w:rPr>
          <w:fldChar w:fldCharType="separate"/>
        </w:r>
        <w:r w:rsidR="00752E4C" w:rsidRPr="00752E4C">
          <w:rPr>
            <w:noProof/>
            <w:webHidden/>
            <w:sz w:val="18"/>
          </w:rPr>
          <w:t>133</w:t>
        </w:r>
        <w:r w:rsidR="00752E4C" w:rsidRPr="00752E4C">
          <w:rPr>
            <w:noProof/>
            <w:webHidden/>
            <w:sz w:val="18"/>
          </w:rPr>
          <w:fldChar w:fldCharType="end"/>
        </w:r>
      </w:hyperlink>
    </w:p>
    <w:p w:rsidR="00752E4C" w:rsidRPr="00752E4C" w:rsidRDefault="00DB496B">
      <w:pPr>
        <w:pStyle w:val="ndexdillustracions"/>
        <w:tabs>
          <w:tab w:val="right" w:leader="dot" w:pos="9061"/>
        </w:tabs>
        <w:rPr>
          <w:rFonts w:asciiTheme="minorHAnsi" w:eastAsiaTheme="minorEastAsia" w:hAnsiTheme="minorHAnsi"/>
          <w:noProof/>
          <w:sz w:val="18"/>
          <w:lang w:eastAsia="ca-ES"/>
        </w:rPr>
      </w:pPr>
      <w:hyperlink w:anchor="_Toc465293842" w:history="1">
        <w:r w:rsidR="00752E4C" w:rsidRPr="00752E4C">
          <w:rPr>
            <w:rStyle w:val="Enlla"/>
            <w:noProof/>
            <w:sz w:val="18"/>
          </w:rPr>
          <w:t>Gràfic 36. Persones internes / Plantilla de personal centres penitenciaris 1990-2016</w:t>
        </w:r>
        <w:r w:rsidR="00752E4C" w:rsidRPr="00752E4C">
          <w:rPr>
            <w:noProof/>
            <w:webHidden/>
            <w:sz w:val="18"/>
          </w:rPr>
          <w:tab/>
        </w:r>
        <w:r w:rsidR="00752E4C" w:rsidRPr="00752E4C">
          <w:rPr>
            <w:noProof/>
            <w:webHidden/>
            <w:sz w:val="18"/>
          </w:rPr>
          <w:fldChar w:fldCharType="begin"/>
        </w:r>
        <w:r w:rsidR="00752E4C" w:rsidRPr="00752E4C">
          <w:rPr>
            <w:noProof/>
            <w:webHidden/>
            <w:sz w:val="18"/>
          </w:rPr>
          <w:instrText xml:space="preserve"> PAGEREF _Toc465293842 \h </w:instrText>
        </w:r>
        <w:r w:rsidR="00752E4C" w:rsidRPr="00752E4C">
          <w:rPr>
            <w:noProof/>
            <w:webHidden/>
            <w:sz w:val="18"/>
          </w:rPr>
        </w:r>
        <w:r w:rsidR="00752E4C" w:rsidRPr="00752E4C">
          <w:rPr>
            <w:noProof/>
            <w:webHidden/>
            <w:sz w:val="18"/>
          </w:rPr>
          <w:fldChar w:fldCharType="separate"/>
        </w:r>
        <w:r w:rsidR="00752E4C" w:rsidRPr="00752E4C">
          <w:rPr>
            <w:noProof/>
            <w:webHidden/>
            <w:sz w:val="18"/>
          </w:rPr>
          <w:t>133</w:t>
        </w:r>
        <w:r w:rsidR="00752E4C" w:rsidRPr="00752E4C">
          <w:rPr>
            <w:noProof/>
            <w:webHidden/>
            <w:sz w:val="18"/>
          </w:rPr>
          <w:fldChar w:fldCharType="end"/>
        </w:r>
      </w:hyperlink>
    </w:p>
    <w:p w:rsidR="00752E4C" w:rsidRPr="00752E4C" w:rsidRDefault="00DB496B">
      <w:pPr>
        <w:pStyle w:val="ndexdillustracions"/>
        <w:tabs>
          <w:tab w:val="right" w:leader="dot" w:pos="9061"/>
        </w:tabs>
        <w:rPr>
          <w:rFonts w:asciiTheme="minorHAnsi" w:eastAsiaTheme="minorEastAsia" w:hAnsiTheme="minorHAnsi"/>
          <w:noProof/>
          <w:sz w:val="18"/>
          <w:lang w:eastAsia="ca-ES"/>
        </w:rPr>
      </w:pPr>
      <w:hyperlink w:anchor="_Toc465293843" w:history="1">
        <w:r w:rsidR="00752E4C" w:rsidRPr="00752E4C">
          <w:rPr>
            <w:rStyle w:val="Enlla"/>
            <w:noProof/>
            <w:sz w:val="18"/>
          </w:rPr>
          <w:t>Gràfic 37. Personal dels centres penitenciaris a 31.8.2016 per tipus de lloc i tipus de vinculació</w:t>
        </w:r>
        <w:r w:rsidR="00752E4C" w:rsidRPr="00752E4C">
          <w:rPr>
            <w:noProof/>
            <w:webHidden/>
            <w:sz w:val="18"/>
          </w:rPr>
          <w:tab/>
        </w:r>
        <w:r w:rsidR="00752E4C" w:rsidRPr="00752E4C">
          <w:rPr>
            <w:noProof/>
            <w:webHidden/>
            <w:sz w:val="18"/>
          </w:rPr>
          <w:fldChar w:fldCharType="begin"/>
        </w:r>
        <w:r w:rsidR="00752E4C" w:rsidRPr="00752E4C">
          <w:rPr>
            <w:noProof/>
            <w:webHidden/>
            <w:sz w:val="18"/>
          </w:rPr>
          <w:instrText xml:space="preserve"> PAGEREF _Toc465293843 \h </w:instrText>
        </w:r>
        <w:r w:rsidR="00752E4C" w:rsidRPr="00752E4C">
          <w:rPr>
            <w:noProof/>
            <w:webHidden/>
            <w:sz w:val="18"/>
          </w:rPr>
        </w:r>
        <w:r w:rsidR="00752E4C" w:rsidRPr="00752E4C">
          <w:rPr>
            <w:noProof/>
            <w:webHidden/>
            <w:sz w:val="18"/>
          </w:rPr>
          <w:fldChar w:fldCharType="separate"/>
        </w:r>
        <w:r w:rsidR="00752E4C" w:rsidRPr="00752E4C">
          <w:rPr>
            <w:noProof/>
            <w:webHidden/>
            <w:sz w:val="18"/>
          </w:rPr>
          <w:t>134</w:t>
        </w:r>
        <w:r w:rsidR="00752E4C" w:rsidRPr="00752E4C">
          <w:rPr>
            <w:noProof/>
            <w:webHidden/>
            <w:sz w:val="18"/>
          </w:rPr>
          <w:fldChar w:fldCharType="end"/>
        </w:r>
      </w:hyperlink>
    </w:p>
    <w:p w:rsidR="00752E4C" w:rsidRPr="00752E4C" w:rsidRDefault="00DB496B">
      <w:pPr>
        <w:pStyle w:val="ndexdillustracions"/>
        <w:tabs>
          <w:tab w:val="right" w:leader="dot" w:pos="9061"/>
        </w:tabs>
        <w:rPr>
          <w:rFonts w:asciiTheme="minorHAnsi" w:eastAsiaTheme="minorEastAsia" w:hAnsiTheme="minorHAnsi"/>
          <w:noProof/>
          <w:sz w:val="18"/>
          <w:lang w:eastAsia="ca-ES"/>
        </w:rPr>
      </w:pPr>
      <w:hyperlink w:anchor="_Toc465293844" w:history="1">
        <w:r w:rsidR="00752E4C" w:rsidRPr="00752E4C">
          <w:rPr>
            <w:rStyle w:val="Enlla"/>
            <w:noProof/>
            <w:sz w:val="18"/>
          </w:rPr>
          <w:t>Gràfic 38. Places ofertes en concurs-oposició lliure</w:t>
        </w:r>
        <w:r w:rsidR="00752E4C" w:rsidRPr="00752E4C">
          <w:rPr>
            <w:noProof/>
            <w:webHidden/>
            <w:sz w:val="18"/>
          </w:rPr>
          <w:tab/>
        </w:r>
        <w:r w:rsidR="00752E4C" w:rsidRPr="00752E4C">
          <w:rPr>
            <w:noProof/>
            <w:webHidden/>
            <w:sz w:val="18"/>
          </w:rPr>
          <w:fldChar w:fldCharType="begin"/>
        </w:r>
        <w:r w:rsidR="00752E4C" w:rsidRPr="00752E4C">
          <w:rPr>
            <w:noProof/>
            <w:webHidden/>
            <w:sz w:val="18"/>
          </w:rPr>
          <w:instrText xml:space="preserve"> PAGEREF _Toc465293844 \h </w:instrText>
        </w:r>
        <w:r w:rsidR="00752E4C" w:rsidRPr="00752E4C">
          <w:rPr>
            <w:noProof/>
            <w:webHidden/>
            <w:sz w:val="18"/>
          </w:rPr>
        </w:r>
        <w:r w:rsidR="00752E4C" w:rsidRPr="00752E4C">
          <w:rPr>
            <w:noProof/>
            <w:webHidden/>
            <w:sz w:val="18"/>
          </w:rPr>
          <w:fldChar w:fldCharType="separate"/>
        </w:r>
        <w:r w:rsidR="00752E4C" w:rsidRPr="00752E4C">
          <w:rPr>
            <w:noProof/>
            <w:webHidden/>
            <w:sz w:val="18"/>
          </w:rPr>
          <w:t>135</w:t>
        </w:r>
        <w:r w:rsidR="00752E4C" w:rsidRPr="00752E4C">
          <w:rPr>
            <w:noProof/>
            <w:webHidden/>
            <w:sz w:val="18"/>
          </w:rPr>
          <w:fldChar w:fldCharType="end"/>
        </w:r>
      </w:hyperlink>
    </w:p>
    <w:p w:rsidR="00752E4C" w:rsidRPr="00752E4C" w:rsidRDefault="00DB496B">
      <w:pPr>
        <w:pStyle w:val="ndexdillustracions"/>
        <w:tabs>
          <w:tab w:val="right" w:leader="dot" w:pos="9061"/>
        </w:tabs>
        <w:rPr>
          <w:rFonts w:asciiTheme="minorHAnsi" w:eastAsiaTheme="minorEastAsia" w:hAnsiTheme="minorHAnsi"/>
          <w:noProof/>
          <w:sz w:val="18"/>
          <w:lang w:eastAsia="ca-ES"/>
        </w:rPr>
      </w:pPr>
      <w:hyperlink w:anchor="_Toc465293845" w:history="1">
        <w:r w:rsidR="00752E4C" w:rsidRPr="00752E4C">
          <w:rPr>
            <w:rStyle w:val="Enlla"/>
            <w:noProof/>
            <w:sz w:val="18"/>
          </w:rPr>
          <w:t>Gràfic 39. Concursos generals de mèrits i capacitats (No es detallen els processos restringits)</w:t>
        </w:r>
        <w:r w:rsidR="00752E4C" w:rsidRPr="00752E4C">
          <w:rPr>
            <w:noProof/>
            <w:webHidden/>
            <w:sz w:val="18"/>
          </w:rPr>
          <w:tab/>
        </w:r>
        <w:r w:rsidR="00752E4C" w:rsidRPr="00752E4C">
          <w:rPr>
            <w:noProof/>
            <w:webHidden/>
            <w:sz w:val="18"/>
          </w:rPr>
          <w:fldChar w:fldCharType="begin"/>
        </w:r>
        <w:r w:rsidR="00752E4C" w:rsidRPr="00752E4C">
          <w:rPr>
            <w:noProof/>
            <w:webHidden/>
            <w:sz w:val="18"/>
          </w:rPr>
          <w:instrText xml:space="preserve"> PAGEREF _Toc465293845 \h </w:instrText>
        </w:r>
        <w:r w:rsidR="00752E4C" w:rsidRPr="00752E4C">
          <w:rPr>
            <w:noProof/>
            <w:webHidden/>
            <w:sz w:val="18"/>
          </w:rPr>
        </w:r>
        <w:r w:rsidR="00752E4C" w:rsidRPr="00752E4C">
          <w:rPr>
            <w:noProof/>
            <w:webHidden/>
            <w:sz w:val="18"/>
          </w:rPr>
          <w:fldChar w:fldCharType="separate"/>
        </w:r>
        <w:r w:rsidR="00752E4C" w:rsidRPr="00752E4C">
          <w:rPr>
            <w:noProof/>
            <w:webHidden/>
            <w:sz w:val="18"/>
          </w:rPr>
          <w:t>136</w:t>
        </w:r>
        <w:r w:rsidR="00752E4C" w:rsidRPr="00752E4C">
          <w:rPr>
            <w:noProof/>
            <w:webHidden/>
            <w:sz w:val="18"/>
          </w:rPr>
          <w:fldChar w:fldCharType="end"/>
        </w:r>
      </w:hyperlink>
    </w:p>
    <w:p w:rsidR="00752E4C" w:rsidRPr="00752E4C" w:rsidRDefault="00DB496B">
      <w:pPr>
        <w:pStyle w:val="ndexdillustracions"/>
        <w:tabs>
          <w:tab w:val="right" w:leader="dot" w:pos="9061"/>
        </w:tabs>
        <w:rPr>
          <w:rFonts w:asciiTheme="minorHAnsi" w:eastAsiaTheme="minorEastAsia" w:hAnsiTheme="minorHAnsi"/>
          <w:noProof/>
          <w:sz w:val="18"/>
          <w:lang w:eastAsia="ca-ES"/>
        </w:rPr>
      </w:pPr>
      <w:hyperlink w:anchor="_Toc465293846" w:history="1">
        <w:r w:rsidR="00752E4C" w:rsidRPr="00752E4C">
          <w:rPr>
            <w:rStyle w:val="Enlla"/>
            <w:noProof/>
            <w:sz w:val="18"/>
          </w:rPr>
          <w:t>Gràfic 40. Concursos específics de mèrits i capacitats</w:t>
        </w:r>
        <w:r w:rsidR="00752E4C" w:rsidRPr="00752E4C">
          <w:rPr>
            <w:noProof/>
            <w:webHidden/>
            <w:sz w:val="18"/>
          </w:rPr>
          <w:tab/>
        </w:r>
        <w:r w:rsidR="00752E4C" w:rsidRPr="00752E4C">
          <w:rPr>
            <w:noProof/>
            <w:webHidden/>
            <w:sz w:val="18"/>
          </w:rPr>
          <w:fldChar w:fldCharType="begin"/>
        </w:r>
        <w:r w:rsidR="00752E4C" w:rsidRPr="00752E4C">
          <w:rPr>
            <w:noProof/>
            <w:webHidden/>
            <w:sz w:val="18"/>
          </w:rPr>
          <w:instrText xml:space="preserve"> PAGEREF _Toc465293846 \h </w:instrText>
        </w:r>
        <w:r w:rsidR="00752E4C" w:rsidRPr="00752E4C">
          <w:rPr>
            <w:noProof/>
            <w:webHidden/>
            <w:sz w:val="18"/>
          </w:rPr>
        </w:r>
        <w:r w:rsidR="00752E4C" w:rsidRPr="00752E4C">
          <w:rPr>
            <w:noProof/>
            <w:webHidden/>
            <w:sz w:val="18"/>
          </w:rPr>
          <w:fldChar w:fldCharType="separate"/>
        </w:r>
        <w:r w:rsidR="00752E4C" w:rsidRPr="00752E4C">
          <w:rPr>
            <w:noProof/>
            <w:webHidden/>
            <w:sz w:val="18"/>
          </w:rPr>
          <w:t>137</w:t>
        </w:r>
        <w:r w:rsidR="00752E4C" w:rsidRPr="00752E4C">
          <w:rPr>
            <w:noProof/>
            <w:webHidden/>
            <w:sz w:val="18"/>
          </w:rPr>
          <w:fldChar w:fldCharType="end"/>
        </w:r>
      </w:hyperlink>
    </w:p>
    <w:p w:rsidR="00752E4C" w:rsidRPr="00752E4C" w:rsidRDefault="00DB496B">
      <w:pPr>
        <w:pStyle w:val="ndexdillustracions"/>
        <w:tabs>
          <w:tab w:val="right" w:leader="dot" w:pos="9061"/>
        </w:tabs>
        <w:rPr>
          <w:rFonts w:asciiTheme="minorHAnsi" w:eastAsiaTheme="minorEastAsia" w:hAnsiTheme="minorHAnsi"/>
          <w:noProof/>
          <w:sz w:val="18"/>
          <w:lang w:eastAsia="ca-ES"/>
        </w:rPr>
      </w:pPr>
      <w:hyperlink w:anchor="_Toc465293847" w:history="1">
        <w:r w:rsidR="00752E4C" w:rsidRPr="00752E4C">
          <w:rPr>
            <w:rStyle w:val="Enlla"/>
            <w:noProof/>
            <w:sz w:val="18"/>
          </w:rPr>
          <w:t>Gràfic 41. Convocatòries de promoció professional en el mateix lloc</w:t>
        </w:r>
        <w:r w:rsidR="00752E4C" w:rsidRPr="00752E4C">
          <w:rPr>
            <w:noProof/>
            <w:webHidden/>
            <w:sz w:val="18"/>
          </w:rPr>
          <w:tab/>
        </w:r>
        <w:r w:rsidR="00752E4C" w:rsidRPr="00752E4C">
          <w:rPr>
            <w:noProof/>
            <w:webHidden/>
            <w:sz w:val="18"/>
          </w:rPr>
          <w:fldChar w:fldCharType="begin"/>
        </w:r>
        <w:r w:rsidR="00752E4C" w:rsidRPr="00752E4C">
          <w:rPr>
            <w:noProof/>
            <w:webHidden/>
            <w:sz w:val="18"/>
          </w:rPr>
          <w:instrText xml:space="preserve"> PAGEREF _Toc465293847 \h </w:instrText>
        </w:r>
        <w:r w:rsidR="00752E4C" w:rsidRPr="00752E4C">
          <w:rPr>
            <w:noProof/>
            <w:webHidden/>
            <w:sz w:val="18"/>
          </w:rPr>
        </w:r>
        <w:r w:rsidR="00752E4C" w:rsidRPr="00752E4C">
          <w:rPr>
            <w:noProof/>
            <w:webHidden/>
            <w:sz w:val="18"/>
          </w:rPr>
          <w:fldChar w:fldCharType="separate"/>
        </w:r>
        <w:r w:rsidR="00752E4C" w:rsidRPr="00752E4C">
          <w:rPr>
            <w:noProof/>
            <w:webHidden/>
            <w:sz w:val="18"/>
          </w:rPr>
          <w:t>137</w:t>
        </w:r>
        <w:r w:rsidR="00752E4C" w:rsidRPr="00752E4C">
          <w:rPr>
            <w:noProof/>
            <w:webHidden/>
            <w:sz w:val="18"/>
          </w:rPr>
          <w:fldChar w:fldCharType="end"/>
        </w:r>
      </w:hyperlink>
    </w:p>
    <w:p w:rsidR="00752E4C" w:rsidRPr="00752E4C" w:rsidRDefault="00DB496B">
      <w:pPr>
        <w:pStyle w:val="ndexdillustracions"/>
        <w:tabs>
          <w:tab w:val="right" w:leader="dot" w:pos="9061"/>
        </w:tabs>
        <w:rPr>
          <w:rFonts w:asciiTheme="minorHAnsi" w:eastAsiaTheme="minorEastAsia" w:hAnsiTheme="minorHAnsi"/>
          <w:noProof/>
          <w:sz w:val="18"/>
          <w:lang w:eastAsia="ca-ES"/>
        </w:rPr>
      </w:pPr>
      <w:hyperlink w:anchor="_Toc465293848" w:history="1">
        <w:r w:rsidR="00752E4C" w:rsidRPr="00752E4C">
          <w:rPr>
            <w:rStyle w:val="Enlla"/>
            <w:noProof/>
            <w:sz w:val="18"/>
          </w:rPr>
          <w:t>Gràfic 42. Activitats formatives organitzades pel CEJFE en l’àmbit d’execució penal</w:t>
        </w:r>
        <w:r w:rsidR="00752E4C" w:rsidRPr="00752E4C">
          <w:rPr>
            <w:noProof/>
            <w:webHidden/>
            <w:sz w:val="18"/>
          </w:rPr>
          <w:tab/>
        </w:r>
        <w:r w:rsidR="00752E4C" w:rsidRPr="00752E4C">
          <w:rPr>
            <w:noProof/>
            <w:webHidden/>
            <w:sz w:val="18"/>
          </w:rPr>
          <w:fldChar w:fldCharType="begin"/>
        </w:r>
        <w:r w:rsidR="00752E4C" w:rsidRPr="00752E4C">
          <w:rPr>
            <w:noProof/>
            <w:webHidden/>
            <w:sz w:val="18"/>
          </w:rPr>
          <w:instrText xml:space="preserve"> PAGEREF _Toc465293848 \h </w:instrText>
        </w:r>
        <w:r w:rsidR="00752E4C" w:rsidRPr="00752E4C">
          <w:rPr>
            <w:noProof/>
            <w:webHidden/>
            <w:sz w:val="18"/>
          </w:rPr>
        </w:r>
        <w:r w:rsidR="00752E4C" w:rsidRPr="00752E4C">
          <w:rPr>
            <w:noProof/>
            <w:webHidden/>
            <w:sz w:val="18"/>
          </w:rPr>
          <w:fldChar w:fldCharType="separate"/>
        </w:r>
        <w:r w:rsidR="00752E4C" w:rsidRPr="00752E4C">
          <w:rPr>
            <w:noProof/>
            <w:webHidden/>
            <w:sz w:val="18"/>
          </w:rPr>
          <w:t>139</w:t>
        </w:r>
        <w:r w:rsidR="00752E4C" w:rsidRPr="00752E4C">
          <w:rPr>
            <w:noProof/>
            <w:webHidden/>
            <w:sz w:val="18"/>
          </w:rPr>
          <w:fldChar w:fldCharType="end"/>
        </w:r>
      </w:hyperlink>
    </w:p>
    <w:p w:rsidR="00752E4C" w:rsidRPr="00752E4C" w:rsidRDefault="00DB496B">
      <w:pPr>
        <w:pStyle w:val="ndexdillustracions"/>
        <w:tabs>
          <w:tab w:val="right" w:leader="dot" w:pos="9061"/>
        </w:tabs>
        <w:rPr>
          <w:rFonts w:asciiTheme="minorHAnsi" w:eastAsiaTheme="minorEastAsia" w:hAnsiTheme="minorHAnsi"/>
          <w:noProof/>
          <w:sz w:val="18"/>
          <w:lang w:eastAsia="ca-ES"/>
        </w:rPr>
      </w:pPr>
      <w:hyperlink w:anchor="_Toc465293849" w:history="1">
        <w:r w:rsidR="00752E4C" w:rsidRPr="00752E4C">
          <w:rPr>
            <w:rStyle w:val="Enlla"/>
            <w:noProof/>
            <w:sz w:val="18"/>
          </w:rPr>
          <w:t>Gràfic 43. Personal funcionari dels centres penitenciaris a 31.8.2016 per grup de titulació</w:t>
        </w:r>
        <w:r w:rsidR="00752E4C" w:rsidRPr="00752E4C">
          <w:rPr>
            <w:noProof/>
            <w:webHidden/>
            <w:sz w:val="18"/>
          </w:rPr>
          <w:tab/>
        </w:r>
        <w:r w:rsidR="00752E4C" w:rsidRPr="00752E4C">
          <w:rPr>
            <w:noProof/>
            <w:webHidden/>
            <w:sz w:val="18"/>
          </w:rPr>
          <w:fldChar w:fldCharType="begin"/>
        </w:r>
        <w:r w:rsidR="00752E4C" w:rsidRPr="00752E4C">
          <w:rPr>
            <w:noProof/>
            <w:webHidden/>
            <w:sz w:val="18"/>
          </w:rPr>
          <w:instrText xml:space="preserve"> PAGEREF _Toc465293849 \h </w:instrText>
        </w:r>
        <w:r w:rsidR="00752E4C" w:rsidRPr="00752E4C">
          <w:rPr>
            <w:noProof/>
            <w:webHidden/>
            <w:sz w:val="18"/>
          </w:rPr>
        </w:r>
        <w:r w:rsidR="00752E4C" w:rsidRPr="00752E4C">
          <w:rPr>
            <w:noProof/>
            <w:webHidden/>
            <w:sz w:val="18"/>
          </w:rPr>
          <w:fldChar w:fldCharType="separate"/>
        </w:r>
        <w:r w:rsidR="00752E4C" w:rsidRPr="00752E4C">
          <w:rPr>
            <w:noProof/>
            <w:webHidden/>
            <w:sz w:val="18"/>
          </w:rPr>
          <w:t>141</w:t>
        </w:r>
        <w:r w:rsidR="00752E4C" w:rsidRPr="00752E4C">
          <w:rPr>
            <w:noProof/>
            <w:webHidden/>
            <w:sz w:val="18"/>
          </w:rPr>
          <w:fldChar w:fldCharType="end"/>
        </w:r>
      </w:hyperlink>
    </w:p>
    <w:p w:rsidR="00752E4C" w:rsidRPr="00752E4C" w:rsidRDefault="00DB496B">
      <w:pPr>
        <w:pStyle w:val="ndexdillustracions"/>
        <w:tabs>
          <w:tab w:val="right" w:leader="dot" w:pos="9061"/>
        </w:tabs>
        <w:rPr>
          <w:rFonts w:asciiTheme="minorHAnsi" w:eastAsiaTheme="minorEastAsia" w:hAnsiTheme="minorHAnsi"/>
          <w:noProof/>
          <w:sz w:val="18"/>
          <w:lang w:eastAsia="ca-ES"/>
        </w:rPr>
      </w:pPr>
      <w:hyperlink w:anchor="_Toc465293850" w:history="1">
        <w:r w:rsidR="00752E4C" w:rsidRPr="00752E4C">
          <w:rPr>
            <w:rStyle w:val="Enlla"/>
            <w:noProof/>
            <w:sz w:val="18"/>
          </w:rPr>
          <w:t>Gràfic 44. Personal funcionari dels centres penitenciaris a 31.8.2016 per grup de titulació</w:t>
        </w:r>
        <w:r w:rsidR="00752E4C" w:rsidRPr="00752E4C">
          <w:rPr>
            <w:noProof/>
            <w:webHidden/>
            <w:sz w:val="18"/>
          </w:rPr>
          <w:tab/>
        </w:r>
        <w:r w:rsidR="00752E4C" w:rsidRPr="00752E4C">
          <w:rPr>
            <w:noProof/>
            <w:webHidden/>
            <w:sz w:val="18"/>
          </w:rPr>
          <w:fldChar w:fldCharType="begin"/>
        </w:r>
        <w:r w:rsidR="00752E4C" w:rsidRPr="00752E4C">
          <w:rPr>
            <w:noProof/>
            <w:webHidden/>
            <w:sz w:val="18"/>
          </w:rPr>
          <w:instrText xml:space="preserve"> PAGEREF _Toc465293850 \h </w:instrText>
        </w:r>
        <w:r w:rsidR="00752E4C" w:rsidRPr="00752E4C">
          <w:rPr>
            <w:noProof/>
            <w:webHidden/>
            <w:sz w:val="18"/>
          </w:rPr>
        </w:r>
        <w:r w:rsidR="00752E4C" w:rsidRPr="00752E4C">
          <w:rPr>
            <w:noProof/>
            <w:webHidden/>
            <w:sz w:val="18"/>
          </w:rPr>
          <w:fldChar w:fldCharType="separate"/>
        </w:r>
        <w:r w:rsidR="00752E4C" w:rsidRPr="00752E4C">
          <w:rPr>
            <w:noProof/>
            <w:webHidden/>
            <w:sz w:val="18"/>
          </w:rPr>
          <w:t>141</w:t>
        </w:r>
        <w:r w:rsidR="00752E4C" w:rsidRPr="00752E4C">
          <w:rPr>
            <w:noProof/>
            <w:webHidden/>
            <w:sz w:val="18"/>
          </w:rPr>
          <w:fldChar w:fldCharType="end"/>
        </w:r>
      </w:hyperlink>
    </w:p>
    <w:p w:rsidR="00752E4C" w:rsidRPr="00752E4C" w:rsidRDefault="00DB496B">
      <w:pPr>
        <w:pStyle w:val="ndexdillustracions"/>
        <w:tabs>
          <w:tab w:val="right" w:leader="dot" w:pos="9061"/>
        </w:tabs>
        <w:rPr>
          <w:rFonts w:asciiTheme="minorHAnsi" w:eastAsiaTheme="minorEastAsia" w:hAnsiTheme="minorHAnsi"/>
          <w:noProof/>
          <w:sz w:val="18"/>
          <w:lang w:eastAsia="ca-ES"/>
        </w:rPr>
      </w:pPr>
      <w:hyperlink w:anchor="_Toc465293851" w:history="1">
        <w:r w:rsidR="00752E4C" w:rsidRPr="00752E4C">
          <w:rPr>
            <w:rStyle w:val="Enlla"/>
            <w:noProof/>
            <w:sz w:val="18"/>
          </w:rPr>
          <w:t>Gràfic 45. Personal laboral dels centres penitenciaris a 31.8.2016 per grup de titulació</w:t>
        </w:r>
        <w:r w:rsidR="00752E4C" w:rsidRPr="00752E4C">
          <w:rPr>
            <w:noProof/>
            <w:webHidden/>
            <w:sz w:val="18"/>
          </w:rPr>
          <w:tab/>
        </w:r>
        <w:r w:rsidR="00752E4C" w:rsidRPr="00752E4C">
          <w:rPr>
            <w:noProof/>
            <w:webHidden/>
            <w:sz w:val="18"/>
          </w:rPr>
          <w:fldChar w:fldCharType="begin"/>
        </w:r>
        <w:r w:rsidR="00752E4C" w:rsidRPr="00752E4C">
          <w:rPr>
            <w:noProof/>
            <w:webHidden/>
            <w:sz w:val="18"/>
          </w:rPr>
          <w:instrText xml:space="preserve"> PAGEREF _Toc465293851 \h </w:instrText>
        </w:r>
        <w:r w:rsidR="00752E4C" w:rsidRPr="00752E4C">
          <w:rPr>
            <w:noProof/>
            <w:webHidden/>
            <w:sz w:val="18"/>
          </w:rPr>
        </w:r>
        <w:r w:rsidR="00752E4C" w:rsidRPr="00752E4C">
          <w:rPr>
            <w:noProof/>
            <w:webHidden/>
            <w:sz w:val="18"/>
          </w:rPr>
          <w:fldChar w:fldCharType="separate"/>
        </w:r>
        <w:r w:rsidR="00752E4C" w:rsidRPr="00752E4C">
          <w:rPr>
            <w:noProof/>
            <w:webHidden/>
            <w:sz w:val="18"/>
          </w:rPr>
          <w:t>142</w:t>
        </w:r>
        <w:r w:rsidR="00752E4C" w:rsidRPr="00752E4C">
          <w:rPr>
            <w:noProof/>
            <w:webHidden/>
            <w:sz w:val="18"/>
          </w:rPr>
          <w:fldChar w:fldCharType="end"/>
        </w:r>
      </w:hyperlink>
    </w:p>
    <w:p w:rsidR="00752E4C" w:rsidRPr="00752E4C" w:rsidRDefault="00DB496B">
      <w:pPr>
        <w:pStyle w:val="ndexdillustracions"/>
        <w:tabs>
          <w:tab w:val="right" w:leader="dot" w:pos="9061"/>
        </w:tabs>
        <w:rPr>
          <w:rFonts w:asciiTheme="minorHAnsi" w:eastAsiaTheme="minorEastAsia" w:hAnsiTheme="minorHAnsi"/>
          <w:noProof/>
          <w:sz w:val="18"/>
          <w:lang w:eastAsia="ca-ES"/>
        </w:rPr>
      </w:pPr>
      <w:hyperlink w:anchor="_Toc465293852" w:history="1">
        <w:r w:rsidR="00752E4C" w:rsidRPr="00752E4C">
          <w:rPr>
            <w:rStyle w:val="Enlla"/>
            <w:noProof/>
            <w:sz w:val="18"/>
          </w:rPr>
          <w:t>Gràfic 46. Personal laboral dels centres penitenciaris a 31.8.2016 per grup de titulació</w:t>
        </w:r>
        <w:r w:rsidR="00752E4C" w:rsidRPr="00752E4C">
          <w:rPr>
            <w:noProof/>
            <w:webHidden/>
            <w:sz w:val="18"/>
          </w:rPr>
          <w:tab/>
        </w:r>
        <w:r w:rsidR="00752E4C" w:rsidRPr="00752E4C">
          <w:rPr>
            <w:noProof/>
            <w:webHidden/>
            <w:sz w:val="18"/>
          </w:rPr>
          <w:fldChar w:fldCharType="begin"/>
        </w:r>
        <w:r w:rsidR="00752E4C" w:rsidRPr="00752E4C">
          <w:rPr>
            <w:noProof/>
            <w:webHidden/>
            <w:sz w:val="18"/>
          </w:rPr>
          <w:instrText xml:space="preserve"> PAGEREF _Toc465293852 \h </w:instrText>
        </w:r>
        <w:r w:rsidR="00752E4C" w:rsidRPr="00752E4C">
          <w:rPr>
            <w:noProof/>
            <w:webHidden/>
            <w:sz w:val="18"/>
          </w:rPr>
        </w:r>
        <w:r w:rsidR="00752E4C" w:rsidRPr="00752E4C">
          <w:rPr>
            <w:noProof/>
            <w:webHidden/>
            <w:sz w:val="18"/>
          </w:rPr>
          <w:fldChar w:fldCharType="separate"/>
        </w:r>
        <w:r w:rsidR="00752E4C" w:rsidRPr="00752E4C">
          <w:rPr>
            <w:noProof/>
            <w:webHidden/>
            <w:sz w:val="18"/>
          </w:rPr>
          <w:t>142</w:t>
        </w:r>
        <w:r w:rsidR="00752E4C" w:rsidRPr="00752E4C">
          <w:rPr>
            <w:noProof/>
            <w:webHidden/>
            <w:sz w:val="18"/>
          </w:rPr>
          <w:fldChar w:fldCharType="end"/>
        </w:r>
      </w:hyperlink>
    </w:p>
    <w:p w:rsidR="00752E4C" w:rsidRPr="00752E4C" w:rsidRDefault="00DB496B">
      <w:pPr>
        <w:pStyle w:val="ndexdillustracions"/>
        <w:tabs>
          <w:tab w:val="right" w:leader="dot" w:pos="9061"/>
        </w:tabs>
        <w:rPr>
          <w:rFonts w:asciiTheme="minorHAnsi" w:eastAsiaTheme="minorEastAsia" w:hAnsiTheme="minorHAnsi"/>
          <w:noProof/>
          <w:sz w:val="18"/>
          <w:lang w:eastAsia="ca-ES"/>
        </w:rPr>
      </w:pPr>
      <w:hyperlink r:id="rId129" w:anchor="_Toc465293853" w:history="1">
        <w:r w:rsidR="00752E4C" w:rsidRPr="00752E4C">
          <w:rPr>
            <w:rStyle w:val="Enlla"/>
            <w:noProof/>
            <w:sz w:val="18"/>
          </w:rPr>
          <w:t>Gràfic 47. Distribució de personal per àmbits d’actuació i centres de treball</w:t>
        </w:r>
        <w:r w:rsidR="00752E4C" w:rsidRPr="00752E4C">
          <w:rPr>
            <w:noProof/>
            <w:webHidden/>
            <w:sz w:val="18"/>
          </w:rPr>
          <w:tab/>
        </w:r>
        <w:r w:rsidR="00752E4C" w:rsidRPr="00752E4C">
          <w:rPr>
            <w:noProof/>
            <w:webHidden/>
            <w:sz w:val="18"/>
          </w:rPr>
          <w:fldChar w:fldCharType="begin"/>
        </w:r>
        <w:r w:rsidR="00752E4C" w:rsidRPr="00752E4C">
          <w:rPr>
            <w:noProof/>
            <w:webHidden/>
            <w:sz w:val="18"/>
          </w:rPr>
          <w:instrText xml:space="preserve"> PAGEREF _Toc465293853 \h </w:instrText>
        </w:r>
        <w:r w:rsidR="00752E4C" w:rsidRPr="00752E4C">
          <w:rPr>
            <w:noProof/>
            <w:webHidden/>
            <w:sz w:val="18"/>
          </w:rPr>
        </w:r>
        <w:r w:rsidR="00752E4C" w:rsidRPr="00752E4C">
          <w:rPr>
            <w:noProof/>
            <w:webHidden/>
            <w:sz w:val="18"/>
          </w:rPr>
          <w:fldChar w:fldCharType="separate"/>
        </w:r>
        <w:r w:rsidR="00752E4C" w:rsidRPr="00752E4C">
          <w:rPr>
            <w:noProof/>
            <w:webHidden/>
            <w:sz w:val="18"/>
          </w:rPr>
          <w:t>153</w:t>
        </w:r>
        <w:r w:rsidR="00752E4C" w:rsidRPr="00752E4C">
          <w:rPr>
            <w:noProof/>
            <w:webHidden/>
            <w:sz w:val="18"/>
          </w:rPr>
          <w:fldChar w:fldCharType="end"/>
        </w:r>
      </w:hyperlink>
    </w:p>
    <w:p w:rsidR="00752E4C" w:rsidRPr="00752E4C" w:rsidRDefault="00DB496B">
      <w:pPr>
        <w:pStyle w:val="ndexdillustracions"/>
        <w:tabs>
          <w:tab w:val="right" w:leader="dot" w:pos="9061"/>
        </w:tabs>
        <w:rPr>
          <w:rFonts w:asciiTheme="minorHAnsi" w:eastAsiaTheme="minorEastAsia" w:hAnsiTheme="minorHAnsi"/>
          <w:noProof/>
          <w:sz w:val="18"/>
          <w:lang w:eastAsia="ca-ES"/>
        </w:rPr>
      </w:pPr>
      <w:hyperlink w:anchor="_Toc465293854" w:history="1">
        <w:r w:rsidR="00752E4C" w:rsidRPr="00752E4C">
          <w:rPr>
            <w:rStyle w:val="Enlla"/>
            <w:noProof/>
            <w:sz w:val="18"/>
          </w:rPr>
          <w:t>Taula . Personal a 31.8.2016 per àmbit d’actuació i centre penitenciari</w:t>
        </w:r>
        <w:r w:rsidR="00752E4C" w:rsidRPr="00752E4C">
          <w:rPr>
            <w:noProof/>
            <w:webHidden/>
            <w:sz w:val="18"/>
          </w:rPr>
          <w:tab/>
        </w:r>
        <w:r w:rsidR="00752E4C" w:rsidRPr="00752E4C">
          <w:rPr>
            <w:noProof/>
            <w:webHidden/>
            <w:sz w:val="18"/>
          </w:rPr>
          <w:fldChar w:fldCharType="begin"/>
        </w:r>
        <w:r w:rsidR="00752E4C" w:rsidRPr="00752E4C">
          <w:rPr>
            <w:noProof/>
            <w:webHidden/>
            <w:sz w:val="18"/>
          </w:rPr>
          <w:instrText xml:space="preserve"> PAGEREF _Toc465293854 \h </w:instrText>
        </w:r>
        <w:r w:rsidR="00752E4C" w:rsidRPr="00752E4C">
          <w:rPr>
            <w:noProof/>
            <w:webHidden/>
            <w:sz w:val="18"/>
          </w:rPr>
        </w:r>
        <w:r w:rsidR="00752E4C" w:rsidRPr="00752E4C">
          <w:rPr>
            <w:noProof/>
            <w:webHidden/>
            <w:sz w:val="18"/>
          </w:rPr>
          <w:fldChar w:fldCharType="separate"/>
        </w:r>
        <w:r w:rsidR="00752E4C" w:rsidRPr="00752E4C">
          <w:rPr>
            <w:noProof/>
            <w:webHidden/>
            <w:sz w:val="18"/>
          </w:rPr>
          <w:t>153</w:t>
        </w:r>
        <w:r w:rsidR="00752E4C" w:rsidRPr="00752E4C">
          <w:rPr>
            <w:noProof/>
            <w:webHidden/>
            <w:sz w:val="18"/>
          </w:rPr>
          <w:fldChar w:fldCharType="end"/>
        </w:r>
      </w:hyperlink>
    </w:p>
    <w:p w:rsidR="00752E4C" w:rsidRPr="00752E4C" w:rsidRDefault="00DB496B">
      <w:pPr>
        <w:pStyle w:val="ndexdillustracions"/>
        <w:tabs>
          <w:tab w:val="right" w:leader="dot" w:pos="9061"/>
        </w:tabs>
        <w:rPr>
          <w:rFonts w:asciiTheme="minorHAnsi" w:eastAsiaTheme="minorEastAsia" w:hAnsiTheme="minorHAnsi"/>
          <w:noProof/>
          <w:sz w:val="18"/>
          <w:lang w:eastAsia="ca-ES"/>
        </w:rPr>
      </w:pPr>
      <w:hyperlink w:anchor="_Toc465293855" w:history="1">
        <w:r w:rsidR="00752E4C" w:rsidRPr="00752E4C">
          <w:rPr>
            <w:rStyle w:val="Enlla"/>
            <w:noProof/>
            <w:sz w:val="18"/>
          </w:rPr>
          <w:t>Gràfic 48. Comparativa de despeses de personal dels centres penitenciaris de Catalunya i d'Institucions Penitenciàries de l'Estat</w:t>
        </w:r>
        <w:r w:rsidR="00752E4C" w:rsidRPr="00752E4C">
          <w:rPr>
            <w:noProof/>
            <w:webHidden/>
            <w:sz w:val="18"/>
          </w:rPr>
          <w:tab/>
        </w:r>
        <w:r w:rsidR="00752E4C" w:rsidRPr="00752E4C">
          <w:rPr>
            <w:noProof/>
            <w:webHidden/>
            <w:sz w:val="18"/>
          </w:rPr>
          <w:fldChar w:fldCharType="begin"/>
        </w:r>
        <w:r w:rsidR="00752E4C" w:rsidRPr="00752E4C">
          <w:rPr>
            <w:noProof/>
            <w:webHidden/>
            <w:sz w:val="18"/>
          </w:rPr>
          <w:instrText xml:space="preserve"> PAGEREF _Toc465293855 \h </w:instrText>
        </w:r>
        <w:r w:rsidR="00752E4C" w:rsidRPr="00752E4C">
          <w:rPr>
            <w:noProof/>
            <w:webHidden/>
            <w:sz w:val="18"/>
          </w:rPr>
        </w:r>
        <w:r w:rsidR="00752E4C" w:rsidRPr="00752E4C">
          <w:rPr>
            <w:noProof/>
            <w:webHidden/>
            <w:sz w:val="18"/>
          </w:rPr>
          <w:fldChar w:fldCharType="separate"/>
        </w:r>
        <w:r w:rsidR="00752E4C" w:rsidRPr="00752E4C">
          <w:rPr>
            <w:noProof/>
            <w:webHidden/>
            <w:sz w:val="18"/>
          </w:rPr>
          <w:t>157</w:t>
        </w:r>
        <w:r w:rsidR="00752E4C" w:rsidRPr="00752E4C">
          <w:rPr>
            <w:noProof/>
            <w:webHidden/>
            <w:sz w:val="18"/>
          </w:rPr>
          <w:fldChar w:fldCharType="end"/>
        </w:r>
      </w:hyperlink>
    </w:p>
    <w:p w:rsidR="00752E4C" w:rsidRPr="00752E4C" w:rsidRDefault="00DB496B">
      <w:pPr>
        <w:pStyle w:val="ndexdillustracions"/>
        <w:tabs>
          <w:tab w:val="right" w:leader="dot" w:pos="9061"/>
        </w:tabs>
        <w:rPr>
          <w:rFonts w:asciiTheme="minorHAnsi" w:eastAsiaTheme="minorEastAsia" w:hAnsiTheme="minorHAnsi"/>
          <w:noProof/>
          <w:sz w:val="18"/>
          <w:lang w:eastAsia="ca-ES"/>
        </w:rPr>
      </w:pPr>
      <w:hyperlink w:anchor="_Toc465293856" w:history="1">
        <w:r w:rsidR="00752E4C" w:rsidRPr="00752E4C">
          <w:rPr>
            <w:rStyle w:val="Enlla"/>
            <w:noProof/>
            <w:sz w:val="18"/>
          </w:rPr>
          <w:t>Gràfic 49. Evolució de la despesa del personal dels centres penitenciaris 2010-2016</w:t>
        </w:r>
        <w:r w:rsidR="00752E4C" w:rsidRPr="00752E4C">
          <w:rPr>
            <w:noProof/>
            <w:webHidden/>
            <w:sz w:val="18"/>
          </w:rPr>
          <w:tab/>
        </w:r>
        <w:r w:rsidR="00752E4C" w:rsidRPr="00752E4C">
          <w:rPr>
            <w:noProof/>
            <w:webHidden/>
            <w:sz w:val="18"/>
          </w:rPr>
          <w:fldChar w:fldCharType="begin"/>
        </w:r>
        <w:r w:rsidR="00752E4C" w:rsidRPr="00752E4C">
          <w:rPr>
            <w:noProof/>
            <w:webHidden/>
            <w:sz w:val="18"/>
          </w:rPr>
          <w:instrText xml:space="preserve"> PAGEREF _Toc465293856 \h </w:instrText>
        </w:r>
        <w:r w:rsidR="00752E4C" w:rsidRPr="00752E4C">
          <w:rPr>
            <w:noProof/>
            <w:webHidden/>
            <w:sz w:val="18"/>
          </w:rPr>
        </w:r>
        <w:r w:rsidR="00752E4C" w:rsidRPr="00752E4C">
          <w:rPr>
            <w:noProof/>
            <w:webHidden/>
            <w:sz w:val="18"/>
          </w:rPr>
          <w:fldChar w:fldCharType="separate"/>
        </w:r>
        <w:r w:rsidR="00752E4C" w:rsidRPr="00752E4C">
          <w:rPr>
            <w:noProof/>
            <w:webHidden/>
            <w:sz w:val="18"/>
          </w:rPr>
          <w:t>158</w:t>
        </w:r>
        <w:r w:rsidR="00752E4C" w:rsidRPr="00752E4C">
          <w:rPr>
            <w:noProof/>
            <w:webHidden/>
            <w:sz w:val="18"/>
          </w:rPr>
          <w:fldChar w:fldCharType="end"/>
        </w:r>
      </w:hyperlink>
    </w:p>
    <w:p w:rsidR="00752E4C" w:rsidRPr="00752E4C" w:rsidRDefault="00DB496B">
      <w:pPr>
        <w:pStyle w:val="ndexdillustracions"/>
        <w:tabs>
          <w:tab w:val="right" w:leader="dot" w:pos="9061"/>
        </w:tabs>
        <w:rPr>
          <w:rFonts w:asciiTheme="minorHAnsi" w:eastAsiaTheme="minorEastAsia" w:hAnsiTheme="minorHAnsi"/>
          <w:noProof/>
          <w:sz w:val="18"/>
          <w:lang w:eastAsia="ca-ES"/>
        </w:rPr>
      </w:pPr>
      <w:hyperlink w:anchor="_Toc465293857" w:history="1">
        <w:r w:rsidR="00752E4C" w:rsidRPr="00752E4C">
          <w:rPr>
            <w:rStyle w:val="Enlla"/>
            <w:noProof/>
            <w:sz w:val="18"/>
          </w:rPr>
          <w:t>Gràfic 50. Evolució de l’accidentalitat en l’àmbit penitenciari 2012-2015</w:t>
        </w:r>
        <w:r w:rsidR="00752E4C" w:rsidRPr="00752E4C">
          <w:rPr>
            <w:noProof/>
            <w:webHidden/>
            <w:sz w:val="18"/>
          </w:rPr>
          <w:tab/>
        </w:r>
        <w:r w:rsidR="00752E4C" w:rsidRPr="00752E4C">
          <w:rPr>
            <w:noProof/>
            <w:webHidden/>
            <w:sz w:val="18"/>
          </w:rPr>
          <w:fldChar w:fldCharType="begin"/>
        </w:r>
        <w:r w:rsidR="00752E4C" w:rsidRPr="00752E4C">
          <w:rPr>
            <w:noProof/>
            <w:webHidden/>
            <w:sz w:val="18"/>
          </w:rPr>
          <w:instrText xml:space="preserve"> PAGEREF _Toc465293857 \h </w:instrText>
        </w:r>
        <w:r w:rsidR="00752E4C" w:rsidRPr="00752E4C">
          <w:rPr>
            <w:noProof/>
            <w:webHidden/>
            <w:sz w:val="18"/>
          </w:rPr>
        </w:r>
        <w:r w:rsidR="00752E4C" w:rsidRPr="00752E4C">
          <w:rPr>
            <w:noProof/>
            <w:webHidden/>
            <w:sz w:val="18"/>
          </w:rPr>
          <w:fldChar w:fldCharType="separate"/>
        </w:r>
        <w:r w:rsidR="00752E4C" w:rsidRPr="00752E4C">
          <w:rPr>
            <w:noProof/>
            <w:webHidden/>
            <w:sz w:val="18"/>
          </w:rPr>
          <w:t>161</w:t>
        </w:r>
        <w:r w:rsidR="00752E4C" w:rsidRPr="00752E4C">
          <w:rPr>
            <w:noProof/>
            <w:webHidden/>
            <w:sz w:val="18"/>
          </w:rPr>
          <w:fldChar w:fldCharType="end"/>
        </w:r>
      </w:hyperlink>
    </w:p>
    <w:p w:rsidR="00752E4C" w:rsidRPr="00752E4C" w:rsidRDefault="00DB496B">
      <w:pPr>
        <w:pStyle w:val="ndexdillustracions"/>
        <w:tabs>
          <w:tab w:val="right" w:leader="dot" w:pos="9061"/>
        </w:tabs>
        <w:rPr>
          <w:rFonts w:asciiTheme="minorHAnsi" w:eastAsiaTheme="minorEastAsia" w:hAnsiTheme="minorHAnsi"/>
          <w:noProof/>
          <w:sz w:val="18"/>
          <w:lang w:eastAsia="ca-ES"/>
        </w:rPr>
      </w:pPr>
      <w:hyperlink w:anchor="_Toc465293858" w:history="1">
        <w:r w:rsidR="00752E4C" w:rsidRPr="00752E4C">
          <w:rPr>
            <w:rStyle w:val="Enlla"/>
            <w:noProof/>
            <w:sz w:val="18"/>
          </w:rPr>
          <w:t>Gràfic 51. Evolució de les adaptacions de llocs de treball en l’àmbit penitenciari 2012-2015</w:t>
        </w:r>
        <w:r w:rsidR="00752E4C" w:rsidRPr="00752E4C">
          <w:rPr>
            <w:noProof/>
            <w:webHidden/>
            <w:sz w:val="18"/>
          </w:rPr>
          <w:tab/>
        </w:r>
        <w:r w:rsidR="00752E4C" w:rsidRPr="00752E4C">
          <w:rPr>
            <w:noProof/>
            <w:webHidden/>
            <w:sz w:val="18"/>
          </w:rPr>
          <w:fldChar w:fldCharType="begin"/>
        </w:r>
        <w:r w:rsidR="00752E4C" w:rsidRPr="00752E4C">
          <w:rPr>
            <w:noProof/>
            <w:webHidden/>
            <w:sz w:val="18"/>
          </w:rPr>
          <w:instrText xml:space="preserve"> PAGEREF _Toc465293858 \h </w:instrText>
        </w:r>
        <w:r w:rsidR="00752E4C" w:rsidRPr="00752E4C">
          <w:rPr>
            <w:noProof/>
            <w:webHidden/>
            <w:sz w:val="18"/>
          </w:rPr>
        </w:r>
        <w:r w:rsidR="00752E4C" w:rsidRPr="00752E4C">
          <w:rPr>
            <w:noProof/>
            <w:webHidden/>
            <w:sz w:val="18"/>
          </w:rPr>
          <w:fldChar w:fldCharType="separate"/>
        </w:r>
        <w:r w:rsidR="00752E4C" w:rsidRPr="00752E4C">
          <w:rPr>
            <w:noProof/>
            <w:webHidden/>
            <w:sz w:val="18"/>
          </w:rPr>
          <w:t>162</w:t>
        </w:r>
        <w:r w:rsidR="00752E4C" w:rsidRPr="00752E4C">
          <w:rPr>
            <w:noProof/>
            <w:webHidden/>
            <w:sz w:val="18"/>
          </w:rPr>
          <w:fldChar w:fldCharType="end"/>
        </w:r>
      </w:hyperlink>
    </w:p>
    <w:p w:rsidR="00752E4C" w:rsidRPr="00752E4C" w:rsidRDefault="00DB496B">
      <w:pPr>
        <w:pStyle w:val="ndexdillustracions"/>
        <w:tabs>
          <w:tab w:val="right" w:leader="dot" w:pos="9061"/>
        </w:tabs>
        <w:rPr>
          <w:rFonts w:asciiTheme="minorHAnsi" w:eastAsiaTheme="minorEastAsia" w:hAnsiTheme="minorHAnsi"/>
          <w:noProof/>
          <w:sz w:val="18"/>
          <w:lang w:eastAsia="ca-ES"/>
        </w:rPr>
      </w:pPr>
      <w:hyperlink w:anchor="_Toc465293859" w:history="1">
        <w:r w:rsidR="00752E4C" w:rsidRPr="00752E4C">
          <w:rPr>
            <w:rStyle w:val="Enlla"/>
            <w:noProof/>
            <w:sz w:val="18"/>
          </w:rPr>
          <w:t>Gràfic 52. Evolució de la situació de segona activitat dels cossos penitenciaris 2003-2016</w:t>
        </w:r>
        <w:r w:rsidR="00752E4C" w:rsidRPr="00752E4C">
          <w:rPr>
            <w:noProof/>
            <w:webHidden/>
            <w:sz w:val="18"/>
          </w:rPr>
          <w:tab/>
        </w:r>
        <w:r w:rsidR="00752E4C" w:rsidRPr="00752E4C">
          <w:rPr>
            <w:noProof/>
            <w:webHidden/>
            <w:sz w:val="18"/>
          </w:rPr>
          <w:fldChar w:fldCharType="begin"/>
        </w:r>
        <w:r w:rsidR="00752E4C" w:rsidRPr="00752E4C">
          <w:rPr>
            <w:noProof/>
            <w:webHidden/>
            <w:sz w:val="18"/>
          </w:rPr>
          <w:instrText xml:space="preserve"> PAGEREF _Toc465293859 \h </w:instrText>
        </w:r>
        <w:r w:rsidR="00752E4C" w:rsidRPr="00752E4C">
          <w:rPr>
            <w:noProof/>
            <w:webHidden/>
            <w:sz w:val="18"/>
          </w:rPr>
        </w:r>
        <w:r w:rsidR="00752E4C" w:rsidRPr="00752E4C">
          <w:rPr>
            <w:noProof/>
            <w:webHidden/>
            <w:sz w:val="18"/>
          </w:rPr>
          <w:fldChar w:fldCharType="separate"/>
        </w:r>
        <w:r w:rsidR="00752E4C" w:rsidRPr="00752E4C">
          <w:rPr>
            <w:noProof/>
            <w:webHidden/>
            <w:sz w:val="18"/>
          </w:rPr>
          <w:t>166</w:t>
        </w:r>
        <w:r w:rsidR="00752E4C" w:rsidRPr="00752E4C">
          <w:rPr>
            <w:noProof/>
            <w:webHidden/>
            <w:sz w:val="18"/>
          </w:rPr>
          <w:fldChar w:fldCharType="end"/>
        </w:r>
      </w:hyperlink>
    </w:p>
    <w:p w:rsidR="00752E4C" w:rsidRPr="00752E4C" w:rsidRDefault="00DB496B">
      <w:pPr>
        <w:pStyle w:val="ndexdillustracions"/>
        <w:tabs>
          <w:tab w:val="right" w:leader="dot" w:pos="9061"/>
        </w:tabs>
        <w:rPr>
          <w:rFonts w:asciiTheme="minorHAnsi" w:eastAsiaTheme="minorEastAsia" w:hAnsiTheme="minorHAnsi"/>
          <w:noProof/>
          <w:sz w:val="18"/>
          <w:lang w:eastAsia="ca-ES"/>
        </w:rPr>
      </w:pPr>
      <w:hyperlink w:anchor="_Toc465293860" w:history="1">
        <w:r w:rsidR="00752E4C" w:rsidRPr="00752E4C">
          <w:rPr>
            <w:rStyle w:val="Enlla"/>
            <w:noProof/>
            <w:sz w:val="18"/>
          </w:rPr>
          <w:t>Gràfic 53. Estructura organitzativa dels centres penitenciaris</w:t>
        </w:r>
        <w:r w:rsidR="00752E4C" w:rsidRPr="00752E4C">
          <w:rPr>
            <w:noProof/>
            <w:webHidden/>
            <w:sz w:val="18"/>
          </w:rPr>
          <w:tab/>
        </w:r>
        <w:r w:rsidR="00752E4C" w:rsidRPr="00752E4C">
          <w:rPr>
            <w:noProof/>
            <w:webHidden/>
            <w:sz w:val="18"/>
          </w:rPr>
          <w:fldChar w:fldCharType="begin"/>
        </w:r>
        <w:r w:rsidR="00752E4C" w:rsidRPr="00752E4C">
          <w:rPr>
            <w:noProof/>
            <w:webHidden/>
            <w:sz w:val="18"/>
          </w:rPr>
          <w:instrText xml:space="preserve"> PAGEREF _Toc465293860 \h </w:instrText>
        </w:r>
        <w:r w:rsidR="00752E4C" w:rsidRPr="00752E4C">
          <w:rPr>
            <w:noProof/>
            <w:webHidden/>
            <w:sz w:val="18"/>
          </w:rPr>
        </w:r>
        <w:r w:rsidR="00752E4C" w:rsidRPr="00752E4C">
          <w:rPr>
            <w:noProof/>
            <w:webHidden/>
            <w:sz w:val="18"/>
          </w:rPr>
          <w:fldChar w:fldCharType="separate"/>
        </w:r>
        <w:r w:rsidR="00752E4C" w:rsidRPr="00752E4C">
          <w:rPr>
            <w:noProof/>
            <w:webHidden/>
            <w:sz w:val="18"/>
          </w:rPr>
          <w:t>172</w:t>
        </w:r>
        <w:r w:rsidR="00752E4C" w:rsidRPr="00752E4C">
          <w:rPr>
            <w:noProof/>
            <w:webHidden/>
            <w:sz w:val="18"/>
          </w:rPr>
          <w:fldChar w:fldCharType="end"/>
        </w:r>
      </w:hyperlink>
    </w:p>
    <w:p w:rsidR="00752E4C" w:rsidRPr="00752E4C" w:rsidRDefault="00DB496B">
      <w:pPr>
        <w:pStyle w:val="ndexdillustracions"/>
        <w:tabs>
          <w:tab w:val="right" w:leader="dot" w:pos="9061"/>
        </w:tabs>
        <w:rPr>
          <w:rFonts w:asciiTheme="minorHAnsi" w:eastAsiaTheme="minorEastAsia" w:hAnsiTheme="minorHAnsi"/>
          <w:noProof/>
          <w:sz w:val="18"/>
          <w:lang w:eastAsia="ca-ES"/>
        </w:rPr>
      </w:pPr>
      <w:hyperlink w:anchor="_Toc465293861" w:history="1">
        <w:r w:rsidR="00752E4C" w:rsidRPr="00752E4C">
          <w:rPr>
            <w:rStyle w:val="Enlla"/>
            <w:noProof/>
            <w:sz w:val="18"/>
          </w:rPr>
          <w:t>Gràfic 54. Ubicació dels centres penitenciaris (mapa d’elaboració pròpia)</w:t>
        </w:r>
        <w:r w:rsidR="00752E4C" w:rsidRPr="00752E4C">
          <w:rPr>
            <w:noProof/>
            <w:webHidden/>
            <w:sz w:val="18"/>
          </w:rPr>
          <w:tab/>
        </w:r>
        <w:r w:rsidR="00752E4C" w:rsidRPr="00752E4C">
          <w:rPr>
            <w:noProof/>
            <w:webHidden/>
            <w:sz w:val="18"/>
          </w:rPr>
          <w:fldChar w:fldCharType="begin"/>
        </w:r>
        <w:r w:rsidR="00752E4C" w:rsidRPr="00752E4C">
          <w:rPr>
            <w:noProof/>
            <w:webHidden/>
            <w:sz w:val="18"/>
          </w:rPr>
          <w:instrText xml:space="preserve"> PAGEREF _Toc465293861 \h </w:instrText>
        </w:r>
        <w:r w:rsidR="00752E4C" w:rsidRPr="00752E4C">
          <w:rPr>
            <w:noProof/>
            <w:webHidden/>
            <w:sz w:val="18"/>
          </w:rPr>
        </w:r>
        <w:r w:rsidR="00752E4C" w:rsidRPr="00752E4C">
          <w:rPr>
            <w:noProof/>
            <w:webHidden/>
            <w:sz w:val="18"/>
          </w:rPr>
          <w:fldChar w:fldCharType="separate"/>
        </w:r>
        <w:r w:rsidR="00752E4C" w:rsidRPr="00752E4C">
          <w:rPr>
            <w:noProof/>
            <w:webHidden/>
            <w:sz w:val="18"/>
          </w:rPr>
          <w:t>174</w:t>
        </w:r>
        <w:r w:rsidR="00752E4C" w:rsidRPr="00752E4C">
          <w:rPr>
            <w:noProof/>
            <w:webHidden/>
            <w:sz w:val="18"/>
          </w:rPr>
          <w:fldChar w:fldCharType="end"/>
        </w:r>
      </w:hyperlink>
    </w:p>
    <w:p w:rsidR="00752E4C" w:rsidRPr="00752E4C" w:rsidRDefault="00DB496B">
      <w:pPr>
        <w:pStyle w:val="ndexdillustracions"/>
        <w:tabs>
          <w:tab w:val="right" w:leader="dot" w:pos="9061"/>
        </w:tabs>
        <w:rPr>
          <w:rFonts w:asciiTheme="minorHAnsi" w:eastAsiaTheme="minorEastAsia" w:hAnsiTheme="minorHAnsi"/>
          <w:noProof/>
          <w:sz w:val="18"/>
          <w:lang w:eastAsia="ca-ES"/>
        </w:rPr>
      </w:pPr>
      <w:hyperlink w:anchor="_Toc465293862" w:history="1">
        <w:r w:rsidR="00752E4C" w:rsidRPr="00752E4C">
          <w:rPr>
            <w:rStyle w:val="Enlla"/>
            <w:noProof/>
            <w:sz w:val="18"/>
          </w:rPr>
          <w:t>Gràfic 55 Mapa de funcionalitats del nou sistema d’informació de l’execució penal en l’àmbit d’adults</w:t>
        </w:r>
        <w:r w:rsidR="00752E4C" w:rsidRPr="00752E4C">
          <w:rPr>
            <w:noProof/>
            <w:webHidden/>
            <w:sz w:val="18"/>
          </w:rPr>
          <w:tab/>
        </w:r>
        <w:r w:rsidR="00752E4C" w:rsidRPr="00752E4C">
          <w:rPr>
            <w:noProof/>
            <w:webHidden/>
            <w:sz w:val="18"/>
          </w:rPr>
          <w:fldChar w:fldCharType="begin"/>
        </w:r>
        <w:r w:rsidR="00752E4C" w:rsidRPr="00752E4C">
          <w:rPr>
            <w:noProof/>
            <w:webHidden/>
            <w:sz w:val="18"/>
          </w:rPr>
          <w:instrText xml:space="preserve"> PAGEREF _Toc465293862 \h </w:instrText>
        </w:r>
        <w:r w:rsidR="00752E4C" w:rsidRPr="00752E4C">
          <w:rPr>
            <w:noProof/>
            <w:webHidden/>
            <w:sz w:val="18"/>
          </w:rPr>
        </w:r>
        <w:r w:rsidR="00752E4C" w:rsidRPr="00752E4C">
          <w:rPr>
            <w:noProof/>
            <w:webHidden/>
            <w:sz w:val="18"/>
          </w:rPr>
          <w:fldChar w:fldCharType="separate"/>
        </w:r>
        <w:r w:rsidR="00752E4C" w:rsidRPr="00752E4C">
          <w:rPr>
            <w:noProof/>
            <w:webHidden/>
            <w:sz w:val="18"/>
          </w:rPr>
          <w:t>197</w:t>
        </w:r>
        <w:r w:rsidR="00752E4C" w:rsidRPr="00752E4C">
          <w:rPr>
            <w:noProof/>
            <w:webHidden/>
            <w:sz w:val="18"/>
          </w:rPr>
          <w:fldChar w:fldCharType="end"/>
        </w:r>
      </w:hyperlink>
    </w:p>
    <w:p w:rsidR="00752E4C" w:rsidRPr="00752E4C" w:rsidRDefault="00DB496B">
      <w:pPr>
        <w:pStyle w:val="ndexdillustracions"/>
        <w:tabs>
          <w:tab w:val="right" w:leader="dot" w:pos="9061"/>
        </w:tabs>
        <w:rPr>
          <w:rFonts w:asciiTheme="minorHAnsi" w:eastAsiaTheme="minorEastAsia" w:hAnsiTheme="minorHAnsi"/>
          <w:noProof/>
          <w:sz w:val="18"/>
          <w:lang w:eastAsia="ca-ES"/>
        </w:rPr>
      </w:pPr>
      <w:hyperlink w:anchor="_Toc465293863" w:history="1">
        <w:r w:rsidR="00752E4C" w:rsidRPr="00752E4C">
          <w:rPr>
            <w:rStyle w:val="Enlla"/>
            <w:noProof/>
            <w:sz w:val="18"/>
          </w:rPr>
          <w:t>Gràfic 56 Estructura del nou sistema d’informació de l’execució penal (SIEP)</w:t>
        </w:r>
        <w:r w:rsidR="00752E4C" w:rsidRPr="00752E4C">
          <w:rPr>
            <w:noProof/>
            <w:webHidden/>
            <w:sz w:val="18"/>
          </w:rPr>
          <w:tab/>
        </w:r>
        <w:r w:rsidR="00752E4C" w:rsidRPr="00752E4C">
          <w:rPr>
            <w:noProof/>
            <w:webHidden/>
            <w:sz w:val="18"/>
          </w:rPr>
          <w:fldChar w:fldCharType="begin"/>
        </w:r>
        <w:r w:rsidR="00752E4C" w:rsidRPr="00752E4C">
          <w:rPr>
            <w:noProof/>
            <w:webHidden/>
            <w:sz w:val="18"/>
          </w:rPr>
          <w:instrText xml:space="preserve"> PAGEREF _Toc465293863 \h </w:instrText>
        </w:r>
        <w:r w:rsidR="00752E4C" w:rsidRPr="00752E4C">
          <w:rPr>
            <w:noProof/>
            <w:webHidden/>
            <w:sz w:val="18"/>
          </w:rPr>
        </w:r>
        <w:r w:rsidR="00752E4C" w:rsidRPr="00752E4C">
          <w:rPr>
            <w:noProof/>
            <w:webHidden/>
            <w:sz w:val="18"/>
          </w:rPr>
          <w:fldChar w:fldCharType="separate"/>
        </w:r>
        <w:r w:rsidR="00752E4C" w:rsidRPr="00752E4C">
          <w:rPr>
            <w:noProof/>
            <w:webHidden/>
            <w:sz w:val="18"/>
          </w:rPr>
          <w:t>198</w:t>
        </w:r>
        <w:r w:rsidR="00752E4C" w:rsidRPr="00752E4C">
          <w:rPr>
            <w:noProof/>
            <w:webHidden/>
            <w:sz w:val="18"/>
          </w:rPr>
          <w:fldChar w:fldCharType="end"/>
        </w:r>
      </w:hyperlink>
    </w:p>
    <w:p w:rsidR="00752E4C" w:rsidRPr="00752E4C" w:rsidRDefault="00DB496B">
      <w:pPr>
        <w:pStyle w:val="ndexdillustracions"/>
        <w:tabs>
          <w:tab w:val="right" w:leader="dot" w:pos="9061"/>
        </w:tabs>
        <w:rPr>
          <w:rFonts w:asciiTheme="minorHAnsi" w:eastAsiaTheme="minorEastAsia" w:hAnsiTheme="minorHAnsi"/>
          <w:noProof/>
          <w:sz w:val="18"/>
          <w:lang w:eastAsia="ca-ES"/>
        </w:rPr>
      </w:pPr>
      <w:hyperlink w:anchor="_Toc465293864" w:history="1">
        <w:r w:rsidR="00752E4C" w:rsidRPr="00752E4C">
          <w:rPr>
            <w:rStyle w:val="Enlla"/>
            <w:noProof/>
            <w:sz w:val="18"/>
          </w:rPr>
          <w:t>Gràfic 57 Despesa TIC anual en l’àmbit de l’execució penal</w:t>
        </w:r>
        <w:r w:rsidR="00752E4C" w:rsidRPr="00752E4C">
          <w:rPr>
            <w:noProof/>
            <w:webHidden/>
            <w:sz w:val="18"/>
          </w:rPr>
          <w:tab/>
        </w:r>
        <w:r w:rsidR="00752E4C" w:rsidRPr="00752E4C">
          <w:rPr>
            <w:noProof/>
            <w:webHidden/>
            <w:sz w:val="18"/>
          </w:rPr>
          <w:fldChar w:fldCharType="begin"/>
        </w:r>
        <w:r w:rsidR="00752E4C" w:rsidRPr="00752E4C">
          <w:rPr>
            <w:noProof/>
            <w:webHidden/>
            <w:sz w:val="18"/>
          </w:rPr>
          <w:instrText xml:space="preserve"> PAGEREF _Toc465293864 \h </w:instrText>
        </w:r>
        <w:r w:rsidR="00752E4C" w:rsidRPr="00752E4C">
          <w:rPr>
            <w:noProof/>
            <w:webHidden/>
            <w:sz w:val="18"/>
          </w:rPr>
        </w:r>
        <w:r w:rsidR="00752E4C" w:rsidRPr="00752E4C">
          <w:rPr>
            <w:noProof/>
            <w:webHidden/>
            <w:sz w:val="18"/>
          </w:rPr>
          <w:fldChar w:fldCharType="separate"/>
        </w:r>
        <w:r w:rsidR="00752E4C" w:rsidRPr="00752E4C">
          <w:rPr>
            <w:noProof/>
            <w:webHidden/>
            <w:sz w:val="18"/>
          </w:rPr>
          <w:t>200</w:t>
        </w:r>
        <w:r w:rsidR="00752E4C" w:rsidRPr="00752E4C">
          <w:rPr>
            <w:noProof/>
            <w:webHidden/>
            <w:sz w:val="18"/>
          </w:rPr>
          <w:fldChar w:fldCharType="end"/>
        </w:r>
      </w:hyperlink>
    </w:p>
    <w:p w:rsidR="00752E4C" w:rsidRPr="00752E4C" w:rsidRDefault="00DB496B">
      <w:pPr>
        <w:pStyle w:val="ndexdillustracions"/>
        <w:tabs>
          <w:tab w:val="right" w:leader="dot" w:pos="9061"/>
        </w:tabs>
        <w:rPr>
          <w:rFonts w:asciiTheme="minorHAnsi" w:eastAsiaTheme="minorEastAsia" w:hAnsiTheme="minorHAnsi"/>
          <w:noProof/>
          <w:sz w:val="18"/>
          <w:lang w:eastAsia="ca-ES"/>
        </w:rPr>
      </w:pPr>
      <w:hyperlink w:anchor="_Toc465293865" w:history="1">
        <w:r w:rsidR="00752E4C" w:rsidRPr="00752E4C">
          <w:rPr>
            <w:rStyle w:val="Enlla"/>
            <w:noProof/>
            <w:sz w:val="18"/>
          </w:rPr>
          <w:t>Gràfic 58. Creu que el principal objectiu del sistema penitenciari ha de ser aconseguir la reinserció social i laboral de les persones condemnades o castigar els que han infringit la llei? (2007, 2013)</w:t>
        </w:r>
        <w:r w:rsidR="00752E4C" w:rsidRPr="00752E4C">
          <w:rPr>
            <w:noProof/>
            <w:webHidden/>
            <w:sz w:val="18"/>
          </w:rPr>
          <w:tab/>
        </w:r>
        <w:r w:rsidR="00752E4C" w:rsidRPr="00752E4C">
          <w:rPr>
            <w:noProof/>
            <w:webHidden/>
            <w:sz w:val="18"/>
          </w:rPr>
          <w:fldChar w:fldCharType="begin"/>
        </w:r>
        <w:r w:rsidR="00752E4C" w:rsidRPr="00752E4C">
          <w:rPr>
            <w:noProof/>
            <w:webHidden/>
            <w:sz w:val="18"/>
          </w:rPr>
          <w:instrText xml:space="preserve"> PAGEREF _Toc465293865 \h </w:instrText>
        </w:r>
        <w:r w:rsidR="00752E4C" w:rsidRPr="00752E4C">
          <w:rPr>
            <w:noProof/>
            <w:webHidden/>
            <w:sz w:val="18"/>
          </w:rPr>
        </w:r>
        <w:r w:rsidR="00752E4C" w:rsidRPr="00752E4C">
          <w:rPr>
            <w:noProof/>
            <w:webHidden/>
            <w:sz w:val="18"/>
          </w:rPr>
          <w:fldChar w:fldCharType="separate"/>
        </w:r>
        <w:r w:rsidR="00752E4C" w:rsidRPr="00752E4C">
          <w:rPr>
            <w:noProof/>
            <w:webHidden/>
            <w:sz w:val="18"/>
          </w:rPr>
          <w:t>210</w:t>
        </w:r>
        <w:r w:rsidR="00752E4C" w:rsidRPr="00752E4C">
          <w:rPr>
            <w:noProof/>
            <w:webHidden/>
            <w:sz w:val="18"/>
          </w:rPr>
          <w:fldChar w:fldCharType="end"/>
        </w:r>
      </w:hyperlink>
    </w:p>
    <w:p w:rsidR="00752E4C" w:rsidRPr="00752E4C" w:rsidRDefault="00DB496B">
      <w:pPr>
        <w:pStyle w:val="ndexdillustracions"/>
        <w:tabs>
          <w:tab w:val="right" w:leader="dot" w:pos="9061"/>
        </w:tabs>
        <w:rPr>
          <w:rFonts w:asciiTheme="minorHAnsi" w:eastAsiaTheme="minorEastAsia" w:hAnsiTheme="minorHAnsi"/>
          <w:noProof/>
          <w:sz w:val="18"/>
          <w:lang w:eastAsia="ca-ES"/>
        </w:rPr>
      </w:pPr>
      <w:hyperlink r:id="rId130" w:anchor="_Toc465293866" w:history="1">
        <w:r w:rsidR="00752E4C" w:rsidRPr="00752E4C">
          <w:rPr>
            <w:rStyle w:val="Enlla"/>
            <w:noProof/>
            <w:sz w:val="18"/>
          </w:rPr>
          <w:t>Gràfic 59. Dedicar recursos a la rehabilitació i la reinserció dels penats és la forma més eficaç de reduir la reincidència (2012)</w:t>
        </w:r>
        <w:r w:rsidR="00752E4C" w:rsidRPr="00752E4C">
          <w:rPr>
            <w:noProof/>
            <w:webHidden/>
            <w:sz w:val="18"/>
          </w:rPr>
          <w:tab/>
        </w:r>
        <w:r w:rsidR="00752E4C" w:rsidRPr="00752E4C">
          <w:rPr>
            <w:noProof/>
            <w:webHidden/>
            <w:sz w:val="18"/>
          </w:rPr>
          <w:fldChar w:fldCharType="begin"/>
        </w:r>
        <w:r w:rsidR="00752E4C" w:rsidRPr="00752E4C">
          <w:rPr>
            <w:noProof/>
            <w:webHidden/>
            <w:sz w:val="18"/>
          </w:rPr>
          <w:instrText xml:space="preserve"> PAGEREF _Toc465293866 \h </w:instrText>
        </w:r>
        <w:r w:rsidR="00752E4C" w:rsidRPr="00752E4C">
          <w:rPr>
            <w:noProof/>
            <w:webHidden/>
            <w:sz w:val="18"/>
          </w:rPr>
        </w:r>
        <w:r w:rsidR="00752E4C" w:rsidRPr="00752E4C">
          <w:rPr>
            <w:noProof/>
            <w:webHidden/>
            <w:sz w:val="18"/>
          </w:rPr>
          <w:fldChar w:fldCharType="separate"/>
        </w:r>
        <w:r w:rsidR="00752E4C" w:rsidRPr="00752E4C">
          <w:rPr>
            <w:noProof/>
            <w:webHidden/>
            <w:sz w:val="18"/>
          </w:rPr>
          <w:t>211</w:t>
        </w:r>
        <w:r w:rsidR="00752E4C" w:rsidRPr="00752E4C">
          <w:rPr>
            <w:noProof/>
            <w:webHidden/>
            <w:sz w:val="18"/>
          </w:rPr>
          <w:fldChar w:fldCharType="end"/>
        </w:r>
      </w:hyperlink>
    </w:p>
    <w:p w:rsidR="00752E4C" w:rsidRPr="00752E4C" w:rsidRDefault="00DB496B">
      <w:pPr>
        <w:pStyle w:val="ndexdillustracions"/>
        <w:tabs>
          <w:tab w:val="right" w:leader="dot" w:pos="9061"/>
        </w:tabs>
        <w:rPr>
          <w:rFonts w:asciiTheme="minorHAnsi" w:eastAsiaTheme="minorEastAsia" w:hAnsiTheme="minorHAnsi"/>
          <w:noProof/>
          <w:sz w:val="18"/>
          <w:lang w:eastAsia="ca-ES"/>
        </w:rPr>
      </w:pPr>
      <w:hyperlink w:anchor="_Toc465293867" w:history="1">
        <w:r w:rsidR="00752E4C" w:rsidRPr="00752E4C">
          <w:rPr>
            <w:rStyle w:val="Enlla"/>
            <w:noProof/>
            <w:sz w:val="18"/>
          </w:rPr>
          <w:t>Gràfic 60. Si un ciutadà ha comès un delicte menor per primera vegada, considera que una mesura alternativa a la presó, com els treballs en benefici de la comunitat, és més eficaç per reparar el dany causat? (2008)</w:t>
        </w:r>
        <w:r w:rsidR="00752E4C" w:rsidRPr="00752E4C">
          <w:rPr>
            <w:noProof/>
            <w:webHidden/>
            <w:sz w:val="18"/>
          </w:rPr>
          <w:tab/>
        </w:r>
        <w:r w:rsidR="00752E4C" w:rsidRPr="00752E4C">
          <w:rPr>
            <w:noProof/>
            <w:webHidden/>
            <w:sz w:val="18"/>
          </w:rPr>
          <w:fldChar w:fldCharType="begin"/>
        </w:r>
        <w:r w:rsidR="00752E4C" w:rsidRPr="00752E4C">
          <w:rPr>
            <w:noProof/>
            <w:webHidden/>
            <w:sz w:val="18"/>
          </w:rPr>
          <w:instrText xml:space="preserve"> PAGEREF _Toc465293867 \h </w:instrText>
        </w:r>
        <w:r w:rsidR="00752E4C" w:rsidRPr="00752E4C">
          <w:rPr>
            <w:noProof/>
            <w:webHidden/>
            <w:sz w:val="18"/>
          </w:rPr>
        </w:r>
        <w:r w:rsidR="00752E4C" w:rsidRPr="00752E4C">
          <w:rPr>
            <w:noProof/>
            <w:webHidden/>
            <w:sz w:val="18"/>
          </w:rPr>
          <w:fldChar w:fldCharType="separate"/>
        </w:r>
        <w:r w:rsidR="00752E4C" w:rsidRPr="00752E4C">
          <w:rPr>
            <w:noProof/>
            <w:webHidden/>
            <w:sz w:val="18"/>
          </w:rPr>
          <w:t>211</w:t>
        </w:r>
        <w:r w:rsidR="00752E4C" w:rsidRPr="00752E4C">
          <w:rPr>
            <w:noProof/>
            <w:webHidden/>
            <w:sz w:val="18"/>
          </w:rPr>
          <w:fldChar w:fldCharType="end"/>
        </w:r>
      </w:hyperlink>
    </w:p>
    <w:p w:rsidR="00752E4C" w:rsidRPr="00752E4C" w:rsidRDefault="00DB496B">
      <w:pPr>
        <w:pStyle w:val="ndexdillustracions"/>
        <w:tabs>
          <w:tab w:val="right" w:leader="dot" w:pos="9061"/>
        </w:tabs>
        <w:rPr>
          <w:rFonts w:asciiTheme="minorHAnsi" w:eastAsiaTheme="minorEastAsia" w:hAnsiTheme="minorHAnsi"/>
          <w:noProof/>
          <w:sz w:val="18"/>
          <w:lang w:eastAsia="ca-ES"/>
        </w:rPr>
      </w:pPr>
      <w:hyperlink w:anchor="_Toc465293868" w:history="1">
        <w:r w:rsidR="00752E4C" w:rsidRPr="00752E4C">
          <w:rPr>
            <w:rStyle w:val="Enlla"/>
            <w:noProof/>
            <w:sz w:val="18"/>
          </w:rPr>
          <w:t>Gràfic 61. Per a aquelles persones que han comès delictes poc greus, li sembla bé que s'apliquin mesures penals alternatives  a l'ingrés a la presó, com ara els treballs socials en benefici de la comunitat? (2011)</w:t>
        </w:r>
        <w:r w:rsidR="00752E4C" w:rsidRPr="00752E4C">
          <w:rPr>
            <w:noProof/>
            <w:webHidden/>
            <w:sz w:val="18"/>
          </w:rPr>
          <w:tab/>
        </w:r>
        <w:r w:rsidR="00752E4C" w:rsidRPr="00752E4C">
          <w:rPr>
            <w:noProof/>
            <w:webHidden/>
            <w:sz w:val="18"/>
          </w:rPr>
          <w:fldChar w:fldCharType="begin"/>
        </w:r>
        <w:r w:rsidR="00752E4C" w:rsidRPr="00752E4C">
          <w:rPr>
            <w:noProof/>
            <w:webHidden/>
            <w:sz w:val="18"/>
          </w:rPr>
          <w:instrText xml:space="preserve"> PAGEREF _Toc465293868 \h </w:instrText>
        </w:r>
        <w:r w:rsidR="00752E4C" w:rsidRPr="00752E4C">
          <w:rPr>
            <w:noProof/>
            <w:webHidden/>
            <w:sz w:val="18"/>
          </w:rPr>
        </w:r>
        <w:r w:rsidR="00752E4C" w:rsidRPr="00752E4C">
          <w:rPr>
            <w:noProof/>
            <w:webHidden/>
            <w:sz w:val="18"/>
          </w:rPr>
          <w:fldChar w:fldCharType="separate"/>
        </w:r>
        <w:r w:rsidR="00752E4C" w:rsidRPr="00752E4C">
          <w:rPr>
            <w:noProof/>
            <w:webHidden/>
            <w:sz w:val="18"/>
          </w:rPr>
          <w:t>212</w:t>
        </w:r>
        <w:r w:rsidR="00752E4C" w:rsidRPr="00752E4C">
          <w:rPr>
            <w:noProof/>
            <w:webHidden/>
            <w:sz w:val="18"/>
          </w:rPr>
          <w:fldChar w:fldCharType="end"/>
        </w:r>
      </w:hyperlink>
    </w:p>
    <w:p w:rsidR="00752E4C" w:rsidRPr="00752E4C" w:rsidRDefault="00DB496B">
      <w:pPr>
        <w:pStyle w:val="ndexdillustracions"/>
        <w:tabs>
          <w:tab w:val="right" w:leader="dot" w:pos="9061"/>
        </w:tabs>
        <w:rPr>
          <w:rFonts w:asciiTheme="minorHAnsi" w:eastAsiaTheme="minorEastAsia" w:hAnsiTheme="minorHAnsi"/>
          <w:noProof/>
          <w:sz w:val="18"/>
          <w:lang w:eastAsia="ca-ES"/>
        </w:rPr>
      </w:pPr>
      <w:hyperlink w:anchor="_Toc465293869" w:history="1">
        <w:r w:rsidR="00752E4C" w:rsidRPr="00752E4C">
          <w:rPr>
            <w:rStyle w:val="Enlla"/>
            <w:noProof/>
            <w:sz w:val="18"/>
          </w:rPr>
          <w:t>Gràfic 62. Quina pena li sembla millor que s'apliqui a les persones que han comès un delicte lleu? (2015)</w:t>
        </w:r>
        <w:r w:rsidR="00752E4C" w:rsidRPr="00752E4C">
          <w:rPr>
            <w:noProof/>
            <w:webHidden/>
            <w:sz w:val="18"/>
          </w:rPr>
          <w:tab/>
        </w:r>
        <w:r w:rsidR="00752E4C" w:rsidRPr="00752E4C">
          <w:rPr>
            <w:noProof/>
            <w:webHidden/>
            <w:sz w:val="18"/>
          </w:rPr>
          <w:fldChar w:fldCharType="begin"/>
        </w:r>
        <w:r w:rsidR="00752E4C" w:rsidRPr="00752E4C">
          <w:rPr>
            <w:noProof/>
            <w:webHidden/>
            <w:sz w:val="18"/>
          </w:rPr>
          <w:instrText xml:space="preserve"> PAGEREF _Toc465293869 \h </w:instrText>
        </w:r>
        <w:r w:rsidR="00752E4C" w:rsidRPr="00752E4C">
          <w:rPr>
            <w:noProof/>
            <w:webHidden/>
            <w:sz w:val="18"/>
          </w:rPr>
        </w:r>
        <w:r w:rsidR="00752E4C" w:rsidRPr="00752E4C">
          <w:rPr>
            <w:noProof/>
            <w:webHidden/>
            <w:sz w:val="18"/>
          </w:rPr>
          <w:fldChar w:fldCharType="separate"/>
        </w:r>
        <w:r w:rsidR="00752E4C" w:rsidRPr="00752E4C">
          <w:rPr>
            <w:noProof/>
            <w:webHidden/>
            <w:sz w:val="18"/>
          </w:rPr>
          <w:t>212</w:t>
        </w:r>
        <w:r w:rsidR="00752E4C" w:rsidRPr="00752E4C">
          <w:rPr>
            <w:noProof/>
            <w:webHidden/>
            <w:sz w:val="18"/>
          </w:rPr>
          <w:fldChar w:fldCharType="end"/>
        </w:r>
      </w:hyperlink>
    </w:p>
    <w:p w:rsidR="00752E4C" w:rsidRPr="00752E4C" w:rsidRDefault="00DB496B">
      <w:pPr>
        <w:pStyle w:val="ndexdillustracions"/>
        <w:tabs>
          <w:tab w:val="right" w:leader="dot" w:pos="9061"/>
        </w:tabs>
        <w:rPr>
          <w:rFonts w:asciiTheme="minorHAnsi" w:eastAsiaTheme="minorEastAsia" w:hAnsiTheme="minorHAnsi"/>
          <w:noProof/>
          <w:sz w:val="18"/>
          <w:lang w:eastAsia="ca-ES"/>
        </w:rPr>
      </w:pPr>
      <w:hyperlink r:id="rId131" w:anchor="_Toc465293870" w:history="1">
        <w:r w:rsidR="00752E4C" w:rsidRPr="00752E4C">
          <w:rPr>
            <w:rStyle w:val="Enlla"/>
            <w:noProof/>
            <w:sz w:val="18"/>
          </w:rPr>
          <w:t>Gràfic 63. Té coneixement de les actuacions de renovació i transformació dels equipaments penitenciaris que està realitzant el Govern de Catalunya? (2014)</w:t>
        </w:r>
        <w:r w:rsidR="00752E4C" w:rsidRPr="00752E4C">
          <w:rPr>
            <w:noProof/>
            <w:webHidden/>
            <w:sz w:val="18"/>
          </w:rPr>
          <w:tab/>
        </w:r>
        <w:r w:rsidR="00752E4C" w:rsidRPr="00752E4C">
          <w:rPr>
            <w:noProof/>
            <w:webHidden/>
            <w:sz w:val="18"/>
          </w:rPr>
          <w:fldChar w:fldCharType="begin"/>
        </w:r>
        <w:r w:rsidR="00752E4C" w:rsidRPr="00752E4C">
          <w:rPr>
            <w:noProof/>
            <w:webHidden/>
            <w:sz w:val="18"/>
          </w:rPr>
          <w:instrText xml:space="preserve"> PAGEREF _Toc465293870 \h </w:instrText>
        </w:r>
        <w:r w:rsidR="00752E4C" w:rsidRPr="00752E4C">
          <w:rPr>
            <w:noProof/>
            <w:webHidden/>
            <w:sz w:val="18"/>
          </w:rPr>
        </w:r>
        <w:r w:rsidR="00752E4C" w:rsidRPr="00752E4C">
          <w:rPr>
            <w:noProof/>
            <w:webHidden/>
            <w:sz w:val="18"/>
          </w:rPr>
          <w:fldChar w:fldCharType="separate"/>
        </w:r>
        <w:r w:rsidR="00752E4C" w:rsidRPr="00752E4C">
          <w:rPr>
            <w:noProof/>
            <w:webHidden/>
            <w:sz w:val="18"/>
          </w:rPr>
          <w:t>213</w:t>
        </w:r>
        <w:r w:rsidR="00752E4C" w:rsidRPr="00752E4C">
          <w:rPr>
            <w:noProof/>
            <w:webHidden/>
            <w:sz w:val="18"/>
          </w:rPr>
          <w:fldChar w:fldCharType="end"/>
        </w:r>
      </w:hyperlink>
    </w:p>
    <w:p w:rsidR="00752E4C" w:rsidRPr="00752E4C" w:rsidRDefault="00DB496B">
      <w:pPr>
        <w:pStyle w:val="ndexdillustracions"/>
        <w:tabs>
          <w:tab w:val="right" w:leader="dot" w:pos="9061"/>
        </w:tabs>
        <w:rPr>
          <w:rFonts w:asciiTheme="minorHAnsi" w:eastAsiaTheme="minorEastAsia" w:hAnsiTheme="minorHAnsi"/>
          <w:noProof/>
          <w:sz w:val="18"/>
          <w:lang w:eastAsia="ca-ES"/>
        </w:rPr>
      </w:pPr>
      <w:hyperlink r:id="rId132" w:anchor="_Toc465293871" w:history="1">
        <w:r w:rsidR="00752E4C" w:rsidRPr="00752E4C">
          <w:rPr>
            <w:rStyle w:val="Enlla"/>
            <w:noProof/>
            <w:sz w:val="18"/>
          </w:rPr>
          <w:t>Gràfic 64. Cal donar continuïtat a la preparació per a la sortida dels presos amb programes de suport postsortida (2008)</w:t>
        </w:r>
        <w:r w:rsidR="00752E4C" w:rsidRPr="00752E4C">
          <w:rPr>
            <w:noProof/>
            <w:webHidden/>
            <w:sz w:val="18"/>
          </w:rPr>
          <w:tab/>
        </w:r>
        <w:r w:rsidR="00752E4C" w:rsidRPr="00752E4C">
          <w:rPr>
            <w:noProof/>
            <w:webHidden/>
            <w:sz w:val="18"/>
          </w:rPr>
          <w:fldChar w:fldCharType="begin"/>
        </w:r>
        <w:r w:rsidR="00752E4C" w:rsidRPr="00752E4C">
          <w:rPr>
            <w:noProof/>
            <w:webHidden/>
            <w:sz w:val="18"/>
          </w:rPr>
          <w:instrText xml:space="preserve"> PAGEREF _Toc465293871 \h </w:instrText>
        </w:r>
        <w:r w:rsidR="00752E4C" w:rsidRPr="00752E4C">
          <w:rPr>
            <w:noProof/>
            <w:webHidden/>
            <w:sz w:val="18"/>
          </w:rPr>
        </w:r>
        <w:r w:rsidR="00752E4C" w:rsidRPr="00752E4C">
          <w:rPr>
            <w:noProof/>
            <w:webHidden/>
            <w:sz w:val="18"/>
          </w:rPr>
          <w:fldChar w:fldCharType="separate"/>
        </w:r>
        <w:r w:rsidR="00752E4C" w:rsidRPr="00752E4C">
          <w:rPr>
            <w:noProof/>
            <w:webHidden/>
            <w:sz w:val="18"/>
          </w:rPr>
          <w:t>213</w:t>
        </w:r>
        <w:r w:rsidR="00752E4C" w:rsidRPr="00752E4C">
          <w:rPr>
            <w:noProof/>
            <w:webHidden/>
            <w:sz w:val="18"/>
          </w:rPr>
          <w:fldChar w:fldCharType="end"/>
        </w:r>
      </w:hyperlink>
    </w:p>
    <w:p w:rsidR="00752E4C" w:rsidRPr="00752E4C" w:rsidRDefault="00DB496B">
      <w:pPr>
        <w:pStyle w:val="ndexdillustracions"/>
        <w:tabs>
          <w:tab w:val="right" w:leader="dot" w:pos="9061"/>
        </w:tabs>
        <w:rPr>
          <w:rFonts w:asciiTheme="minorHAnsi" w:eastAsiaTheme="minorEastAsia" w:hAnsiTheme="minorHAnsi"/>
          <w:noProof/>
          <w:sz w:val="18"/>
          <w:lang w:eastAsia="ca-ES"/>
        </w:rPr>
      </w:pPr>
      <w:hyperlink r:id="rId133" w:anchor="_Toc465293872" w:history="1">
        <w:r w:rsidR="00752E4C" w:rsidRPr="00752E4C">
          <w:rPr>
            <w:rStyle w:val="Enlla"/>
            <w:noProof/>
            <w:sz w:val="18"/>
          </w:rPr>
          <w:t>Gràfic 65. Creu positiva i convenient la modernització i renovació dels centres penitenciaris que s'està duent a terme a Catalunya? (2009)</w:t>
        </w:r>
        <w:r w:rsidR="00752E4C" w:rsidRPr="00752E4C">
          <w:rPr>
            <w:noProof/>
            <w:webHidden/>
            <w:sz w:val="18"/>
          </w:rPr>
          <w:tab/>
        </w:r>
        <w:r w:rsidR="00752E4C" w:rsidRPr="00752E4C">
          <w:rPr>
            <w:noProof/>
            <w:webHidden/>
            <w:sz w:val="18"/>
          </w:rPr>
          <w:fldChar w:fldCharType="begin"/>
        </w:r>
        <w:r w:rsidR="00752E4C" w:rsidRPr="00752E4C">
          <w:rPr>
            <w:noProof/>
            <w:webHidden/>
            <w:sz w:val="18"/>
          </w:rPr>
          <w:instrText xml:space="preserve"> PAGEREF _Toc465293872 \h </w:instrText>
        </w:r>
        <w:r w:rsidR="00752E4C" w:rsidRPr="00752E4C">
          <w:rPr>
            <w:noProof/>
            <w:webHidden/>
            <w:sz w:val="18"/>
          </w:rPr>
        </w:r>
        <w:r w:rsidR="00752E4C" w:rsidRPr="00752E4C">
          <w:rPr>
            <w:noProof/>
            <w:webHidden/>
            <w:sz w:val="18"/>
          </w:rPr>
          <w:fldChar w:fldCharType="separate"/>
        </w:r>
        <w:r w:rsidR="00752E4C" w:rsidRPr="00752E4C">
          <w:rPr>
            <w:noProof/>
            <w:webHidden/>
            <w:sz w:val="18"/>
          </w:rPr>
          <w:t>214</w:t>
        </w:r>
        <w:r w:rsidR="00752E4C" w:rsidRPr="00752E4C">
          <w:rPr>
            <w:noProof/>
            <w:webHidden/>
            <w:sz w:val="18"/>
          </w:rPr>
          <w:fldChar w:fldCharType="end"/>
        </w:r>
      </w:hyperlink>
    </w:p>
    <w:p w:rsidR="00752E4C" w:rsidRPr="00752E4C" w:rsidRDefault="00DB496B">
      <w:pPr>
        <w:pStyle w:val="ndexdillustracions"/>
        <w:tabs>
          <w:tab w:val="right" w:leader="dot" w:pos="9061"/>
        </w:tabs>
        <w:rPr>
          <w:rFonts w:asciiTheme="minorHAnsi" w:eastAsiaTheme="minorEastAsia" w:hAnsiTheme="minorHAnsi"/>
          <w:noProof/>
          <w:sz w:val="18"/>
          <w:lang w:eastAsia="ca-ES"/>
        </w:rPr>
      </w:pPr>
      <w:hyperlink w:anchor="_Toc465293873" w:history="1">
        <w:r w:rsidR="00752E4C" w:rsidRPr="00752E4C">
          <w:rPr>
            <w:rStyle w:val="Enlla"/>
            <w:noProof/>
            <w:sz w:val="18"/>
          </w:rPr>
          <w:t>Gràfic 66. En quin grau d'acord o desacord està vostè en relació amb les següents afirmacions? (2015)</w:t>
        </w:r>
        <w:r w:rsidR="00752E4C" w:rsidRPr="00752E4C">
          <w:rPr>
            <w:noProof/>
            <w:webHidden/>
            <w:sz w:val="18"/>
          </w:rPr>
          <w:tab/>
        </w:r>
        <w:r w:rsidR="00752E4C" w:rsidRPr="00752E4C">
          <w:rPr>
            <w:noProof/>
            <w:webHidden/>
            <w:sz w:val="18"/>
          </w:rPr>
          <w:fldChar w:fldCharType="begin"/>
        </w:r>
        <w:r w:rsidR="00752E4C" w:rsidRPr="00752E4C">
          <w:rPr>
            <w:noProof/>
            <w:webHidden/>
            <w:sz w:val="18"/>
          </w:rPr>
          <w:instrText xml:space="preserve"> PAGEREF _Toc465293873 \h </w:instrText>
        </w:r>
        <w:r w:rsidR="00752E4C" w:rsidRPr="00752E4C">
          <w:rPr>
            <w:noProof/>
            <w:webHidden/>
            <w:sz w:val="18"/>
          </w:rPr>
        </w:r>
        <w:r w:rsidR="00752E4C" w:rsidRPr="00752E4C">
          <w:rPr>
            <w:noProof/>
            <w:webHidden/>
            <w:sz w:val="18"/>
          </w:rPr>
          <w:fldChar w:fldCharType="separate"/>
        </w:r>
        <w:r w:rsidR="00752E4C" w:rsidRPr="00752E4C">
          <w:rPr>
            <w:noProof/>
            <w:webHidden/>
            <w:sz w:val="18"/>
          </w:rPr>
          <w:t>214</w:t>
        </w:r>
        <w:r w:rsidR="00752E4C" w:rsidRPr="00752E4C">
          <w:rPr>
            <w:noProof/>
            <w:webHidden/>
            <w:sz w:val="18"/>
          </w:rPr>
          <w:fldChar w:fldCharType="end"/>
        </w:r>
      </w:hyperlink>
    </w:p>
    <w:p w:rsidR="00752E4C" w:rsidRPr="00752E4C" w:rsidRDefault="00DB496B">
      <w:pPr>
        <w:pStyle w:val="ndexdillustracions"/>
        <w:tabs>
          <w:tab w:val="right" w:leader="dot" w:pos="9061"/>
        </w:tabs>
        <w:rPr>
          <w:rFonts w:asciiTheme="minorHAnsi" w:eastAsiaTheme="minorEastAsia" w:hAnsiTheme="minorHAnsi"/>
          <w:noProof/>
          <w:sz w:val="18"/>
          <w:lang w:eastAsia="ca-ES"/>
        </w:rPr>
      </w:pPr>
      <w:hyperlink w:anchor="_Toc465293874" w:history="1">
        <w:r w:rsidR="00752E4C" w:rsidRPr="00752E4C">
          <w:rPr>
            <w:rStyle w:val="Enlla"/>
            <w:noProof/>
            <w:sz w:val="18"/>
          </w:rPr>
          <w:t>Gràfic 67. En quina mesura està d'acord que les persones de nacionalitat estrangera no comunitària que es trobin al nostre país en situació irregular i que hagin estat condemnades per la comissió d'un delicte haurien de poder ésser retornades al seu país abans de finalitzar la condemna (2012)</w:t>
        </w:r>
        <w:r w:rsidR="00752E4C" w:rsidRPr="00752E4C">
          <w:rPr>
            <w:noProof/>
            <w:webHidden/>
            <w:sz w:val="18"/>
          </w:rPr>
          <w:tab/>
        </w:r>
        <w:r w:rsidR="00752E4C" w:rsidRPr="00752E4C">
          <w:rPr>
            <w:noProof/>
            <w:webHidden/>
            <w:sz w:val="18"/>
          </w:rPr>
          <w:fldChar w:fldCharType="begin"/>
        </w:r>
        <w:r w:rsidR="00752E4C" w:rsidRPr="00752E4C">
          <w:rPr>
            <w:noProof/>
            <w:webHidden/>
            <w:sz w:val="18"/>
          </w:rPr>
          <w:instrText xml:space="preserve"> PAGEREF _Toc465293874 \h </w:instrText>
        </w:r>
        <w:r w:rsidR="00752E4C" w:rsidRPr="00752E4C">
          <w:rPr>
            <w:noProof/>
            <w:webHidden/>
            <w:sz w:val="18"/>
          </w:rPr>
        </w:r>
        <w:r w:rsidR="00752E4C" w:rsidRPr="00752E4C">
          <w:rPr>
            <w:noProof/>
            <w:webHidden/>
            <w:sz w:val="18"/>
          </w:rPr>
          <w:fldChar w:fldCharType="separate"/>
        </w:r>
        <w:r w:rsidR="00752E4C" w:rsidRPr="00752E4C">
          <w:rPr>
            <w:noProof/>
            <w:webHidden/>
            <w:sz w:val="18"/>
          </w:rPr>
          <w:t>214</w:t>
        </w:r>
        <w:r w:rsidR="00752E4C" w:rsidRPr="00752E4C">
          <w:rPr>
            <w:noProof/>
            <w:webHidden/>
            <w:sz w:val="18"/>
          </w:rPr>
          <w:fldChar w:fldCharType="end"/>
        </w:r>
      </w:hyperlink>
    </w:p>
    <w:p w:rsidR="00752E4C" w:rsidRPr="00752E4C" w:rsidRDefault="00DB496B">
      <w:pPr>
        <w:pStyle w:val="ndexdillustracions"/>
        <w:tabs>
          <w:tab w:val="right" w:leader="dot" w:pos="9061"/>
        </w:tabs>
        <w:rPr>
          <w:rFonts w:asciiTheme="minorHAnsi" w:eastAsiaTheme="minorEastAsia" w:hAnsiTheme="minorHAnsi"/>
          <w:noProof/>
          <w:sz w:val="18"/>
          <w:lang w:eastAsia="ca-ES"/>
        </w:rPr>
      </w:pPr>
      <w:hyperlink w:anchor="_Toc465293875" w:history="1">
        <w:r w:rsidR="00752E4C" w:rsidRPr="00752E4C">
          <w:rPr>
            <w:rStyle w:val="Enlla"/>
            <w:noProof/>
            <w:sz w:val="18"/>
          </w:rPr>
          <w:t>Gràfic 68. Població penada a presó i població sota MPA el darrer dia de l'any</w:t>
        </w:r>
        <w:r w:rsidR="00752E4C" w:rsidRPr="00752E4C">
          <w:rPr>
            <w:noProof/>
            <w:webHidden/>
            <w:sz w:val="18"/>
          </w:rPr>
          <w:tab/>
        </w:r>
        <w:r w:rsidR="00752E4C" w:rsidRPr="00752E4C">
          <w:rPr>
            <w:noProof/>
            <w:webHidden/>
            <w:sz w:val="18"/>
          </w:rPr>
          <w:fldChar w:fldCharType="begin"/>
        </w:r>
        <w:r w:rsidR="00752E4C" w:rsidRPr="00752E4C">
          <w:rPr>
            <w:noProof/>
            <w:webHidden/>
            <w:sz w:val="18"/>
          </w:rPr>
          <w:instrText xml:space="preserve"> PAGEREF _Toc465293875 \h </w:instrText>
        </w:r>
        <w:r w:rsidR="00752E4C" w:rsidRPr="00752E4C">
          <w:rPr>
            <w:noProof/>
            <w:webHidden/>
            <w:sz w:val="18"/>
          </w:rPr>
        </w:r>
        <w:r w:rsidR="00752E4C" w:rsidRPr="00752E4C">
          <w:rPr>
            <w:noProof/>
            <w:webHidden/>
            <w:sz w:val="18"/>
          </w:rPr>
          <w:fldChar w:fldCharType="separate"/>
        </w:r>
        <w:r w:rsidR="00752E4C" w:rsidRPr="00752E4C">
          <w:rPr>
            <w:noProof/>
            <w:webHidden/>
            <w:sz w:val="18"/>
          </w:rPr>
          <w:t>235</w:t>
        </w:r>
        <w:r w:rsidR="00752E4C" w:rsidRPr="00752E4C">
          <w:rPr>
            <w:noProof/>
            <w:webHidden/>
            <w:sz w:val="18"/>
          </w:rPr>
          <w:fldChar w:fldCharType="end"/>
        </w:r>
      </w:hyperlink>
    </w:p>
    <w:p w:rsidR="00752E4C" w:rsidRPr="00752E4C" w:rsidRDefault="00DB496B">
      <w:pPr>
        <w:pStyle w:val="ndexdillustracions"/>
        <w:tabs>
          <w:tab w:val="right" w:leader="dot" w:pos="9061"/>
        </w:tabs>
        <w:rPr>
          <w:rFonts w:asciiTheme="minorHAnsi" w:eastAsiaTheme="minorEastAsia" w:hAnsiTheme="minorHAnsi"/>
          <w:noProof/>
          <w:sz w:val="18"/>
          <w:lang w:eastAsia="ca-ES"/>
        </w:rPr>
      </w:pPr>
      <w:hyperlink w:anchor="_Toc465293876" w:history="1">
        <w:r w:rsidR="00752E4C" w:rsidRPr="00752E4C">
          <w:rPr>
            <w:rStyle w:val="Enlla"/>
            <w:noProof/>
            <w:sz w:val="18"/>
          </w:rPr>
          <w:t>Gràfic 69. Demandes i intervencions*: evolució recent</w:t>
        </w:r>
        <w:r w:rsidR="00752E4C" w:rsidRPr="00752E4C">
          <w:rPr>
            <w:noProof/>
            <w:webHidden/>
            <w:sz w:val="18"/>
          </w:rPr>
          <w:tab/>
        </w:r>
        <w:r w:rsidR="00752E4C" w:rsidRPr="00752E4C">
          <w:rPr>
            <w:noProof/>
            <w:webHidden/>
            <w:sz w:val="18"/>
          </w:rPr>
          <w:fldChar w:fldCharType="begin"/>
        </w:r>
        <w:r w:rsidR="00752E4C" w:rsidRPr="00752E4C">
          <w:rPr>
            <w:noProof/>
            <w:webHidden/>
            <w:sz w:val="18"/>
          </w:rPr>
          <w:instrText xml:space="preserve"> PAGEREF _Toc465293876 \h </w:instrText>
        </w:r>
        <w:r w:rsidR="00752E4C" w:rsidRPr="00752E4C">
          <w:rPr>
            <w:noProof/>
            <w:webHidden/>
            <w:sz w:val="18"/>
          </w:rPr>
        </w:r>
        <w:r w:rsidR="00752E4C" w:rsidRPr="00752E4C">
          <w:rPr>
            <w:noProof/>
            <w:webHidden/>
            <w:sz w:val="18"/>
          </w:rPr>
          <w:fldChar w:fldCharType="separate"/>
        </w:r>
        <w:r w:rsidR="00752E4C" w:rsidRPr="00752E4C">
          <w:rPr>
            <w:noProof/>
            <w:webHidden/>
            <w:sz w:val="18"/>
          </w:rPr>
          <w:t>237</w:t>
        </w:r>
        <w:r w:rsidR="00752E4C" w:rsidRPr="00752E4C">
          <w:rPr>
            <w:noProof/>
            <w:webHidden/>
            <w:sz w:val="18"/>
          </w:rPr>
          <w:fldChar w:fldCharType="end"/>
        </w:r>
      </w:hyperlink>
    </w:p>
    <w:p w:rsidR="00752E4C" w:rsidRPr="00752E4C" w:rsidRDefault="00DB496B">
      <w:pPr>
        <w:pStyle w:val="ndexdillustracions"/>
        <w:tabs>
          <w:tab w:val="right" w:leader="dot" w:pos="9061"/>
        </w:tabs>
        <w:rPr>
          <w:rFonts w:asciiTheme="minorHAnsi" w:eastAsiaTheme="minorEastAsia" w:hAnsiTheme="minorHAnsi"/>
          <w:noProof/>
          <w:sz w:val="18"/>
          <w:lang w:eastAsia="ca-ES"/>
        </w:rPr>
      </w:pPr>
      <w:hyperlink w:anchor="_Toc465293877" w:history="1">
        <w:r w:rsidR="00752E4C" w:rsidRPr="00752E4C">
          <w:rPr>
            <w:rStyle w:val="Enlla"/>
            <w:noProof/>
            <w:sz w:val="18"/>
          </w:rPr>
          <w:t>Gràfic 70. Delictes associats a les demandes de mesures penals alternatives l’any 2015</w:t>
        </w:r>
        <w:r w:rsidR="00752E4C" w:rsidRPr="00752E4C">
          <w:rPr>
            <w:noProof/>
            <w:webHidden/>
            <w:sz w:val="18"/>
          </w:rPr>
          <w:tab/>
        </w:r>
        <w:r w:rsidR="00752E4C" w:rsidRPr="00752E4C">
          <w:rPr>
            <w:noProof/>
            <w:webHidden/>
            <w:sz w:val="18"/>
          </w:rPr>
          <w:fldChar w:fldCharType="begin"/>
        </w:r>
        <w:r w:rsidR="00752E4C" w:rsidRPr="00752E4C">
          <w:rPr>
            <w:noProof/>
            <w:webHidden/>
            <w:sz w:val="18"/>
          </w:rPr>
          <w:instrText xml:space="preserve"> PAGEREF _Toc465293877 \h </w:instrText>
        </w:r>
        <w:r w:rsidR="00752E4C" w:rsidRPr="00752E4C">
          <w:rPr>
            <w:noProof/>
            <w:webHidden/>
            <w:sz w:val="18"/>
          </w:rPr>
        </w:r>
        <w:r w:rsidR="00752E4C" w:rsidRPr="00752E4C">
          <w:rPr>
            <w:noProof/>
            <w:webHidden/>
            <w:sz w:val="18"/>
          </w:rPr>
          <w:fldChar w:fldCharType="separate"/>
        </w:r>
        <w:r w:rsidR="00752E4C" w:rsidRPr="00752E4C">
          <w:rPr>
            <w:noProof/>
            <w:webHidden/>
            <w:sz w:val="18"/>
          </w:rPr>
          <w:t>239</w:t>
        </w:r>
        <w:r w:rsidR="00752E4C" w:rsidRPr="00752E4C">
          <w:rPr>
            <w:noProof/>
            <w:webHidden/>
            <w:sz w:val="18"/>
          </w:rPr>
          <w:fldChar w:fldCharType="end"/>
        </w:r>
      </w:hyperlink>
    </w:p>
    <w:p w:rsidR="00752E4C" w:rsidRPr="00752E4C" w:rsidRDefault="00DB496B">
      <w:pPr>
        <w:pStyle w:val="ndexdillustracions"/>
        <w:tabs>
          <w:tab w:val="right" w:leader="dot" w:pos="9061"/>
        </w:tabs>
        <w:rPr>
          <w:rFonts w:asciiTheme="minorHAnsi" w:eastAsiaTheme="minorEastAsia" w:hAnsiTheme="minorHAnsi"/>
          <w:noProof/>
          <w:sz w:val="18"/>
          <w:lang w:eastAsia="ca-ES"/>
        </w:rPr>
      </w:pPr>
      <w:hyperlink w:anchor="_Toc465293878" w:history="1">
        <w:r w:rsidR="00752E4C" w:rsidRPr="00752E4C">
          <w:rPr>
            <w:rStyle w:val="Enlla"/>
            <w:noProof/>
            <w:sz w:val="18"/>
          </w:rPr>
          <w:t>Gràfic 71. Demandes gestionades pels equips de MPA l’any 2015</w:t>
        </w:r>
        <w:r w:rsidR="00752E4C" w:rsidRPr="00752E4C">
          <w:rPr>
            <w:noProof/>
            <w:webHidden/>
            <w:sz w:val="18"/>
          </w:rPr>
          <w:tab/>
        </w:r>
        <w:r w:rsidR="00752E4C" w:rsidRPr="00752E4C">
          <w:rPr>
            <w:noProof/>
            <w:webHidden/>
            <w:sz w:val="18"/>
          </w:rPr>
          <w:fldChar w:fldCharType="begin"/>
        </w:r>
        <w:r w:rsidR="00752E4C" w:rsidRPr="00752E4C">
          <w:rPr>
            <w:noProof/>
            <w:webHidden/>
            <w:sz w:val="18"/>
          </w:rPr>
          <w:instrText xml:space="preserve"> PAGEREF _Toc465293878 \h </w:instrText>
        </w:r>
        <w:r w:rsidR="00752E4C" w:rsidRPr="00752E4C">
          <w:rPr>
            <w:noProof/>
            <w:webHidden/>
            <w:sz w:val="18"/>
          </w:rPr>
        </w:r>
        <w:r w:rsidR="00752E4C" w:rsidRPr="00752E4C">
          <w:rPr>
            <w:noProof/>
            <w:webHidden/>
            <w:sz w:val="18"/>
          </w:rPr>
          <w:fldChar w:fldCharType="separate"/>
        </w:r>
        <w:r w:rsidR="00752E4C" w:rsidRPr="00752E4C">
          <w:rPr>
            <w:noProof/>
            <w:webHidden/>
            <w:sz w:val="18"/>
          </w:rPr>
          <w:t>241</w:t>
        </w:r>
        <w:r w:rsidR="00752E4C" w:rsidRPr="00752E4C">
          <w:rPr>
            <w:noProof/>
            <w:webHidden/>
            <w:sz w:val="18"/>
          </w:rPr>
          <w:fldChar w:fldCharType="end"/>
        </w:r>
      </w:hyperlink>
    </w:p>
    <w:p w:rsidR="00752E4C" w:rsidRPr="00752E4C" w:rsidRDefault="00DB496B">
      <w:pPr>
        <w:pStyle w:val="ndexdillustracions"/>
        <w:tabs>
          <w:tab w:val="right" w:leader="dot" w:pos="9061"/>
        </w:tabs>
        <w:rPr>
          <w:rFonts w:asciiTheme="minorHAnsi" w:eastAsiaTheme="minorEastAsia" w:hAnsiTheme="minorHAnsi"/>
          <w:noProof/>
          <w:sz w:val="18"/>
          <w:lang w:eastAsia="ca-ES"/>
        </w:rPr>
      </w:pPr>
      <w:hyperlink w:anchor="_Toc465293879" w:history="1">
        <w:r w:rsidR="00752E4C" w:rsidRPr="00752E4C">
          <w:rPr>
            <w:rStyle w:val="Enlla"/>
            <w:noProof/>
            <w:sz w:val="18"/>
          </w:rPr>
          <w:t>Gràfic 72. Entitats, equipaments i places disponibles per a treballs en benefici de la comunitat</w:t>
        </w:r>
        <w:r w:rsidR="00752E4C" w:rsidRPr="00752E4C">
          <w:rPr>
            <w:noProof/>
            <w:webHidden/>
            <w:sz w:val="18"/>
          </w:rPr>
          <w:tab/>
        </w:r>
        <w:r w:rsidR="00752E4C" w:rsidRPr="00752E4C">
          <w:rPr>
            <w:noProof/>
            <w:webHidden/>
            <w:sz w:val="18"/>
          </w:rPr>
          <w:fldChar w:fldCharType="begin"/>
        </w:r>
        <w:r w:rsidR="00752E4C" w:rsidRPr="00752E4C">
          <w:rPr>
            <w:noProof/>
            <w:webHidden/>
            <w:sz w:val="18"/>
          </w:rPr>
          <w:instrText xml:space="preserve"> PAGEREF _Toc465293879 \h </w:instrText>
        </w:r>
        <w:r w:rsidR="00752E4C" w:rsidRPr="00752E4C">
          <w:rPr>
            <w:noProof/>
            <w:webHidden/>
            <w:sz w:val="18"/>
          </w:rPr>
        </w:r>
        <w:r w:rsidR="00752E4C" w:rsidRPr="00752E4C">
          <w:rPr>
            <w:noProof/>
            <w:webHidden/>
            <w:sz w:val="18"/>
          </w:rPr>
          <w:fldChar w:fldCharType="separate"/>
        </w:r>
        <w:r w:rsidR="00752E4C" w:rsidRPr="00752E4C">
          <w:rPr>
            <w:noProof/>
            <w:webHidden/>
            <w:sz w:val="18"/>
          </w:rPr>
          <w:t>242</w:t>
        </w:r>
        <w:r w:rsidR="00752E4C" w:rsidRPr="00752E4C">
          <w:rPr>
            <w:noProof/>
            <w:webHidden/>
            <w:sz w:val="18"/>
          </w:rPr>
          <w:fldChar w:fldCharType="end"/>
        </w:r>
      </w:hyperlink>
    </w:p>
    <w:p w:rsidR="00752E4C" w:rsidRPr="00752E4C" w:rsidRDefault="00DB496B">
      <w:pPr>
        <w:pStyle w:val="ndexdillustracions"/>
        <w:tabs>
          <w:tab w:val="right" w:leader="dot" w:pos="9061"/>
        </w:tabs>
        <w:rPr>
          <w:rFonts w:asciiTheme="minorHAnsi" w:eastAsiaTheme="minorEastAsia" w:hAnsiTheme="minorHAnsi"/>
          <w:noProof/>
          <w:sz w:val="18"/>
          <w:lang w:eastAsia="ca-ES"/>
        </w:rPr>
      </w:pPr>
      <w:hyperlink w:anchor="_Toc465293880" w:history="1">
        <w:r w:rsidR="00752E4C" w:rsidRPr="00752E4C">
          <w:rPr>
            <w:rStyle w:val="Enlla"/>
            <w:noProof/>
            <w:sz w:val="18"/>
          </w:rPr>
          <w:t>Gràfic 73. Demandes de treballs en benefici de la comunitat: evolució recent</w:t>
        </w:r>
        <w:r w:rsidR="00752E4C" w:rsidRPr="00752E4C">
          <w:rPr>
            <w:noProof/>
            <w:webHidden/>
            <w:sz w:val="18"/>
          </w:rPr>
          <w:tab/>
        </w:r>
        <w:r w:rsidR="00752E4C" w:rsidRPr="00752E4C">
          <w:rPr>
            <w:noProof/>
            <w:webHidden/>
            <w:sz w:val="18"/>
          </w:rPr>
          <w:fldChar w:fldCharType="begin"/>
        </w:r>
        <w:r w:rsidR="00752E4C" w:rsidRPr="00752E4C">
          <w:rPr>
            <w:noProof/>
            <w:webHidden/>
            <w:sz w:val="18"/>
          </w:rPr>
          <w:instrText xml:space="preserve"> PAGEREF _Toc465293880 \h </w:instrText>
        </w:r>
        <w:r w:rsidR="00752E4C" w:rsidRPr="00752E4C">
          <w:rPr>
            <w:noProof/>
            <w:webHidden/>
            <w:sz w:val="18"/>
          </w:rPr>
        </w:r>
        <w:r w:rsidR="00752E4C" w:rsidRPr="00752E4C">
          <w:rPr>
            <w:noProof/>
            <w:webHidden/>
            <w:sz w:val="18"/>
          </w:rPr>
          <w:fldChar w:fldCharType="separate"/>
        </w:r>
        <w:r w:rsidR="00752E4C" w:rsidRPr="00752E4C">
          <w:rPr>
            <w:noProof/>
            <w:webHidden/>
            <w:sz w:val="18"/>
          </w:rPr>
          <w:t>243</w:t>
        </w:r>
        <w:r w:rsidR="00752E4C" w:rsidRPr="00752E4C">
          <w:rPr>
            <w:noProof/>
            <w:webHidden/>
            <w:sz w:val="18"/>
          </w:rPr>
          <w:fldChar w:fldCharType="end"/>
        </w:r>
      </w:hyperlink>
    </w:p>
    <w:p w:rsidR="00752E4C" w:rsidRPr="00752E4C" w:rsidRDefault="00DB496B">
      <w:pPr>
        <w:pStyle w:val="ndexdillustracions"/>
        <w:tabs>
          <w:tab w:val="right" w:leader="dot" w:pos="9061"/>
        </w:tabs>
        <w:rPr>
          <w:rFonts w:asciiTheme="minorHAnsi" w:eastAsiaTheme="minorEastAsia" w:hAnsiTheme="minorHAnsi"/>
          <w:noProof/>
          <w:sz w:val="18"/>
          <w:lang w:eastAsia="ca-ES"/>
        </w:rPr>
      </w:pPr>
      <w:hyperlink w:anchor="_Toc465293881" w:history="1">
        <w:r w:rsidR="00752E4C" w:rsidRPr="00752E4C">
          <w:rPr>
            <w:rStyle w:val="Enlla"/>
            <w:noProof/>
            <w:sz w:val="18"/>
          </w:rPr>
          <w:t>Gràfic 74. Demandes d’obligacions substitutives de penes privatives de llibertat: evolució recent</w:t>
        </w:r>
        <w:r w:rsidR="00752E4C" w:rsidRPr="00752E4C">
          <w:rPr>
            <w:noProof/>
            <w:webHidden/>
            <w:sz w:val="18"/>
          </w:rPr>
          <w:tab/>
        </w:r>
        <w:r w:rsidR="00752E4C" w:rsidRPr="00752E4C">
          <w:rPr>
            <w:noProof/>
            <w:webHidden/>
            <w:sz w:val="18"/>
          </w:rPr>
          <w:fldChar w:fldCharType="begin"/>
        </w:r>
        <w:r w:rsidR="00752E4C" w:rsidRPr="00752E4C">
          <w:rPr>
            <w:noProof/>
            <w:webHidden/>
            <w:sz w:val="18"/>
          </w:rPr>
          <w:instrText xml:space="preserve"> PAGEREF _Toc465293881 \h </w:instrText>
        </w:r>
        <w:r w:rsidR="00752E4C" w:rsidRPr="00752E4C">
          <w:rPr>
            <w:noProof/>
            <w:webHidden/>
            <w:sz w:val="18"/>
          </w:rPr>
        </w:r>
        <w:r w:rsidR="00752E4C" w:rsidRPr="00752E4C">
          <w:rPr>
            <w:noProof/>
            <w:webHidden/>
            <w:sz w:val="18"/>
          </w:rPr>
          <w:fldChar w:fldCharType="separate"/>
        </w:r>
        <w:r w:rsidR="00752E4C" w:rsidRPr="00752E4C">
          <w:rPr>
            <w:noProof/>
            <w:webHidden/>
            <w:sz w:val="18"/>
          </w:rPr>
          <w:t>249</w:t>
        </w:r>
        <w:r w:rsidR="00752E4C" w:rsidRPr="00752E4C">
          <w:rPr>
            <w:noProof/>
            <w:webHidden/>
            <w:sz w:val="18"/>
          </w:rPr>
          <w:fldChar w:fldCharType="end"/>
        </w:r>
      </w:hyperlink>
    </w:p>
    <w:p w:rsidR="00752E4C" w:rsidRPr="00752E4C" w:rsidRDefault="00DB496B">
      <w:pPr>
        <w:pStyle w:val="ndexdillustracions"/>
        <w:tabs>
          <w:tab w:val="right" w:leader="dot" w:pos="9061"/>
        </w:tabs>
        <w:rPr>
          <w:rFonts w:asciiTheme="minorHAnsi" w:eastAsiaTheme="minorEastAsia" w:hAnsiTheme="minorHAnsi"/>
          <w:noProof/>
          <w:sz w:val="18"/>
          <w:lang w:eastAsia="ca-ES"/>
        </w:rPr>
      </w:pPr>
      <w:hyperlink w:anchor="_Toc465293882" w:history="1">
        <w:r w:rsidR="00752E4C" w:rsidRPr="00752E4C">
          <w:rPr>
            <w:rStyle w:val="Enlla"/>
            <w:noProof/>
            <w:sz w:val="18"/>
          </w:rPr>
          <w:t>Gràfic 75. Demandes de mesures de seguretat: evolució recent</w:t>
        </w:r>
        <w:r w:rsidR="00752E4C" w:rsidRPr="00752E4C">
          <w:rPr>
            <w:noProof/>
            <w:webHidden/>
            <w:sz w:val="18"/>
          </w:rPr>
          <w:tab/>
        </w:r>
        <w:r w:rsidR="00752E4C" w:rsidRPr="00752E4C">
          <w:rPr>
            <w:noProof/>
            <w:webHidden/>
            <w:sz w:val="18"/>
          </w:rPr>
          <w:fldChar w:fldCharType="begin"/>
        </w:r>
        <w:r w:rsidR="00752E4C" w:rsidRPr="00752E4C">
          <w:rPr>
            <w:noProof/>
            <w:webHidden/>
            <w:sz w:val="18"/>
          </w:rPr>
          <w:instrText xml:space="preserve"> PAGEREF _Toc465293882 \h </w:instrText>
        </w:r>
        <w:r w:rsidR="00752E4C" w:rsidRPr="00752E4C">
          <w:rPr>
            <w:noProof/>
            <w:webHidden/>
            <w:sz w:val="18"/>
          </w:rPr>
        </w:r>
        <w:r w:rsidR="00752E4C" w:rsidRPr="00752E4C">
          <w:rPr>
            <w:noProof/>
            <w:webHidden/>
            <w:sz w:val="18"/>
          </w:rPr>
          <w:fldChar w:fldCharType="separate"/>
        </w:r>
        <w:r w:rsidR="00752E4C" w:rsidRPr="00752E4C">
          <w:rPr>
            <w:noProof/>
            <w:webHidden/>
            <w:sz w:val="18"/>
          </w:rPr>
          <w:t>251</w:t>
        </w:r>
        <w:r w:rsidR="00752E4C" w:rsidRPr="00752E4C">
          <w:rPr>
            <w:noProof/>
            <w:webHidden/>
            <w:sz w:val="18"/>
          </w:rPr>
          <w:fldChar w:fldCharType="end"/>
        </w:r>
      </w:hyperlink>
    </w:p>
    <w:p w:rsidR="00752E4C" w:rsidRPr="00752E4C" w:rsidRDefault="00DB496B">
      <w:pPr>
        <w:pStyle w:val="ndexdillustracions"/>
        <w:tabs>
          <w:tab w:val="right" w:leader="dot" w:pos="9061"/>
        </w:tabs>
        <w:rPr>
          <w:rFonts w:asciiTheme="minorHAnsi" w:eastAsiaTheme="minorEastAsia" w:hAnsiTheme="minorHAnsi"/>
          <w:noProof/>
          <w:sz w:val="18"/>
          <w:lang w:eastAsia="ca-ES"/>
        </w:rPr>
      </w:pPr>
      <w:hyperlink w:anchor="_Toc465293883" w:history="1">
        <w:r w:rsidR="00752E4C" w:rsidRPr="00752E4C">
          <w:rPr>
            <w:rStyle w:val="Enlla"/>
            <w:noProof/>
            <w:sz w:val="18"/>
          </w:rPr>
          <w:t>Gràfic 76. Demandes de programes formatius: evolució recent</w:t>
        </w:r>
        <w:r w:rsidR="00752E4C" w:rsidRPr="00752E4C">
          <w:rPr>
            <w:noProof/>
            <w:webHidden/>
            <w:sz w:val="18"/>
          </w:rPr>
          <w:tab/>
        </w:r>
        <w:r w:rsidR="00752E4C" w:rsidRPr="00752E4C">
          <w:rPr>
            <w:noProof/>
            <w:webHidden/>
            <w:sz w:val="18"/>
          </w:rPr>
          <w:fldChar w:fldCharType="begin"/>
        </w:r>
        <w:r w:rsidR="00752E4C" w:rsidRPr="00752E4C">
          <w:rPr>
            <w:noProof/>
            <w:webHidden/>
            <w:sz w:val="18"/>
          </w:rPr>
          <w:instrText xml:space="preserve"> PAGEREF _Toc465293883 \h </w:instrText>
        </w:r>
        <w:r w:rsidR="00752E4C" w:rsidRPr="00752E4C">
          <w:rPr>
            <w:noProof/>
            <w:webHidden/>
            <w:sz w:val="18"/>
          </w:rPr>
        </w:r>
        <w:r w:rsidR="00752E4C" w:rsidRPr="00752E4C">
          <w:rPr>
            <w:noProof/>
            <w:webHidden/>
            <w:sz w:val="18"/>
          </w:rPr>
          <w:fldChar w:fldCharType="separate"/>
        </w:r>
        <w:r w:rsidR="00752E4C" w:rsidRPr="00752E4C">
          <w:rPr>
            <w:noProof/>
            <w:webHidden/>
            <w:sz w:val="18"/>
          </w:rPr>
          <w:t>254</w:t>
        </w:r>
        <w:r w:rsidR="00752E4C" w:rsidRPr="00752E4C">
          <w:rPr>
            <w:noProof/>
            <w:webHidden/>
            <w:sz w:val="18"/>
          </w:rPr>
          <w:fldChar w:fldCharType="end"/>
        </w:r>
      </w:hyperlink>
    </w:p>
    <w:p w:rsidR="00752E4C" w:rsidRPr="00752E4C" w:rsidRDefault="00DB496B">
      <w:pPr>
        <w:pStyle w:val="ndexdillustracions"/>
        <w:tabs>
          <w:tab w:val="right" w:leader="dot" w:pos="9061"/>
        </w:tabs>
        <w:rPr>
          <w:rFonts w:asciiTheme="minorHAnsi" w:eastAsiaTheme="minorEastAsia" w:hAnsiTheme="minorHAnsi"/>
          <w:noProof/>
          <w:sz w:val="18"/>
          <w:lang w:eastAsia="ca-ES"/>
        </w:rPr>
      </w:pPr>
      <w:hyperlink w:anchor="_Toc465293884" w:history="1">
        <w:r w:rsidR="00752E4C" w:rsidRPr="00752E4C">
          <w:rPr>
            <w:rStyle w:val="Enlla"/>
            <w:noProof/>
            <w:sz w:val="18"/>
          </w:rPr>
          <w:t>Gràfic 77. Mesures penals alternatives pendents d’inici*</w:t>
        </w:r>
        <w:r w:rsidR="00752E4C" w:rsidRPr="00752E4C">
          <w:rPr>
            <w:noProof/>
            <w:webHidden/>
            <w:sz w:val="18"/>
          </w:rPr>
          <w:tab/>
        </w:r>
        <w:r w:rsidR="00752E4C" w:rsidRPr="00752E4C">
          <w:rPr>
            <w:noProof/>
            <w:webHidden/>
            <w:sz w:val="18"/>
          </w:rPr>
          <w:fldChar w:fldCharType="begin"/>
        </w:r>
        <w:r w:rsidR="00752E4C" w:rsidRPr="00752E4C">
          <w:rPr>
            <w:noProof/>
            <w:webHidden/>
            <w:sz w:val="18"/>
          </w:rPr>
          <w:instrText xml:space="preserve"> PAGEREF _Toc465293884 \h </w:instrText>
        </w:r>
        <w:r w:rsidR="00752E4C" w:rsidRPr="00752E4C">
          <w:rPr>
            <w:noProof/>
            <w:webHidden/>
            <w:sz w:val="18"/>
          </w:rPr>
        </w:r>
        <w:r w:rsidR="00752E4C" w:rsidRPr="00752E4C">
          <w:rPr>
            <w:noProof/>
            <w:webHidden/>
            <w:sz w:val="18"/>
          </w:rPr>
          <w:fldChar w:fldCharType="separate"/>
        </w:r>
        <w:r w:rsidR="00752E4C" w:rsidRPr="00752E4C">
          <w:rPr>
            <w:noProof/>
            <w:webHidden/>
            <w:sz w:val="18"/>
          </w:rPr>
          <w:t>256</w:t>
        </w:r>
        <w:r w:rsidR="00752E4C" w:rsidRPr="00752E4C">
          <w:rPr>
            <w:noProof/>
            <w:webHidden/>
            <w:sz w:val="18"/>
          </w:rPr>
          <w:fldChar w:fldCharType="end"/>
        </w:r>
      </w:hyperlink>
    </w:p>
    <w:p w:rsidR="00507FE7" w:rsidRPr="00752E4C" w:rsidRDefault="0068128C" w:rsidP="00507FE7">
      <w:pPr>
        <w:rPr>
          <w:sz w:val="16"/>
        </w:rPr>
      </w:pPr>
      <w:r w:rsidRPr="00752E4C">
        <w:rPr>
          <w:sz w:val="16"/>
        </w:rPr>
        <w:fldChar w:fldCharType="end"/>
      </w:r>
    </w:p>
    <w:sectPr w:rsidR="00507FE7" w:rsidRPr="00752E4C" w:rsidSect="00CD4044">
      <w:footerReference w:type="default" r:id="rId134"/>
      <w:type w:val="continuous"/>
      <w:pgSz w:w="11906" w:h="16838"/>
      <w:pgMar w:top="1276" w:right="1134" w:bottom="1985"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53F2A" w:rsidRDefault="00153F2A" w:rsidP="00CB5CBD">
      <w:pPr>
        <w:spacing w:after="0"/>
      </w:pPr>
      <w:r>
        <w:separator/>
      </w:r>
    </w:p>
  </w:endnote>
  <w:endnote w:type="continuationSeparator" w:id="0">
    <w:p w:rsidR="00153F2A" w:rsidRDefault="00153F2A" w:rsidP="00CB5CB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Times">
    <w:panose1 w:val="02020603050405020304"/>
    <w:charset w:val="00"/>
    <w:family w:val="roman"/>
    <w:pitch w:val="variable"/>
    <w:sig w:usb0="E0002EFF" w:usb1="C0007843" w:usb2="00000009" w:usb3="00000000" w:csb0="000001FF" w:csb1="00000000"/>
  </w:font>
  <w:font w:name="+mn-ea">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ulaambquadrcula"/>
      <w:tblW w:w="8741" w:type="dxa"/>
      <w:jc w:val="center"/>
      <w:tblInd w:w="108" w:type="dxa"/>
      <w:tblLook w:val="04A0" w:firstRow="1" w:lastRow="0" w:firstColumn="1" w:lastColumn="0" w:noHBand="0" w:noVBand="1"/>
    </w:tblPr>
    <w:tblGrid>
      <w:gridCol w:w="7444"/>
      <w:gridCol w:w="1629"/>
    </w:tblGrid>
    <w:tr w:rsidR="003C42C9" w:rsidTr="00490403">
      <w:trPr>
        <w:trHeight w:val="703"/>
        <w:jc w:val="center"/>
      </w:trPr>
      <w:tc>
        <w:tcPr>
          <w:tcW w:w="8741" w:type="dxa"/>
          <w:gridSpan w:val="2"/>
          <w:tcBorders>
            <w:top w:val="nil"/>
            <w:left w:val="nil"/>
            <w:bottom w:val="nil"/>
            <w:right w:val="nil"/>
          </w:tcBorders>
        </w:tcPr>
        <w:p w:rsidR="003C42C9" w:rsidRDefault="003C42C9" w:rsidP="00490403">
          <w:pPr>
            <w:pStyle w:val="Peu"/>
            <w:jc w:val="center"/>
          </w:pPr>
          <w:r w:rsidRPr="0015734B">
            <w:rPr>
              <w:noProof/>
              <w:lang w:eastAsia="ca-ES"/>
            </w:rPr>
            <w:drawing>
              <wp:inline distT="0" distB="0" distL="0" distR="0" wp14:anchorId="66B4FA29" wp14:editId="47EDD468">
                <wp:extent cx="5624286" cy="308377"/>
                <wp:effectExtent l="0" t="0" r="0" b="0"/>
                <wp:docPr id="119" name="Imatg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 cstate="screen">
                          <a:extLst>
                            <a:ext uri="{28A0092B-C50C-407E-A947-70E740481C1C}">
                              <a14:useLocalDpi xmlns:a14="http://schemas.microsoft.com/office/drawing/2010/main"/>
                            </a:ext>
                          </a:extLst>
                        </a:blip>
                        <a:srcRect/>
                        <a:stretch/>
                      </pic:blipFill>
                      <pic:spPr bwMode="auto">
                        <a:xfrm>
                          <a:off x="0" y="0"/>
                          <a:ext cx="5624286" cy="308377"/>
                        </a:xfrm>
                        <a:prstGeom prst="rect">
                          <a:avLst/>
                        </a:prstGeom>
                        <a:ln>
                          <a:noFill/>
                        </a:ln>
                        <a:extLst>
                          <a:ext uri="{53640926-AAD7-44D8-BBD7-CCE9431645EC}">
                            <a14:shadowObscured xmlns:a14="http://schemas.microsoft.com/office/drawing/2010/main"/>
                          </a:ext>
                        </a:extLst>
                      </pic:spPr>
                    </pic:pic>
                  </a:graphicData>
                </a:graphic>
              </wp:inline>
            </w:drawing>
          </w:r>
        </w:p>
      </w:tc>
    </w:tr>
    <w:tr w:rsidR="003C42C9" w:rsidTr="00490403">
      <w:trPr>
        <w:trHeight w:val="319"/>
        <w:jc w:val="center"/>
      </w:trPr>
      <w:tc>
        <w:tcPr>
          <w:tcW w:w="7230" w:type="dxa"/>
          <w:tcBorders>
            <w:top w:val="nil"/>
            <w:left w:val="nil"/>
            <w:bottom w:val="nil"/>
            <w:right w:val="nil"/>
          </w:tcBorders>
        </w:tcPr>
        <w:p w:rsidR="003C42C9" w:rsidRPr="00DA66F8" w:rsidRDefault="003C42C9" w:rsidP="00490403">
          <w:pPr>
            <w:pStyle w:val="Peu"/>
            <w:jc w:val="center"/>
            <w:rPr>
              <w:sz w:val="16"/>
            </w:rPr>
          </w:pPr>
          <w:r w:rsidRPr="0015734B">
            <w:rPr>
              <w:sz w:val="16"/>
            </w:rPr>
            <w:t xml:space="preserve">Bases per a l’elaboració del Llibre Blanc de l’execució penal a Catalunya: </w:t>
          </w:r>
          <w:r>
            <w:rPr>
              <w:sz w:val="16"/>
            </w:rPr>
            <w:br/>
          </w:r>
          <w:r w:rsidRPr="0015734B">
            <w:rPr>
              <w:sz w:val="16"/>
            </w:rPr>
            <w:t>la rehabilitació com a missió</w:t>
          </w:r>
        </w:p>
      </w:tc>
      <w:tc>
        <w:tcPr>
          <w:tcW w:w="1511" w:type="dxa"/>
          <w:tcBorders>
            <w:top w:val="nil"/>
            <w:left w:val="nil"/>
            <w:bottom w:val="nil"/>
            <w:right w:val="nil"/>
          </w:tcBorders>
        </w:tcPr>
        <w:p w:rsidR="003C42C9" w:rsidRPr="0015734B" w:rsidRDefault="003C42C9" w:rsidP="00490403">
          <w:pPr>
            <w:pStyle w:val="Peu"/>
            <w:jc w:val="center"/>
            <w:rPr>
              <w:sz w:val="16"/>
            </w:rPr>
          </w:pPr>
          <w:r w:rsidRPr="0015734B">
            <w:rPr>
              <w:sz w:val="16"/>
            </w:rPr>
            <w:fldChar w:fldCharType="begin"/>
          </w:r>
          <w:r w:rsidRPr="0015734B">
            <w:rPr>
              <w:sz w:val="16"/>
            </w:rPr>
            <w:instrText>PAGE   \* MERGEFORMAT</w:instrText>
          </w:r>
          <w:r w:rsidRPr="0015734B">
            <w:rPr>
              <w:sz w:val="16"/>
            </w:rPr>
            <w:fldChar w:fldCharType="separate"/>
          </w:r>
          <w:r w:rsidR="00DB496B">
            <w:rPr>
              <w:noProof/>
              <w:sz w:val="16"/>
            </w:rPr>
            <w:t>8</w:t>
          </w:r>
          <w:r w:rsidRPr="0015734B">
            <w:rPr>
              <w:sz w:val="16"/>
            </w:rPr>
            <w:fldChar w:fldCharType="end"/>
          </w:r>
        </w:p>
      </w:tc>
    </w:tr>
  </w:tbl>
  <w:p w:rsidR="003C42C9" w:rsidRDefault="003C42C9">
    <w:pPr>
      <w:pStyle w:val="Peu"/>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ulaambquadrcula"/>
      <w:tblW w:w="8741" w:type="dxa"/>
      <w:tblInd w:w="108" w:type="dxa"/>
      <w:tblLook w:val="04A0" w:firstRow="1" w:lastRow="0" w:firstColumn="1" w:lastColumn="0" w:noHBand="0" w:noVBand="1"/>
    </w:tblPr>
    <w:tblGrid>
      <w:gridCol w:w="7316"/>
      <w:gridCol w:w="1757"/>
    </w:tblGrid>
    <w:tr w:rsidR="003C42C9" w:rsidTr="00A522BE">
      <w:trPr>
        <w:trHeight w:val="703"/>
      </w:trPr>
      <w:tc>
        <w:tcPr>
          <w:tcW w:w="8741" w:type="dxa"/>
          <w:gridSpan w:val="2"/>
          <w:tcBorders>
            <w:top w:val="nil"/>
            <w:left w:val="nil"/>
            <w:bottom w:val="nil"/>
            <w:right w:val="nil"/>
          </w:tcBorders>
        </w:tcPr>
        <w:p w:rsidR="003C42C9" w:rsidRDefault="003C42C9" w:rsidP="0015734B">
          <w:pPr>
            <w:pStyle w:val="Peu"/>
            <w:jc w:val="center"/>
          </w:pPr>
          <w:r w:rsidRPr="0015734B">
            <w:rPr>
              <w:noProof/>
              <w:lang w:eastAsia="ca-ES"/>
            </w:rPr>
            <w:drawing>
              <wp:inline distT="0" distB="0" distL="0" distR="0" wp14:anchorId="270CB7F7" wp14:editId="2DFA4F94">
                <wp:extent cx="5624286" cy="308377"/>
                <wp:effectExtent l="0" t="0" r="0" b="0"/>
                <wp:docPr id="125" name="Imatg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 cstate="screen">
                          <a:extLst>
                            <a:ext uri="{28A0092B-C50C-407E-A947-70E740481C1C}">
                              <a14:useLocalDpi xmlns:a14="http://schemas.microsoft.com/office/drawing/2010/main"/>
                            </a:ext>
                          </a:extLst>
                        </a:blip>
                        <a:srcRect/>
                        <a:stretch/>
                      </pic:blipFill>
                      <pic:spPr bwMode="auto">
                        <a:xfrm>
                          <a:off x="0" y="0"/>
                          <a:ext cx="5624286" cy="308377"/>
                        </a:xfrm>
                        <a:prstGeom prst="rect">
                          <a:avLst/>
                        </a:prstGeom>
                        <a:ln>
                          <a:noFill/>
                        </a:ln>
                        <a:extLst>
                          <a:ext uri="{53640926-AAD7-44D8-BBD7-CCE9431645EC}">
                            <a14:shadowObscured xmlns:a14="http://schemas.microsoft.com/office/drawing/2010/main"/>
                          </a:ext>
                        </a:extLst>
                      </pic:spPr>
                    </pic:pic>
                  </a:graphicData>
                </a:graphic>
              </wp:inline>
            </w:drawing>
          </w:r>
        </w:p>
      </w:tc>
    </w:tr>
    <w:tr w:rsidR="003C42C9" w:rsidTr="00A522BE">
      <w:trPr>
        <w:trHeight w:val="319"/>
      </w:trPr>
      <w:tc>
        <w:tcPr>
          <w:tcW w:w="7230" w:type="dxa"/>
          <w:tcBorders>
            <w:top w:val="nil"/>
            <w:left w:val="nil"/>
            <w:bottom w:val="nil"/>
            <w:right w:val="nil"/>
          </w:tcBorders>
        </w:tcPr>
        <w:p w:rsidR="003C42C9" w:rsidRPr="00DA66F8" w:rsidRDefault="003C42C9" w:rsidP="00DA66F8">
          <w:pPr>
            <w:pStyle w:val="Peu"/>
            <w:jc w:val="center"/>
            <w:rPr>
              <w:sz w:val="16"/>
            </w:rPr>
          </w:pPr>
          <w:r w:rsidRPr="0015734B">
            <w:rPr>
              <w:sz w:val="16"/>
            </w:rPr>
            <w:t xml:space="preserve">Bases per a l’elaboració del Llibre Blanc de l’execució penal a Catalunya: </w:t>
          </w:r>
          <w:r>
            <w:rPr>
              <w:sz w:val="16"/>
            </w:rPr>
            <w:br/>
          </w:r>
          <w:r w:rsidRPr="0015734B">
            <w:rPr>
              <w:sz w:val="16"/>
            </w:rPr>
            <w:t>la rehabilitació com a missió</w:t>
          </w:r>
        </w:p>
      </w:tc>
      <w:tc>
        <w:tcPr>
          <w:tcW w:w="1511" w:type="dxa"/>
          <w:tcBorders>
            <w:top w:val="nil"/>
            <w:left w:val="nil"/>
            <w:bottom w:val="nil"/>
            <w:right w:val="nil"/>
          </w:tcBorders>
        </w:tcPr>
        <w:p w:rsidR="003C42C9" w:rsidRPr="0015734B" w:rsidRDefault="003C42C9" w:rsidP="00DA66F8">
          <w:pPr>
            <w:pStyle w:val="Peu"/>
            <w:jc w:val="center"/>
            <w:rPr>
              <w:sz w:val="16"/>
            </w:rPr>
          </w:pPr>
          <w:r w:rsidRPr="0015734B">
            <w:rPr>
              <w:sz w:val="16"/>
            </w:rPr>
            <w:fldChar w:fldCharType="begin"/>
          </w:r>
          <w:r w:rsidRPr="0015734B">
            <w:rPr>
              <w:sz w:val="16"/>
            </w:rPr>
            <w:instrText>PAGE   \* MERGEFORMAT</w:instrText>
          </w:r>
          <w:r w:rsidRPr="0015734B">
            <w:rPr>
              <w:sz w:val="16"/>
            </w:rPr>
            <w:fldChar w:fldCharType="separate"/>
          </w:r>
          <w:r w:rsidR="00DB496B">
            <w:rPr>
              <w:noProof/>
              <w:sz w:val="16"/>
            </w:rPr>
            <w:t>171</w:t>
          </w:r>
          <w:r w:rsidRPr="0015734B">
            <w:rPr>
              <w:sz w:val="16"/>
            </w:rPr>
            <w:fldChar w:fldCharType="end"/>
          </w:r>
        </w:p>
      </w:tc>
    </w:tr>
  </w:tbl>
  <w:p w:rsidR="003C42C9" w:rsidRDefault="003C42C9">
    <w:pPr>
      <w:pStyle w:val="Peu"/>
    </w:pPr>
  </w:p>
  <w:p w:rsidR="003C42C9" w:rsidRDefault="003C42C9"/>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ulaambquadrcula"/>
      <w:tblW w:w="8741" w:type="dxa"/>
      <w:tblInd w:w="108" w:type="dxa"/>
      <w:tblLook w:val="04A0" w:firstRow="1" w:lastRow="0" w:firstColumn="1" w:lastColumn="0" w:noHBand="0" w:noVBand="1"/>
    </w:tblPr>
    <w:tblGrid>
      <w:gridCol w:w="7316"/>
      <w:gridCol w:w="1757"/>
    </w:tblGrid>
    <w:tr w:rsidR="003C42C9" w:rsidTr="002A4649">
      <w:trPr>
        <w:trHeight w:val="703"/>
      </w:trPr>
      <w:tc>
        <w:tcPr>
          <w:tcW w:w="8741" w:type="dxa"/>
          <w:gridSpan w:val="2"/>
          <w:tcBorders>
            <w:top w:val="nil"/>
            <w:left w:val="nil"/>
            <w:bottom w:val="nil"/>
            <w:right w:val="nil"/>
          </w:tcBorders>
        </w:tcPr>
        <w:p w:rsidR="003C42C9" w:rsidRDefault="003C42C9" w:rsidP="002A4649">
          <w:pPr>
            <w:pStyle w:val="Peu"/>
            <w:jc w:val="center"/>
          </w:pPr>
          <w:r w:rsidRPr="0015734B">
            <w:rPr>
              <w:noProof/>
              <w:lang w:eastAsia="ca-ES"/>
            </w:rPr>
            <w:drawing>
              <wp:inline distT="0" distB="0" distL="0" distR="0" wp14:anchorId="0493C762" wp14:editId="3454B858">
                <wp:extent cx="5624286" cy="308377"/>
                <wp:effectExtent l="0" t="0" r="0" b="0"/>
                <wp:docPr id="164" name="Imatg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 cstate="screen">
                          <a:extLst>
                            <a:ext uri="{28A0092B-C50C-407E-A947-70E740481C1C}">
                              <a14:useLocalDpi xmlns:a14="http://schemas.microsoft.com/office/drawing/2010/main"/>
                            </a:ext>
                          </a:extLst>
                        </a:blip>
                        <a:srcRect/>
                        <a:stretch/>
                      </pic:blipFill>
                      <pic:spPr bwMode="auto">
                        <a:xfrm>
                          <a:off x="0" y="0"/>
                          <a:ext cx="5624286" cy="308377"/>
                        </a:xfrm>
                        <a:prstGeom prst="rect">
                          <a:avLst/>
                        </a:prstGeom>
                        <a:ln>
                          <a:noFill/>
                        </a:ln>
                        <a:extLst>
                          <a:ext uri="{53640926-AAD7-44D8-BBD7-CCE9431645EC}">
                            <a14:shadowObscured xmlns:a14="http://schemas.microsoft.com/office/drawing/2010/main"/>
                          </a:ext>
                        </a:extLst>
                      </pic:spPr>
                    </pic:pic>
                  </a:graphicData>
                </a:graphic>
              </wp:inline>
            </w:drawing>
          </w:r>
        </w:p>
      </w:tc>
    </w:tr>
    <w:tr w:rsidR="003C42C9" w:rsidTr="002A4649">
      <w:trPr>
        <w:trHeight w:val="319"/>
      </w:trPr>
      <w:tc>
        <w:tcPr>
          <w:tcW w:w="7230" w:type="dxa"/>
          <w:tcBorders>
            <w:top w:val="nil"/>
            <w:left w:val="nil"/>
            <w:bottom w:val="nil"/>
            <w:right w:val="nil"/>
          </w:tcBorders>
        </w:tcPr>
        <w:p w:rsidR="003C42C9" w:rsidRPr="00DA66F8" w:rsidRDefault="003C42C9" w:rsidP="002A4649">
          <w:pPr>
            <w:pStyle w:val="Peu"/>
            <w:jc w:val="center"/>
            <w:rPr>
              <w:sz w:val="16"/>
            </w:rPr>
          </w:pPr>
          <w:r w:rsidRPr="0015734B">
            <w:rPr>
              <w:sz w:val="16"/>
            </w:rPr>
            <w:t xml:space="preserve">Bases per a l’elaboració del Llibre Blanc de l’execució penal a Catalunya: </w:t>
          </w:r>
          <w:r>
            <w:rPr>
              <w:sz w:val="16"/>
            </w:rPr>
            <w:br/>
          </w:r>
          <w:r w:rsidRPr="0015734B">
            <w:rPr>
              <w:sz w:val="16"/>
            </w:rPr>
            <w:t>la rehabilitació com a missió</w:t>
          </w:r>
        </w:p>
      </w:tc>
      <w:tc>
        <w:tcPr>
          <w:tcW w:w="1511" w:type="dxa"/>
          <w:tcBorders>
            <w:top w:val="nil"/>
            <w:left w:val="nil"/>
            <w:bottom w:val="nil"/>
            <w:right w:val="nil"/>
          </w:tcBorders>
        </w:tcPr>
        <w:p w:rsidR="003C42C9" w:rsidRPr="0015734B" w:rsidRDefault="003C42C9" w:rsidP="002A4649">
          <w:pPr>
            <w:pStyle w:val="Peu"/>
            <w:jc w:val="center"/>
            <w:rPr>
              <w:sz w:val="16"/>
            </w:rPr>
          </w:pPr>
          <w:r w:rsidRPr="0015734B">
            <w:rPr>
              <w:sz w:val="16"/>
            </w:rPr>
            <w:fldChar w:fldCharType="begin"/>
          </w:r>
          <w:r w:rsidRPr="0015734B">
            <w:rPr>
              <w:sz w:val="16"/>
            </w:rPr>
            <w:instrText>PAGE   \* MERGEFORMAT</w:instrText>
          </w:r>
          <w:r w:rsidRPr="0015734B">
            <w:rPr>
              <w:sz w:val="16"/>
            </w:rPr>
            <w:fldChar w:fldCharType="separate"/>
          </w:r>
          <w:r w:rsidR="00DB496B">
            <w:rPr>
              <w:noProof/>
              <w:sz w:val="16"/>
            </w:rPr>
            <w:t>261</w:t>
          </w:r>
          <w:r w:rsidRPr="0015734B">
            <w:rPr>
              <w:sz w:val="16"/>
            </w:rPr>
            <w:fldChar w:fldCharType="end"/>
          </w:r>
        </w:p>
      </w:tc>
    </w:tr>
  </w:tbl>
  <w:p w:rsidR="003C42C9" w:rsidRDefault="003C42C9" w:rsidP="002A4649">
    <w:pPr>
      <w:pStyle w:val="Peu"/>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53F2A" w:rsidRDefault="00153F2A" w:rsidP="00CB5CBD">
      <w:pPr>
        <w:spacing w:after="0"/>
      </w:pPr>
      <w:r>
        <w:separator/>
      </w:r>
    </w:p>
  </w:footnote>
  <w:footnote w:type="continuationSeparator" w:id="0">
    <w:p w:rsidR="00153F2A" w:rsidRDefault="00153F2A" w:rsidP="00CB5CBD">
      <w:pPr>
        <w:spacing w:after="0"/>
      </w:pPr>
      <w:r>
        <w:continuationSeparator/>
      </w:r>
    </w:p>
  </w:footnote>
  <w:footnote w:id="1">
    <w:p w:rsidR="003C42C9" w:rsidRPr="001770B4" w:rsidRDefault="003C42C9" w:rsidP="00AE1078">
      <w:pPr>
        <w:pStyle w:val="Textdenotaapeudepgina"/>
        <w:spacing w:before="0"/>
        <w:rPr>
          <w:rStyle w:val="Refernciadenotaapeudepgina"/>
          <w:rFonts w:cs="Arial"/>
          <w:sz w:val="16"/>
          <w:szCs w:val="16"/>
          <w:vertAlign w:val="baseline"/>
        </w:rPr>
      </w:pPr>
      <w:r w:rsidRPr="001770B4">
        <w:rPr>
          <w:rStyle w:val="Refernciadenotaapeudepgina"/>
          <w:rFonts w:cs="Arial"/>
          <w:sz w:val="16"/>
          <w:szCs w:val="16"/>
          <w:vertAlign w:val="baseline"/>
        </w:rPr>
        <w:footnoteRef/>
      </w:r>
      <w:r>
        <w:rPr>
          <w:rStyle w:val="Refernciadenotaapeudepgina"/>
          <w:rFonts w:cs="Arial"/>
          <w:sz w:val="16"/>
          <w:szCs w:val="16"/>
          <w:vertAlign w:val="baseline"/>
        </w:rPr>
        <w:t xml:space="preserve">. </w:t>
      </w:r>
      <w:r w:rsidRPr="001770B4">
        <w:rPr>
          <w:rStyle w:val="Refernciadenotaapeudepgina"/>
          <w:rFonts w:cs="Arial"/>
          <w:sz w:val="16"/>
          <w:szCs w:val="16"/>
          <w:vertAlign w:val="baseline"/>
        </w:rPr>
        <w:t>L’EAC-79 va ser la quarta: Llei orgànica 4/1979.</w:t>
      </w:r>
    </w:p>
  </w:footnote>
  <w:footnote w:id="2">
    <w:p w:rsidR="003C42C9" w:rsidRPr="001770B4" w:rsidRDefault="003C42C9" w:rsidP="00AE1078">
      <w:pPr>
        <w:pStyle w:val="Textdenotaapeudepgina"/>
        <w:spacing w:before="0"/>
        <w:rPr>
          <w:rStyle w:val="Refernciadenotaapeudepgina"/>
          <w:rFonts w:cs="Arial"/>
          <w:sz w:val="16"/>
          <w:szCs w:val="16"/>
          <w:vertAlign w:val="baseline"/>
        </w:rPr>
      </w:pPr>
      <w:r w:rsidRPr="001770B4">
        <w:rPr>
          <w:rStyle w:val="Refernciadenotaapeudepgina"/>
          <w:rFonts w:cs="Arial"/>
          <w:sz w:val="16"/>
          <w:szCs w:val="16"/>
          <w:vertAlign w:val="baseline"/>
        </w:rPr>
        <w:footnoteRef/>
      </w:r>
      <w:r>
        <w:rPr>
          <w:rFonts w:cs="Arial"/>
          <w:sz w:val="16"/>
          <w:szCs w:val="16"/>
        </w:rPr>
        <w:t xml:space="preserve">. </w:t>
      </w:r>
      <w:r w:rsidRPr="001770B4">
        <w:rPr>
          <w:rStyle w:val="Refernciadenotaapeudepgina"/>
          <w:rFonts w:cs="Arial"/>
          <w:sz w:val="16"/>
          <w:szCs w:val="16"/>
          <w:vertAlign w:val="baseline"/>
        </w:rPr>
        <w:t>En endavant LOGP</w:t>
      </w:r>
      <w:r w:rsidRPr="001770B4">
        <w:rPr>
          <w:rFonts w:cs="Arial"/>
          <w:sz w:val="16"/>
          <w:szCs w:val="16"/>
        </w:rPr>
        <w:t>.</w:t>
      </w:r>
    </w:p>
  </w:footnote>
  <w:footnote w:id="3">
    <w:p w:rsidR="003C42C9" w:rsidRPr="00914ECC" w:rsidRDefault="003C42C9" w:rsidP="00AE1078">
      <w:pPr>
        <w:pStyle w:val="Textdenotaapeudepgina"/>
        <w:spacing w:before="0"/>
        <w:rPr>
          <w:rStyle w:val="Refernciadenotaapeudepgina"/>
          <w:sz w:val="20"/>
        </w:rPr>
      </w:pPr>
      <w:r w:rsidRPr="001770B4">
        <w:rPr>
          <w:rStyle w:val="Refernciadenotaapeudepgina"/>
          <w:rFonts w:cs="Arial"/>
          <w:sz w:val="16"/>
          <w:szCs w:val="16"/>
          <w:vertAlign w:val="baseline"/>
        </w:rPr>
        <w:footnoteRef/>
      </w:r>
      <w:r>
        <w:rPr>
          <w:rStyle w:val="Refernciadenotaapeudepgina"/>
          <w:rFonts w:cs="Arial"/>
          <w:sz w:val="16"/>
          <w:szCs w:val="16"/>
          <w:vertAlign w:val="baseline"/>
        </w:rPr>
        <w:t xml:space="preserve">. </w:t>
      </w:r>
      <w:r w:rsidRPr="001770B4">
        <w:rPr>
          <w:rStyle w:val="Refernciadenotaapeudepgina"/>
          <w:rFonts w:cs="Arial"/>
          <w:sz w:val="16"/>
          <w:szCs w:val="16"/>
          <w:vertAlign w:val="baseline"/>
        </w:rPr>
        <w:t>El Reial decret 131/1986 va ampliar els recursos adscrits</w:t>
      </w:r>
      <w:r w:rsidRPr="001770B4">
        <w:rPr>
          <w:rStyle w:val="Refernciadenotaapeudepgina"/>
          <w:sz w:val="16"/>
          <w:szCs w:val="16"/>
          <w:vertAlign w:val="baseline"/>
        </w:rPr>
        <w:t xml:space="preserve"> a la Gener</w:t>
      </w:r>
      <w:r>
        <w:rPr>
          <w:sz w:val="16"/>
          <w:szCs w:val="16"/>
        </w:rPr>
        <w:t>alitat.</w:t>
      </w:r>
    </w:p>
  </w:footnote>
  <w:footnote w:id="4">
    <w:p w:rsidR="003C42C9" w:rsidRPr="00C15A83" w:rsidRDefault="003C42C9">
      <w:pPr>
        <w:pStyle w:val="Textdenotaapeudepgina"/>
        <w:rPr>
          <w:sz w:val="16"/>
          <w:szCs w:val="16"/>
        </w:rPr>
      </w:pPr>
      <w:r w:rsidRPr="00C15A83">
        <w:rPr>
          <w:rStyle w:val="Refernciadenotaapeudepgina"/>
          <w:sz w:val="16"/>
          <w:szCs w:val="16"/>
          <w:vertAlign w:val="baseline"/>
        </w:rPr>
        <w:footnoteRef/>
      </w:r>
      <w:r>
        <w:rPr>
          <w:sz w:val="16"/>
          <w:szCs w:val="16"/>
        </w:rPr>
        <w:t>.</w:t>
      </w:r>
      <w:r w:rsidRPr="00C15A83">
        <w:rPr>
          <w:sz w:val="16"/>
          <w:szCs w:val="16"/>
        </w:rPr>
        <w:t xml:space="preserve"> Inclou sentències absolutòries o condemnatòries (no inclou </w:t>
      </w:r>
      <w:r>
        <w:rPr>
          <w:sz w:val="16"/>
          <w:szCs w:val="16"/>
        </w:rPr>
        <w:t>les interlocutòries</w:t>
      </w:r>
      <w:r w:rsidRPr="00C15A83">
        <w:rPr>
          <w:sz w:val="16"/>
          <w:szCs w:val="16"/>
        </w:rPr>
        <w:t xml:space="preserve"> de sobreseïment). Font: CGPJ</w:t>
      </w:r>
      <w:r>
        <w:rPr>
          <w:sz w:val="16"/>
          <w:szCs w:val="16"/>
        </w:rPr>
        <w:t>.</w:t>
      </w:r>
    </w:p>
  </w:footnote>
  <w:footnote w:id="5">
    <w:p w:rsidR="003C42C9" w:rsidRPr="00C15A83" w:rsidRDefault="003C42C9">
      <w:pPr>
        <w:pStyle w:val="Textdenotaapeudepgina"/>
        <w:rPr>
          <w:sz w:val="16"/>
          <w:szCs w:val="16"/>
        </w:rPr>
      </w:pPr>
      <w:r w:rsidRPr="00C15A83">
        <w:rPr>
          <w:rStyle w:val="Refernciadenotaapeudepgina"/>
          <w:sz w:val="16"/>
          <w:szCs w:val="16"/>
          <w:vertAlign w:val="baseline"/>
        </w:rPr>
        <w:footnoteRef/>
      </w:r>
      <w:r>
        <w:rPr>
          <w:sz w:val="16"/>
          <w:szCs w:val="16"/>
        </w:rPr>
        <w:t>.</w:t>
      </w:r>
      <w:r w:rsidRPr="00C15A83">
        <w:rPr>
          <w:sz w:val="16"/>
          <w:szCs w:val="16"/>
        </w:rPr>
        <w:t xml:space="preserve"> Són les causes ingressades als òrgans judicials </w:t>
      </w:r>
      <w:r>
        <w:rPr>
          <w:sz w:val="16"/>
          <w:szCs w:val="16"/>
        </w:rPr>
        <w:t>penals</w:t>
      </w:r>
      <w:r w:rsidRPr="00C15A83">
        <w:rPr>
          <w:sz w:val="16"/>
          <w:szCs w:val="16"/>
        </w:rPr>
        <w:t>. Font: CGPJ</w:t>
      </w:r>
      <w:r>
        <w:rPr>
          <w:sz w:val="16"/>
          <w:szCs w:val="16"/>
        </w:rPr>
        <w:t>.</w:t>
      </w:r>
    </w:p>
  </w:footnote>
  <w:footnote w:id="6">
    <w:p w:rsidR="003C42C9" w:rsidRPr="00C15A83" w:rsidRDefault="003C42C9">
      <w:pPr>
        <w:pStyle w:val="Textdenotaapeudepgina"/>
        <w:rPr>
          <w:sz w:val="16"/>
          <w:szCs w:val="16"/>
        </w:rPr>
      </w:pPr>
      <w:r w:rsidRPr="00C15A83">
        <w:rPr>
          <w:rStyle w:val="Refernciadenotaapeudepgina"/>
          <w:sz w:val="16"/>
          <w:szCs w:val="16"/>
          <w:vertAlign w:val="baseline"/>
        </w:rPr>
        <w:footnoteRef/>
      </w:r>
      <w:r>
        <w:rPr>
          <w:sz w:val="16"/>
          <w:szCs w:val="16"/>
        </w:rPr>
        <w:t xml:space="preserve">. </w:t>
      </w:r>
      <w:r w:rsidRPr="00C15A83">
        <w:rPr>
          <w:sz w:val="16"/>
          <w:szCs w:val="16"/>
        </w:rPr>
        <w:t xml:space="preserve">Denúncies de delictes i de faltes que arriben al coneixement de la policia autonòmica, altrament anomenats </w:t>
      </w:r>
      <w:r w:rsidRPr="00B61018">
        <w:rPr>
          <w:i/>
          <w:sz w:val="16"/>
          <w:szCs w:val="16"/>
        </w:rPr>
        <w:t>fets delinqüencials</w:t>
      </w:r>
      <w:r w:rsidRPr="00C15A83">
        <w:rPr>
          <w:sz w:val="16"/>
          <w:szCs w:val="16"/>
        </w:rPr>
        <w:t>. Font: Departament d’Interior, Gabinet Tècnic.</w:t>
      </w:r>
    </w:p>
  </w:footnote>
  <w:footnote w:id="7">
    <w:p w:rsidR="003C42C9" w:rsidRPr="00EC4877" w:rsidRDefault="003C42C9">
      <w:pPr>
        <w:pStyle w:val="Textdenotaapeudepgina"/>
        <w:rPr>
          <w:sz w:val="16"/>
          <w:szCs w:val="16"/>
        </w:rPr>
      </w:pPr>
      <w:r w:rsidRPr="00EC4877">
        <w:rPr>
          <w:rStyle w:val="Refernciadenotaapeudepgina"/>
          <w:sz w:val="16"/>
          <w:szCs w:val="16"/>
          <w:vertAlign w:val="baseline"/>
        </w:rPr>
        <w:footnoteRef/>
      </w:r>
      <w:r>
        <w:rPr>
          <w:sz w:val="16"/>
          <w:szCs w:val="16"/>
        </w:rPr>
        <w:t>.</w:t>
      </w:r>
      <w:r w:rsidRPr="00EC4877">
        <w:rPr>
          <w:sz w:val="16"/>
          <w:szCs w:val="16"/>
        </w:rPr>
        <w:t xml:space="preserve"> Taxa de risc </w:t>
      </w:r>
      <w:r>
        <w:rPr>
          <w:sz w:val="16"/>
          <w:szCs w:val="16"/>
        </w:rPr>
        <w:t>de</w:t>
      </w:r>
      <w:r w:rsidRPr="00EC4877">
        <w:rPr>
          <w:sz w:val="16"/>
          <w:szCs w:val="16"/>
        </w:rPr>
        <w:t xml:space="preserve"> pobresa i </w:t>
      </w:r>
      <w:r>
        <w:rPr>
          <w:sz w:val="16"/>
          <w:szCs w:val="16"/>
        </w:rPr>
        <w:t>d’</w:t>
      </w:r>
      <w:r w:rsidRPr="00EC4877">
        <w:rPr>
          <w:sz w:val="16"/>
          <w:szCs w:val="16"/>
        </w:rPr>
        <w:t>exclusió social (</w:t>
      </w:r>
      <w:r w:rsidRPr="00EC4877">
        <w:rPr>
          <w:i/>
          <w:sz w:val="16"/>
          <w:szCs w:val="16"/>
        </w:rPr>
        <w:t xml:space="preserve">at risk of poverty and </w:t>
      </w:r>
      <w:r>
        <w:rPr>
          <w:i/>
          <w:sz w:val="16"/>
          <w:szCs w:val="16"/>
        </w:rPr>
        <w:t xml:space="preserve">social </w:t>
      </w:r>
      <w:r w:rsidRPr="00EC4877">
        <w:rPr>
          <w:i/>
          <w:sz w:val="16"/>
          <w:szCs w:val="16"/>
        </w:rPr>
        <w:t>exclusion</w:t>
      </w:r>
      <w:r w:rsidRPr="00EC4877">
        <w:rPr>
          <w:sz w:val="16"/>
          <w:szCs w:val="16"/>
        </w:rPr>
        <w:t>): expre</w:t>
      </w:r>
      <w:r>
        <w:rPr>
          <w:sz w:val="16"/>
          <w:szCs w:val="16"/>
        </w:rPr>
        <w:t>s</w:t>
      </w:r>
      <w:r w:rsidRPr="00EC4877">
        <w:rPr>
          <w:sz w:val="16"/>
          <w:szCs w:val="16"/>
        </w:rPr>
        <w:t xml:space="preserve">sa la proporció de persones afectades almenys </w:t>
      </w:r>
      <w:r>
        <w:rPr>
          <w:sz w:val="16"/>
          <w:szCs w:val="16"/>
        </w:rPr>
        <w:t xml:space="preserve">per </w:t>
      </w:r>
      <w:r w:rsidRPr="00EC4877">
        <w:rPr>
          <w:sz w:val="16"/>
          <w:szCs w:val="16"/>
        </w:rPr>
        <w:t>una de las següents situacions: a) risc de pobresa (60 % mitjana dels ingressos per unitat de consum); b) privació material severa (amb carència en almenys 4 conceptes d’una llista de 9); c) baixa intensitat laboral (persones de 0 a 59 anys en llars amb una intensitat laboral menor del 20 %).</w:t>
      </w:r>
    </w:p>
  </w:footnote>
  <w:footnote w:id="8">
    <w:p w:rsidR="003C42C9" w:rsidRPr="00EC4877" w:rsidRDefault="003C42C9">
      <w:pPr>
        <w:pStyle w:val="Textdenotaapeudepgina"/>
        <w:rPr>
          <w:sz w:val="16"/>
          <w:szCs w:val="16"/>
        </w:rPr>
      </w:pPr>
      <w:r w:rsidRPr="00EC4877">
        <w:rPr>
          <w:rStyle w:val="Refernciadenotaapeudepgina"/>
          <w:sz w:val="16"/>
          <w:szCs w:val="16"/>
          <w:vertAlign w:val="baseline"/>
        </w:rPr>
        <w:footnoteRef/>
      </w:r>
      <w:r>
        <w:rPr>
          <w:sz w:val="16"/>
          <w:szCs w:val="16"/>
        </w:rPr>
        <w:t>.</w:t>
      </w:r>
      <w:r w:rsidRPr="00EC4877">
        <w:rPr>
          <w:sz w:val="16"/>
          <w:szCs w:val="16"/>
        </w:rPr>
        <w:t xml:space="preserve"> Mesura el grau de desigualtat en la distribució de la renda entre la població.</w:t>
      </w:r>
      <w:r w:rsidRPr="00CE36AA">
        <w:t xml:space="preserve"> </w:t>
      </w:r>
    </w:p>
  </w:footnote>
  <w:footnote w:id="9">
    <w:p w:rsidR="003C42C9" w:rsidRPr="001B5724" w:rsidRDefault="003C42C9">
      <w:pPr>
        <w:pStyle w:val="Textdenotaapeudepgina"/>
        <w:rPr>
          <w:sz w:val="16"/>
          <w:szCs w:val="16"/>
        </w:rPr>
      </w:pPr>
      <w:r w:rsidRPr="001B5724">
        <w:rPr>
          <w:rStyle w:val="Refernciadenotaapeudepgina"/>
          <w:sz w:val="16"/>
          <w:szCs w:val="16"/>
          <w:vertAlign w:val="baseline"/>
        </w:rPr>
        <w:footnoteRef/>
      </w:r>
      <w:r>
        <w:rPr>
          <w:sz w:val="16"/>
          <w:szCs w:val="16"/>
        </w:rPr>
        <w:t>.</w:t>
      </w:r>
      <w:r w:rsidRPr="001B5724">
        <w:rPr>
          <w:sz w:val="16"/>
          <w:szCs w:val="16"/>
        </w:rPr>
        <w:t xml:space="preserve"> Baròmetres d’opinió del CIS.</w:t>
      </w:r>
    </w:p>
  </w:footnote>
  <w:footnote w:id="10">
    <w:p w:rsidR="003C42C9" w:rsidRPr="00614A14" w:rsidRDefault="003C42C9" w:rsidP="00E930B2">
      <w:pPr>
        <w:pStyle w:val="Textdenotaapeudepgina"/>
        <w:rPr>
          <w:sz w:val="16"/>
          <w:szCs w:val="16"/>
        </w:rPr>
      </w:pPr>
      <w:r w:rsidRPr="00614A14">
        <w:rPr>
          <w:rStyle w:val="Refernciadenotaapeudepgina"/>
          <w:sz w:val="16"/>
          <w:szCs w:val="16"/>
          <w:vertAlign w:val="baseline"/>
        </w:rPr>
        <w:footnoteRef/>
      </w:r>
      <w:r>
        <w:rPr>
          <w:sz w:val="16"/>
          <w:szCs w:val="16"/>
        </w:rPr>
        <w:t>. Les comunitats de pràctiques só</w:t>
      </w:r>
      <w:r w:rsidRPr="00614A14">
        <w:rPr>
          <w:sz w:val="16"/>
          <w:szCs w:val="16"/>
        </w:rPr>
        <w:t>n una línia de formació organitzada pel CEJFE</w:t>
      </w:r>
      <w:r>
        <w:rPr>
          <w:sz w:val="16"/>
          <w:szCs w:val="16"/>
        </w:rPr>
        <w:t>,</w:t>
      </w:r>
      <w:r w:rsidRPr="00614A14">
        <w:rPr>
          <w:sz w:val="16"/>
          <w:szCs w:val="16"/>
        </w:rPr>
        <w:t xml:space="preserve"> que, mitjançant el suport d'un expert, facilita l'intercanvi de coneixements i el desenvolupament de protocols d'actuació de forma compartida entre un grup de professionals dels serveis penitenciaris.</w:t>
      </w:r>
    </w:p>
  </w:footnote>
  <w:footnote w:id="11">
    <w:p w:rsidR="003C42C9" w:rsidRPr="009B0734" w:rsidRDefault="003C42C9" w:rsidP="00E930B2">
      <w:pPr>
        <w:pStyle w:val="Textdenotaapeudepgina"/>
        <w:rPr>
          <w:sz w:val="16"/>
          <w:szCs w:val="16"/>
        </w:rPr>
      </w:pPr>
      <w:r w:rsidRPr="009B0734">
        <w:rPr>
          <w:rStyle w:val="Refernciadenotaapeudepgina"/>
          <w:sz w:val="16"/>
          <w:szCs w:val="16"/>
          <w:vertAlign w:val="baseline"/>
        </w:rPr>
        <w:footnoteRef/>
      </w:r>
      <w:r>
        <w:rPr>
          <w:sz w:val="16"/>
          <w:szCs w:val="16"/>
        </w:rPr>
        <w:t>.</w:t>
      </w:r>
      <w:r w:rsidRPr="009B0734">
        <w:rPr>
          <w:sz w:val="16"/>
          <w:szCs w:val="16"/>
        </w:rPr>
        <w:t xml:space="preserve"> La secció oberta del CP </w:t>
      </w:r>
      <w:r>
        <w:rPr>
          <w:sz w:val="16"/>
          <w:szCs w:val="16"/>
        </w:rPr>
        <w:t xml:space="preserve">de </w:t>
      </w:r>
      <w:r w:rsidRPr="009B0734">
        <w:rPr>
          <w:sz w:val="16"/>
          <w:szCs w:val="16"/>
        </w:rPr>
        <w:t>Dones at</w:t>
      </w:r>
      <w:r>
        <w:rPr>
          <w:sz w:val="16"/>
          <w:szCs w:val="16"/>
        </w:rPr>
        <w:t>é</w:t>
      </w:r>
      <w:r w:rsidRPr="009B0734">
        <w:rPr>
          <w:sz w:val="16"/>
          <w:szCs w:val="16"/>
        </w:rPr>
        <w:t>n homes i dones en tercer grau. Per la seva dimensió i l’existència d’equips especialitzats, el seu funcionament es a</w:t>
      </w:r>
      <w:r>
        <w:rPr>
          <w:sz w:val="16"/>
          <w:szCs w:val="16"/>
        </w:rPr>
        <w:t>s</w:t>
      </w:r>
      <w:r w:rsidRPr="009B0734">
        <w:rPr>
          <w:sz w:val="16"/>
          <w:szCs w:val="16"/>
        </w:rPr>
        <w:t>similable al d’un centre obert.</w:t>
      </w:r>
    </w:p>
  </w:footnote>
  <w:footnote w:id="12">
    <w:p w:rsidR="003C42C9" w:rsidRPr="004E1DAA" w:rsidRDefault="003C42C9" w:rsidP="00AD76E0">
      <w:pPr>
        <w:pStyle w:val="Textdenotaapeudepgina"/>
        <w:rPr>
          <w:sz w:val="16"/>
          <w:szCs w:val="16"/>
        </w:rPr>
      </w:pPr>
      <w:r w:rsidRPr="004E1DAA">
        <w:rPr>
          <w:rStyle w:val="Refernciadenotaapeudepgina"/>
          <w:sz w:val="16"/>
          <w:szCs w:val="16"/>
          <w:vertAlign w:val="baseline"/>
        </w:rPr>
        <w:footnoteRef/>
      </w:r>
      <w:r>
        <w:rPr>
          <w:sz w:val="16"/>
          <w:szCs w:val="16"/>
        </w:rPr>
        <w:t>.</w:t>
      </w:r>
      <w:r w:rsidRPr="004E1DAA">
        <w:rPr>
          <w:sz w:val="16"/>
          <w:szCs w:val="16"/>
        </w:rPr>
        <w:t xml:space="preserve"> Personal que ocupava llocs de treball relacionats a 31 de desembre dels anys respectius i a 31 d’agost de 2016. Durant el període 1986-1992 es compta també el personal que ocupava llocs de treball no catalogats, no relacionats i provisionals, ja que fins a l’any 1987 no </w:t>
      </w:r>
      <w:r>
        <w:rPr>
          <w:sz w:val="16"/>
          <w:szCs w:val="16"/>
        </w:rPr>
        <w:t>es van aprovar</w:t>
      </w:r>
      <w:r w:rsidRPr="004E1DAA">
        <w:rPr>
          <w:sz w:val="16"/>
          <w:szCs w:val="16"/>
        </w:rPr>
        <w:t xml:space="preserve"> els primers catàlegs de llocs de treball de personal funcionari dels serveis penitenciaris i fins a l’any 1993 no es </w:t>
      </w:r>
      <w:r>
        <w:rPr>
          <w:sz w:val="16"/>
          <w:szCs w:val="16"/>
        </w:rPr>
        <w:t>va publicar</w:t>
      </w:r>
      <w:r w:rsidRPr="004E1DAA">
        <w:rPr>
          <w:sz w:val="16"/>
          <w:szCs w:val="16"/>
        </w:rPr>
        <w:t xml:space="preserve"> la primera relació de llocs de treball. No es compten les substitucions ni els reforços.</w:t>
      </w:r>
    </w:p>
  </w:footnote>
  <w:footnote w:id="13">
    <w:p w:rsidR="003C42C9" w:rsidRPr="00490403" w:rsidRDefault="003C42C9" w:rsidP="00A41348">
      <w:pPr>
        <w:pStyle w:val="Textdenotaapeudepgina"/>
        <w:tabs>
          <w:tab w:val="left" w:pos="8040"/>
        </w:tabs>
      </w:pPr>
      <w:r>
        <w:rPr>
          <w:sz w:val="16"/>
          <w:szCs w:val="16"/>
        </w:rPr>
        <w:t xml:space="preserve">1. </w:t>
      </w:r>
      <w:r w:rsidRPr="00DF7830">
        <w:rPr>
          <w:sz w:val="16"/>
          <w:szCs w:val="16"/>
        </w:rPr>
        <w:t>Decret 555/1983, de 15 de desembre, de creació de la Comissió d'Assistència Social Penitenciària</w:t>
      </w:r>
      <w:r>
        <w:rPr>
          <w:sz w:val="16"/>
          <w:szCs w:val="16"/>
        </w:rPr>
        <w:t>.</w:t>
      </w:r>
      <w:r>
        <w:rPr>
          <w:sz w:val="16"/>
          <w:szCs w:val="16"/>
        </w:rPr>
        <w:tab/>
      </w:r>
    </w:p>
  </w:footnote>
  <w:footnote w:id="14">
    <w:p w:rsidR="003C42C9" w:rsidRPr="00490403" w:rsidRDefault="003C42C9">
      <w:pPr>
        <w:pStyle w:val="Textdenotaapeudepgina"/>
      </w:pPr>
      <w:r>
        <w:rPr>
          <w:sz w:val="16"/>
          <w:szCs w:val="16"/>
        </w:rPr>
        <w:t xml:space="preserve">2. </w:t>
      </w:r>
      <w:r w:rsidRPr="00DF7830">
        <w:rPr>
          <w:sz w:val="16"/>
          <w:szCs w:val="16"/>
        </w:rPr>
        <w:t xml:space="preserve">Decret </w:t>
      </w:r>
      <w:r w:rsidRPr="00F074AC">
        <w:rPr>
          <w:sz w:val="16"/>
          <w:szCs w:val="16"/>
        </w:rPr>
        <w:t>329/2006, de 5 de setembre, pel qual s'aprova el Reglament d'organització i funcionament dels serveis d'execució penal a Catalunya.</w:t>
      </w:r>
    </w:p>
  </w:footnote>
  <w:footnote w:id="15">
    <w:p w:rsidR="003C42C9" w:rsidRPr="00A15B0C" w:rsidRDefault="003C42C9">
      <w:pPr>
        <w:pStyle w:val="Textdenotaapeudepgina"/>
        <w:rPr>
          <w:sz w:val="16"/>
          <w:szCs w:val="16"/>
        </w:rPr>
      </w:pPr>
      <w:r>
        <w:rPr>
          <w:sz w:val="16"/>
          <w:szCs w:val="16"/>
        </w:rPr>
        <w:t xml:space="preserve">3. Segons l’Ordre </w:t>
      </w:r>
      <w:r w:rsidRPr="00A15B0C">
        <w:rPr>
          <w:sz w:val="16"/>
          <w:szCs w:val="16"/>
        </w:rPr>
        <w:t>JUS/370/2009, de 23 de juliol, de regulació de les taules de participació social en l'àmbit penal i penitenciari, vigent en l’actualitat</w:t>
      </w:r>
      <w:r>
        <w:rPr>
          <w:sz w:val="16"/>
          <w:szCs w:val="16"/>
        </w:rPr>
        <w:t>.</w:t>
      </w:r>
    </w:p>
  </w:footnote>
  <w:footnote w:id="16">
    <w:p w:rsidR="003C42C9" w:rsidRPr="00C0005E" w:rsidRDefault="003C42C9" w:rsidP="00A41348">
      <w:pPr>
        <w:pStyle w:val="Textdenotaapeudepgina"/>
        <w:rPr>
          <w:lang w:val="es-ES"/>
        </w:rPr>
      </w:pPr>
      <w:r>
        <w:rPr>
          <w:sz w:val="16"/>
          <w:szCs w:val="16"/>
        </w:rPr>
        <w:t>1. Creada pel D</w:t>
      </w:r>
      <w:r w:rsidRPr="00DF7830">
        <w:rPr>
          <w:sz w:val="16"/>
          <w:szCs w:val="16"/>
        </w:rPr>
        <w:t xml:space="preserve">ecret </w:t>
      </w:r>
      <w:r w:rsidRPr="00C0005E">
        <w:rPr>
          <w:sz w:val="16"/>
          <w:szCs w:val="16"/>
        </w:rPr>
        <w:t>98/2005, de 31 de maig, de creació de la Comissió interinstitucional per a la reinserció social.</w:t>
      </w:r>
    </w:p>
  </w:footnote>
  <w:footnote w:id="17">
    <w:p w:rsidR="003C42C9" w:rsidRDefault="003C42C9" w:rsidP="009D4C07">
      <w:pPr>
        <w:pStyle w:val="Textdenotaapeudepgina"/>
      </w:pPr>
      <w:r w:rsidRPr="00E30364">
        <w:rPr>
          <w:rStyle w:val="Refernciadenotaapeudepgina"/>
          <w:sz w:val="16"/>
          <w:szCs w:val="16"/>
          <w:vertAlign w:val="baseline"/>
        </w:rPr>
        <w:footnoteRef/>
      </w:r>
      <w:r>
        <w:rPr>
          <w:sz w:val="16"/>
          <w:szCs w:val="16"/>
        </w:rPr>
        <w:t>.</w:t>
      </w:r>
      <w:r w:rsidRPr="00E30364">
        <w:rPr>
          <w:sz w:val="16"/>
          <w:szCs w:val="16"/>
        </w:rPr>
        <w:t xml:space="preserve"> </w:t>
      </w:r>
      <w:r w:rsidRPr="007939F0">
        <w:rPr>
          <w:sz w:val="16"/>
          <w:szCs w:val="16"/>
        </w:rPr>
        <w:t xml:space="preserve">Als </w:t>
      </w:r>
      <w:r w:rsidRPr="00DA7D73">
        <w:rPr>
          <w:sz w:val="16"/>
          <w:szCs w:val="16"/>
        </w:rPr>
        <w:t>efectes d’aquest document, es refereix a l’Administració de la Generalitat de Catalunya: departaments, òrgans superiors i fons no departamentals</w:t>
      </w:r>
      <w:r w:rsidRPr="007939F0">
        <w:rPr>
          <w:sz w:val="16"/>
          <w:szCs w:val="16"/>
        </w:rPr>
        <w:t>.</w:t>
      </w:r>
    </w:p>
  </w:footnote>
  <w:footnote w:id="18">
    <w:p w:rsidR="003C42C9" w:rsidRDefault="003C42C9" w:rsidP="009D4C07">
      <w:pPr>
        <w:pStyle w:val="Textdenotaapeudepgina"/>
      </w:pPr>
      <w:r w:rsidRPr="00E30364">
        <w:rPr>
          <w:rStyle w:val="Refernciadenotaapeudepgina"/>
          <w:sz w:val="16"/>
          <w:szCs w:val="16"/>
          <w:vertAlign w:val="baseline"/>
        </w:rPr>
        <w:footnoteRef/>
      </w:r>
      <w:r>
        <w:t xml:space="preserve">. </w:t>
      </w:r>
      <w:r w:rsidRPr="00FD19A5">
        <w:rPr>
          <w:sz w:val="16"/>
          <w:szCs w:val="16"/>
        </w:rPr>
        <w:t>El pressupost de la Generalitat de Catalunya de l</w:t>
      </w:r>
      <w:r>
        <w:rPr>
          <w:sz w:val="16"/>
          <w:szCs w:val="16"/>
        </w:rPr>
        <w:t>’</w:t>
      </w:r>
      <w:r w:rsidRPr="00FD19A5">
        <w:rPr>
          <w:sz w:val="16"/>
          <w:szCs w:val="16"/>
        </w:rPr>
        <w:t>any 2002 és el primer aprovat en euros. Els imports dels anys anteriors (en pessetes) es presenten en la seva equivalència en euros.</w:t>
      </w:r>
    </w:p>
  </w:footnote>
  <w:footnote w:id="19">
    <w:p w:rsidR="003C42C9" w:rsidRDefault="003C42C9" w:rsidP="009D4C07">
      <w:pPr>
        <w:pStyle w:val="Textdenotaapeudepgina"/>
      </w:pPr>
      <w:r w:rsidRPr="008B57A4">
        <w:rPr>
          <w:rStyle w:val="Refernciadenotaapeudepgina"/>
          <w:sz w:val="16"/>
          <w:szCs w:val="16"/>
          <w:vertAlign w:val="baseline"/>
        </w:rPr>
        <w:footnoteRef/>
      </w:r>
      <w:r>
        <w:t xml:space="preserve">. </w:t>
      </w:r>
      <w:r w:rsidRPr="00312BF6">
        <w:rPr>
          <w:sz w:val="16"/>
          <w:szCs w:val="16"/>
        </w:rPr>
        <w:t xml:space="preserve">Corresponent al pressupost prorrogat de 2015 </w:t>
      </w:r>
      <w:r w:rsidRPr="001C3422">
        <w:rPr>
          <w:sz w:val="16"/>
          <w:szCs w:val="16"/>
        </w:rPr>
        <w:t>per causa de la</w:t>
      </w:r>
      <w:r w:rsidRPr="00312BF6">
        <w:rPr>
          <w:sz w:val="16"/>
          <w:szCs w:val="16"/>
        </w:rPr>
        <w:t xml:space="preserve"> no</w:t>
      </w:r>
      <w:r>
        <w:rPr>
          <w:sz w:val="16"/>
          <w:szCs w:val="16"/>
        </w:rPr>
        <w:t>-</w:t>
      </w:r>
      <w:r w:rsidRPr="00312BF6">
        <w:rPr>
          <w:sz w:val="16"/>
          <w:szCs w:val="16"/>
        </w:rPr>
        <w:t xml:space="preserve">aprovació de la Llei de </w:t>
      </w:r>
      <w:r>
        <w:rPr>
          <w:sz w:val="16"/>
          <w:szCs w:val="16"/>
        </w:rPr>
        <w:t>p</w:t>
      </w:r>
      <w:r w:rsidRPr="00312BF6">
        <w:rPr>
          <w:sz w:val="16"/>
          <w:szCs w:val="16"/>
        </w:rPr>
        <w:t>ressupostos de l</w:t>
      </w:r>
      <w:r>
        <w:rPr>
          <w:sz w:val="16"/>
          <w:szCs w:val="16"/>
        </w:rPr>
        <w:t>’any 2016, amb les modificacions pressupostàries aprovades.</w:t>
      </w:r>
    </w:p>
  </w:footnote>
  <w:footnote w:id="20">
    <w:p w:rsidR="003C42C9" w:rsidRDefault="003C42C9" w:rsidP="009D4C07">
      <w:pPr>
        <w:pStyle w:val="Textdenotaapeudepgina"/>
      </w:pPr>
      <w:r w:rsidRPr="008B57A4">
        <w:rPr>
          <w:rStyle w:val="Refernciadenotaapeudepgina"/>
          <w:sz w:val="16"/>
          <w:szCs w:val="16"/>
          <w:vertAlign w:val="baseline"/>
        </w:rPr>
        <w:footnoteRef/>
      </w:r>
      <w:r>
        <w:t xml:space="preserve">. </w:t>
      </w:r>
      <w:r w:rsidRPr="00312BF6">
        <w:rPr>
          <w:sz w:val="16"/>
          <w:szCs w:val="16"/>
        </w:rPr>
        <w:t xml:space="preserve">No inclouen les operacions que es duen a terme mitjançant </w:t>
      </w:r>
      <w:r w:rsidRPr="00570FEA">
        <w:rPr>
          <w:sz w:val="16"/>
          <w:szCs w:val="16"/>
        </w:rPr>
        <w:t xml:space="preserve">finançaments </w:t>
      </w:r>
      <w:r w:rsidRPr="001C3422">
        <w:rPr>
          <w:sz w:val="16"/>
          <w:szCs w:val="16"/>
        </w:rPr>
        <w:t>estructurats,</w:t>
      </w:r>
      <w:r w:rsidRPr="00312BF6">
        <w:rPr>
          <w:sz w:val="16"/>
          <w:szCs w:val="16"/>
        </w:rPr>
        <w:t xml:space="preserve"> com els drets de superfície, que es tramiten com una despesa corrent en el capítol 2.</w:t>
      </w:r>
    </w:p>
  </w:footnote>
  <w:footnote w:id="21">
    <w:p w:rsidR="003C42C9" w:rsidRPr="007540A3" w:rsidRDefault="003C42C9" w:rsidP="009D4C07">
      <w:pPr>
        <w:pStyle w:val="Textdenotaapeudepgina"/>
        <w:rPr>
          <w:sz w:val="16"/>
          <w:szCs w:val="16"/>
        </w:rPr>
      </w:pPr>
      <w:r w:rsidRPr="008B57A4">
        <w:rPr>
          <w:rStyle w:val="Refernciadenotaapeudepgina"/>
          <w:sz w:val="16"/>
          <w:szCs w:val="16"/>
          <w:vertAlign w:val="baseline"/>
        </w:rPr>
        <w:footnoteRef/>
      </w:r>
      <w:r>
        <w:t xml:space="preserve">. </w:t>
      </w:r>
      <w:r w:rsidRPr="00B268B2">
        <w:rPr>
          <w:sz w:val="16"/>
          <w:szCs w:val="16"/>
        </w:rPr>
        <w:t>C</w:t>
      </w:r>
      <w:r w:rsidRPr="007540A3">
        <w:rPr>
          <w:sz w:val="16"/>
          <w:szCs w:val="16"/>
        </w:rPr>
        <w:t>orrespon a les obligacions reconegudes del pressupost definitiu</w:t>
      </w:r>
      <w:r>
        <w:rPr>
          <w:sz w:val="16"/>
          <w:szCs w:val="16"/>
        </w:rPr>
        <w:t xml:space="preserve">, </w:t>
      </w:r>
      <w:r w:rsidRPr="00B268B2">
        <w:rPr>
          <w:sz w:val="16"/>
          <w:szCs w:val="16"/>
        </w:rPr>
        <w:t>el que es considera pròpiament la despesa</w:t>
      </w:r>
      <w:r>
        <w:rPr>
          <w:sz w:val="16"/>
          <w:szCs w:val="16"/>
        </w:rPr>
        <w:t xml:space="preserve"> duta a terme pels gestors del Departament.</w:t>
      </w:r>
    </w:p>
  </w:footnote>
  <w:footnote w:id="22">
    <w:p w:rsidR="003C42C9" w:rsidRDefault="003C42C9" w:rsidP="009D4C07">
      <w:pPr>
        <w:pStyle w:val="Textdenotaapeudepgina"/>
      </w:pPr>
      <w:r w:rsidRPr="008B57A4">
        <w:rPr>
          <w:rStyle w:val="Refernciadenotaapeudepgina"/>
          <w:sz w:val="16"/>
          <w:szCs w:val="16"/>
          <w:vertAlign w:val="baseline"/>
        </w:rPr>
        <w:footnoteRef/>
      </w:r>
      <w:r>
        <w:t xml:space="preserve">. </w:t>
      </w:r>
      <w:r w:rsidRPr="00C55C13">
        <w:rPr>
          <w:sz w:val="16"/>
          <w:szCs w:val="16"/>
        </w:rPr>
        <w:t>D</w:t>
      </w:r>
      <w:r>
        <w:rPr>
          <w:sz w:val="16"/>
          <w:szCs w:val="16"/>
        </w:rPr>
        <w:t>’</w:t>
      </w:r>
      <w:r w:rsidRPr="00C55C13">
        <w:rPr>
          <w:sz w:val="16"/>
          <w:szCs w:val="16"/>
        </w:rPr>
        <w:t xml:space="preserve">acord amb el que estableix el </w:t>
      </w:r>
      <w:r>
        <w:rPr>
          <w:sz w:val="16"/>
          <w:szCs w:val="16"/>
        </w:rPr>
        <w:t>p</w:t>
      </w:r>
      <w:r w:rsidRPr="00C55C13">
        <w:rPr>
          <w:sz w:val="16"/>
          <w:szCs w:val="16"/>
        </w:rPr>
        <w:t>reàmbul de la Llei 20/2005</w:t>
      </w:r>
      <w:r>
        <w:rPr>
          <w:sz w:val="16"/>
          <w:szCs w:val="16"/>
        </w:rPr>
        <w:t xml:space="preserve">, </w:t>
      </w:r>
      <w:r w:rsidRPr="00072EC0">
        <w:rPr>
          <w:sz w:val="16"/>
          <w:szCs w:val="16"/>
        </w:rPr>
        <w:t>de 29 de desembre, de pressupostos de la Generalitat de Catalunya per al 2006,</w:t>
      </w:r>
      <w:r w:rsidRPr="00C55C13">
        <w:rPr>
          <w:sz w:val="16"/>
          <w:szCs w:val="16"/>
        </w:rPr>
        <w:t xml:space="preserve"> </w:t>
      </w:r>
      <w:r>
        <w:rPr>
          <w:sz w:val="16"/>
          <w:szCs w:val="16"/>
        </w:rPr>
        <w:t>“</w:t>
      </w:r>
      <w:r w:rsidRPr="00102CB3">
        <w:rPr>
          <w:sz w:val="16"/>
          <w:szCs w:val="16"/>
        </w:rPr>
        <w:t>[...] els pressupostos per al 2006 volen significar un pas endavant decisiu cap a la pressupostació per objectius i resultats. Per aquesta raó, es posa l</w:t>
      </w:r>
      <w:r>
        <w:rPr>
          <w:sz w:val="16"/>
          <w:szCs w:val="16"/>
        </w:rPr>
        <w:t>’</w:t>
      </w:r>
      <w:r w:rsidRPr="00102CB3">
        <w:rPr>
          <w:sz w:val="16"/>
          <w:szCs w:val="16"/>
        </w:rPr>
        <w:t>accent en la classificació de les despeses per programes</w:t>
      </w:r>
      <w:r>
        <w:rPr>
          <w:sz w:val="16"/>
          <w:szCs w:val="16"/>
        </w:rPr>
        <w:t xml:space="preserve"> </w:t>
      </w:r>
      <w:r>
        <w:rPr>
          <w:rFonts w:cs="Arial"/>
          <w:sz w:val="16"/>
          <w:szCs w:val="16"/>
        </w:rPr>
        <w:t>‒</w:t>
      </w:r>
      <w:r w:rsidRPr="00102CB3">
        <w:rPr>
          <w:sz w:val="16"/>
          <w:szCs w:val="16"/>
        </w:rPr>
        <w:t>que passa a situar-se en el mateix nivell que les tradicionals classificacions orgànica i econòmica</w:t>
      </w:r>
      <w:r>
        <w:rPr>
          <w:rFonts w:cs="Arial"/>
          <w:sz w:val="16"/>
          <w:szCs w:val="16"/>
        </w:rPr>
        <w:t>‒</w:t>
      </w:r>
      <w:r w:rsidRPr="00102CB3">
        <w:rPr>
          <w:sz w:val="16"/>
          <w:szCs w:val="16"/>
        </w:rPr>
        <w:t>, amb l</w:t>
      </w:r>
      <w:r>
        <w:rPr>
          <w:sz w:val="16"/>
          <w:szCs w:val="16"/>
        </w:rPr>
        <w:t>’</w:t>
      </w:r>
      <w:r w:rsidRPr="00102CB3">
        <w:rPr>
          <w:sz w:val="16"/>
          <w:szCs w:val="16"/>
        </w:rPr>
        <w:t>objectiu de donar més rellevància a les finalitats a les quals s</w:t>
      </w:r>
      <w:r>
        <w:rPr>
          <w:sz w:val="16"/>
          <w:szCs w:val="16"/>
        </w:rPr>
        <w:t>’</w:t>
      </w:r>
      <w:r w:rsidRPr="00102CB3">
        <w:rPr>
          <w:sz w:val="16"/>
          <w:szCs w:val="16"/>
        </w:rPr>
        <w:t>assigna la despesa [...]”</w:t>
      </w:r>
      <w:r>
        <w:rPr>
          <w:sz w:val="16"/>
          <w:szCs w:val="16"/>
        </w:rPr>
        <w:t>.</w:t>
      </w:r>
    </w:p>
  </w:footnote>
  <w:footnote w:id="23">
    <w:p w:rsidR="003C42C9" w:rsidRDefault="003C42C9" w:rsidP="009D4C07">
      <w:pPr>
        <w:pStyle w:val="Textdenotaapeudepgina"/>
      </w:pPr>
      <w:r w:rsidRPr="008B57A4">
        <w:rPr>
          <w:rStyle w:val="Refernciadenotaapeudepgina"/>
          <w:sz w:val="16"/>
          <w:szCs w:val="16"/>
          <w:vertAlign w:val="baseline"/>
        </w:rPr>
        <w:footnoteRef/>
      </w:r>
      <w:r>
        <w:t xml:space="preserve">. </w:t>
      </w:r>
      <w:r w:rsidRPr="001C3422">
        <w:rPr>
          <w:sz w:val="16"/>
          <w:szCs w:val="16"/>
        </w:rPr>
        <w:t>Entesa com totes les despeses del programa pressupostari 213.</w:t>
      </w:r>
    </w:p>
  </w:footnote>
  <w:footnote w:id="24">
    <w:p w:rsidR="003C42C9" w:rsidRDefault="003C42C9" w:rsidP="009D4C07">
      <w:pPr>
        <w:pStyle w:val="Textdenotaapeudepgina"/>
      </w:pPr>
      <w:r w:rsidRPr="008B57A4">
        <w:rPr>
          <w:rStyle w:val="Refernciadenotaapeudepgina"/>
          <w:sz w:val="16"/>
          <w:szCs w:val="16"/>
          <w:vertAlign w:val="baseline"/>
        </w:rPr>
        <w:footnoteRef/>
      </w:r>
      <w:r>
        <w:rPr>
          <w:sz w:val="16"/>
          <w:szCs w:val="16"/>
        </w:rPr>
        <w:t>.</w:t>
      </w:r>
      <w:r w:rsidRPr="008B57A4">
        <w:rPr>
          <w:sz w:val="16"/>
          <w:szCs w:val="16"/>
        </w:rPr>
        <w:t xml:space="preserve"> </w:t>
      </w:r>
      <w:r>
        <w:rPr>
          <w:sz w:val="16"/>
          <w:szCs w:val="16"/>
        </w:rPr>
        <w:t>Per obtenir el pressupost del conjunt de l’agrupació, cal sumar les despeses del Departament de Justícia, les despeses del CIRE i restar-ne l</w:t>
      </w:r>
      <w:r w:rsidRPr="00D93CD9">
        <w:rPr>
          <w:sz w:val="16"/>
          <w:szCs w:val="16"/>
        </w:rPr>
        <w:t>es despeses consolidables</w:t>
      </w:r>
      <w:r>
        <w:rPr>
          <w:sz w:val="16"/>
          <w:szCs w:val="16"/>
        </w:rPr>
        <w:t>. Les despeses consolidables</w:t>
      </w:r>
      <w:r w:rsidRPr="00D93CD9">
        <w:rPr>
          <w:sz w:val="16"/>
          <w:szCs w:val="16"/>
        </w:rPr>
        <w:t xml:space="preserve"> són </w:t>
      </w:r>
      <w:r>
        <w:rPr>
          <w:sz w:val="16"/>
          <w:szCs w:val="16"/>
        </w:rPr>
        <w:t xml:space="preserve">les que es gestionen des de l’organisme extern </w:t>
      </w:r>
      <w:r w:rsidRPr="001C3422">
        <w:rPr>
          <w:sz w:val="16"/>
          <w:szCs w:val="16"/>
        </w:rPr>
        <w:t>però provenen de transferències</w:t>
      </w:r>
      <w:r>
        <w:rPr>
          <w:sz w:val="16"/>
          <w:szCs w:val="16"/>
        </w:rPr>
        <w:t xml:space="preserve"> del Departament, i cal deduir-les per no duplicar-ne l’import</w:t>
      </w:r>
      <w:r w:rsidRPr="00D93CD9">
        <w:rPr>
          <w:sz w:val="16"/>
          <w:szCs w:val="16"/>
        </w:rPr>
        <w:t>.</w:t>
      </w:r>
    </w:p>
  </w:footnote>
  <w:footnote w:id="25">
    <w:p w:rsidR="003C42C9" w:rsidRDefault="003C42C9" w:rsidP="009D4C07">
      <w:pPr>
        <w:pStyle w:val="Textdenotaapeudepgina"/>
      </w:pPr>
      <w:r w:rsidRPr="008B57A4">
        <w:rPr>
          <w:rStyle w:val="Refernciadenotaapeudepgina"/>
          <w:sz w:val="16"/>
          <w:szCs w:val="16"/>
          <w:vertAlign w:val="baseline"/>
        </w:rPr>
        <w:footnoteRef/>
      </w:r>
      <w:r>
        <w:t xml:space="preserve">. </w:t>
      </w:r>
      <w:r w:rsidRPr="00D15AA5">
        <w:rPr>
          <w:sz w:val="16"/>
          <w:szCs w:val="16"/>
        </w:rPr>
        <w:t xml:space="preserve">Dades subministrades pel Departament de Salut, </w:t>
      </w:r>
      <w:r w:rsidRPr="006517AF">
        <w:rPr>
          <w:sz w:val="16"/>
          <w:szCs w:val="16"/>
        </w:rPr>
        <w:t xml:space="preserve">actualitzades </w:t>
      </w:r>
      <w:r>
        <w:rPr>
          <w:sz w:val="16"/>
          <w:szCs w:val="16"/>
        </w:rPr>
        <w:t>l’any</w:t>
      </w:r>
      <w:r w:rsidRPr="006517AF">
        <w:rPr>
          <w:sz w:val="16"/>
          <w:szCs w:val="16"/>
        </w:rPr>
        <w:t xml:space="preserve"> 2015</w:t>
      </w:r>
      <w:r w:rsidRPr="006517AF">
        <w:t xml:space="preserve">. </w:t>
      </w:r>
    </w:p>
  </w:footnote>
  <w:footnote w:id="26">
    <w:p w:rsidR="003C42C9" w:rsidRPr="00581539" w:rsidRDefault="003C42C9" w:rsidP="009D4C07">
      <w:pPr>
        <w:pStyle w:val="Textdenotaapeudepgina"/>
        <w:rPr>
          <w:sz w:val="16"/>
          <w:szCs w:val="16"/>
        </w:rPr>
      </w:pPr>
      <w:r w:rsidRPr="008B57A4">
        <w:rPr>
          <w:rStyle w:val="Refernciadenotaapeudepgina"/>
          <w:sz w:val="16"/>
          <w:szCs w:val="16"/>
          <w:vertAlign w:val="baseline"/>
        </w:rPr>
        <w:footnoteRef/>
      </w:r>
      <w:r>
        <w:rPr>
          <w:sz w:val="16"/>
          <w:szCs w:val="16"/>
        </w:rPr>
        <w:t>.</w:t>
      </w:r>
      <w:r w:rsidRPr="008B57A4">
        <w:rPr>
          <w:sz w:val="16"/>
          <w:szCs w:val="16"/>
        </w:rPr>
        <w:t xml:space="preserve"> </w:t>
      </w:r>
      <w:r>
        <w:rPr>
          <w:sz w:val="16"/>
          <w:szCs w:val="16"/>
        </w:rPr>
        <w:t>Dades su</w:t>
      </w:r>
      <w:r w:rsidRPr="00581539">
        <w:rPr>
          <w:sz w:val="16"/>
          <w:szCs w:val="16"/>
        </w:rPr>
        <w:t>bministrades pel Departament d</w:t>
      </w:r>
      <w:r>
        <w:rPr>
          <w:sz w:val="16"/>
          <w:szCs w:val="16"/>
        </w:rPr>
        <w:t>’</w:t>
      </w:r>
      <w:r w:rsidRPr="00581539">
        <w:rPr>
          <w:sz w:val="16"/>
          <w:szCs w:val="16"/>
        </w:rPr>
        <w:t xml:space="preserve">Interior, corresponents </w:t>
      </w:r>
      <w:r>
        <w:rPr>
          <w:sz w:val="16"/>
          <w:szCs w:val="16"/>
        </w:rPr>
        <w:t>a l’any</w:t>
      </w:r>
      <w:r w:rsidRPr="00581539">
        <w:rPr>
          <w:sz w:val="16"/>
          <w:szCs w:val="16"/>
        </w:rPr>
        <w:t xml:space="preserve"> 2014.</w:t>
      </w:r>
    </w:p>
  </w:footnote>
  <w:footnote w:id="27">
    <w:p w:rsidR="003C42C9" w:rsidRPr="00225343" w:rsidRDefault="003C42C9" w:rsidP="009D4C07">
      <w:pPr>
        <w:pStyle w:val="Textdenotaapeudepgina"/>
        <w:rPr>
          <w:sz w:val="16"/>
          <w:szCs w:val="16"/>
        </w:rPr>
      </w:pPr>
      <w:r w:rsidRPr="001C3422">
        <w:rPr>
          <w:rStyle w:val="Refernciadenotaapeudepgina"/>
          <w:sz w:val="16"/>
          <w:szCs w:val="16"/>
          <w:vertAlign w:val="baseline"/>
        </w:rPr>
        <w:footnoteRef/>
      </w:r>
      <w:r w:rsidRPr="001C3422">
        <w:t xml:space="preserve">. </w:t>
      </w:r>
      <w:r w:rsidRPr="001C3422">
        <w:rPr>
          <w:sz w:val="16"/>
          <w:szCs w:val="16"/>
        </w:rPr>
        <w:t>El servei de vigilància de centres penitenciaris i el servei de trasllat de presos a Catalunya els presten els Mossos d’Esquadra, que és personal que pertany al Departament d’Interior;</w:t>
      </w:r>
      <w:r>
        <w:rPr>
          <w:sz w:val="16"/>
          <w:szCs w:val="16"/>
        </w:rPr>
        <w:t xml:space="preserve"> els serveis </w:t>
      </w:r>
      <w:r w:rsidRPr="00225343">
        <w:rPr>
          <w:sz w:val="16"/>
          <w:szCs w:val="16"/>
        </w:rPr>
        <w:t xml:space="preserve">sanitaris </w:t>
      </w:r>
      <w:r>
        <w:rPr>
          <w:sz w:val="16"/>
          <w:szCs w:val="16"/>
        </w:rPr>
        <w:t xml:space="preserve">els gestiona el Departament de Salut i </w:t>
      </w:r>
      <w:r w:rsidRPr="00225343">
        <w:rPr>
          <w:sz w:val="16"/>
          <w:szCs w:val="16"/>
        </w:rPr>
        <w:t>el personal</w:t>
      </w:r>
      <w:r>
        <w:rPr>
          <w:sz w:val="16"/>
          <w:szCs w:val="16"/>
        </w:rPr>
        <w:t xml:space="preserve"> docent dels centres penitenciaris el gestiona el Departament d’Ensenyament</w:t>
      </w:r>
      <w:r w:rsidRPr="00225343">
        <w:rPr>
          <w:sz w:val="16"/>
          <w:szCs w:val="16"/>
        </w:rPr>
        <w:t>.</w:t>
      </w:r>
    </w:p>
  </w:footnote>
  <w:footnote w:id="28">
    <w:p w:rsidR="003C42C9" w:rsidRDefault="003C42C9" w:rsidP="009D4C07">
      <w:pPr>
        <w:pStyle w:val="Textdenotaapeudepgina"/>
      </w:pPr>
      <w:r w:rsidRPr="008B57A4">
        <w:rPr>
          <w:rStyle w:val="Refernciadenotaapeudepgina"/>
          <w:sz w:val="16"/>
          <w:szCs w:val="16"/>
          <w:vertAlign w:val="baseline"/>
        </w:rPr>
        <w:footnoteRef/>
      </w:r>
      <w:r>
        <w:t xml:space="preserve">. </w:t>
      </w:r>
      <w:r w:rsidRPr="00940C34">
        <w:rPr>
          <w:sz w:val="16"/>
          <w:szCs w:val="16"/>
        </w:rPr>
        <w:t>C</w:t>
      </w:r>
      <w:r w:rsidRPr="00E249C8">
        <w:rPr>
          <w:sz w:val="16"/>
          <w:szCs w:val="16"/>
        </w:rPr>
        <w:t xml:space="preserve">omparació del pressupost </w:t>
      </w:r>
      <w:r w:rsidRPr="001C3422">
        <w:rPr>
          <w:sz w:val="16"/>
          <w:szCs w:val="16"/>
        </w:rPr>
        <w:t>2015 de “Serveis Penitenciaris Estat – Generalitat”. Elaboració</w:t>
      </w:r>
      <w:r w:rsidRPr="00E249C8">
        <w:rPr>
          <w:sz w:val="16"/>
          <w:szCs w:val="16"/>
        </w:rPr>
        <w:t xml:space="preserve"> pr</w:t>
      </w:r>
      <w:r>
        <w:rPr>
          <w:sz w:val="16"/>
          <w:szCs w:val="16"/>
        </w:rPr>
        <w:t>òpia.</w:t>
      </w:r>
    </w:p>
  </w:footnote>
  <w:footnote w:id="29">
    <w:p w:rsidR="003C42C9" w:rsidRPr="00D56779" w:rsidRDefault="003C42C9" w:rsidP="009D4C07">
      <w:pPr>
        <w:pStyle w:val="Textdenotaapeudepgina"/>
        <w:tabs>
          <w:tab w:val="right" w:pos="9071"/>
        </w:tabs>
        <w:rPr>
          <w:sz w:val="16"/>
          <w:szCs w:val="16"/>
        </w:rPr>
      </w:pPr>
      <w:r>
        <w:rPr>
          <w:rStyle w:val="Refernciadenotaapeudepgina"/>
        </w:rPr>
        <w:footnoteRef/>
      </w:r>
      <w:r>
        <w:t xml:space="preserve"> </w:t>
      </w:r>
      <w:r>
        <w:rPr>
          <w:sz w:val="16"/>
          <w:szCs w:val="16"/>
        </w:rPr>
        <w:t xml:space="preserve">El pressupost total inclou tots els capítols del programa 213, però en el gràfic i en l’anàlis no s’esementen </w:t>
      </w:r>
      <w:r w:rsidRPr="00D56779">
        <w:rPr>
          <w:sz w:val="16"/>
          <w:szCs w:val="16"/>
        </w:rPr>
        <w:t xml:space="preserve">els capítols 7 i 8 </w:t>
      </w:r>
      <w:r>
        <w:rPr>
          <w:sz w:val="16"/>
          <w:szCs w:val="16"/>
        </w:rPr>
        <w:t xml:space="preserve">ja </w:t>
      </w:r>
      <w:r w:rsidRPr="00D56779">
        <w:rPr>
          <w:sz w:val="16"/>
          <w:szCs w:val="16"/>
        </w:rPr>
        <w:t>que representen una part poc significativa del pressupost.</w:t>
      </w:r>
    </w:p>
  </w:footnote>
  <w:footnote w:id="30">
    <w:p w:rsidR="003C42C9" w:rsidRPr="007E7F34" w:rsidRDefault="003C42C9" w:rsidP="009D4C07">
      <w:pPr>
        <w:pStyle w:val="Textdenotaapeudepgina"/>
        <w:rPr>
          <w:sz w:val="16"/>
          <w:szCs w:val="16"/>
        </w:rPr>
      </w:pPr>
      <w:r w:rsidRPr="008B57A4">
        <w:rPr>
          <w:rStyle w:val="Refernciadenotaapeudepgina"/>
          <w:sz w:val="16"/>
          <w:szCs w:val="16"/>
          <w:vertAlign w:val="baseline"/>
        </w:rPr>
        <w:footnoteRef/>
      </w:r>
      <w:r>
        <w:t xml:space="preserve">. </w:t>
      </w:r>
      <w:r w:rsidRPr="007E7F34">
        <w:rPr>
          <w:sz w:val="16"/>
          <w:szCs w:val="16"/>
        </w:rPr>
        <w:t xml:space="preserve">Anàlisi </w:t>
      </w:r>
      <w:r w:rsidRPr="001C3422">
        <w:rPr>
          <w:sz w:val="16"/>
          <w:szCs w:val="16"/>
        </w:rPr>
        <w:t>obtinguda de les dades provisionals</w:t>
      </w:r>
      <w:r w:rsidRPr="007E7F34">
        <w:rPr>
          <w:sz w:val="16"/>
          <w:szCs w:val="16"/>
        </w:rPr>
        <w:t xml:space="preserve"> de la Subdirecció General de Gestió Econòmica</w:t>
      </w:r>
      <w:r w:rsidRPr="001774C9">
        <w:rPr>
          <w:sz w:val="16"/>
          <w:szCs w:val="16"/>
        </w:rPr>
        <w:t>, de les quals</w:t>
      </w:r>
      <w:r w:rsidRPr="007D243D">
        <w:rPr>
          <w:sz w:val="16"/>
          <w:szCs w:val="16"/>
        </w:rPr>
        <w:t xml:space="preserve"> </w:t>
      </w:r>
      <w:r w:rsidRPr="007E7F34">
        <w:rPr>
          <w:sz w:val="16"/>
          <w:szCs w:val="16"/>
        </w:rPr>
        <w:t>es poden extreure despeses d</w:t>
      </w:r>
      <w:r>
        <w:rPr>
          <w:sz w:val="16"/>
          <w:szCs w:val="16"/>
        </w:rPr>
        <w:t>’</w:t>
      </w:r>
      <w:r w:rsidRPr="007E7F34">
        <w:rPr>
          <w:sz w:val="16"/>
          <w:szCs w:val="16"/>
        </w:rPr>
        <w:t>edificis penitenciaris a partir de la codificació. No es recull la despesa en TIC.</w:t>
      </w:r>
    </w:p>
  </w:footnote>
  <w:footnote w:id="31">
    <w:p w:rsidR="003C42C9" w:rsidRPr="00940C34" w:rsidRDefault="003C42C9" w:rsidP="009D4C07">
      <w:pPr>
        <w:pStyle w:val="Textdenotaapeudepgina"/>
        <w:rPr>
          <w:sz w:val="16"/>
          <w:szCs w:val="16"/>
        </w:rPr>
      </w:pPr>
      <w:r w:rsidRPr="008B57A4">
        <w:rPr>
          <w:rStyle w:val="Refernciadenotaapeudepgina"/>
          <w:sz w:val="16"/>
          <w:szCs w:val="16"/>
          <w:vertAlign w:val="baseline"/>
        </w:rPr>
        <w:footnoteRef/>
      </w:r>
      <w:r>
        <w:t xml:space="preserve">. </w:t>
      </w:r>
      <w:r>
        <w:rPr>
          <w:sz w:val="16"/>
          <w:szCs w:val="16"/>
        </w:rPr>
        <w:t>Dades estimades en el document de treball “</w:t>
      </w:r>
      <w:r w:rsidRPr="00940C34">
        <w:rPr>
          <w:sz w:val="16"/>
          <w:szCs w:val="16"/>
        </w:rPr>
        <w:t xml:space="preserve">Anàlisi de la despesa per </w:t>
      </w:r>
      <w:r>
        <w:rPr>
          <w:sz w:val="16"/>
          <w:szCs w:val="16"/>
        </w:rPr>
        <w:t>c</w:t>
      </w:r>
      <w:r w:rsidRPr="00940C34">
        <w:rPr>
          <w:sz w:val="16"/>
          <w:szCs w:val="16"/>
        </w:rPr>
        <w:t xml:space="preserve">entres de </w:t>
      </w:r>
      <w:r>
        <w:rPr>
          <w:sz w:val="16"/>
          <w:szCs w:val="16"/>
        </w:rPr>
        <w:t>c</w:t>
      </w:r>
      <w:r w:rsidRPr="00940C34">
        <w:rPr>
          <w:sz w:val="16"/>
          <w:szCs w:val="16"/>
        </w:rPr>
        <w:t>ost del Departament de Justícia</w:t>
      </w:r>
      <w:r>
        <w:rPr>
          <w:sz w:val="16"/>
          <w:szCs w:val="16"/>
        </w:rPr>
        <w:t xml:space="preserve">. </w:t>
      </w:r>
      <w:r w:rsidRPr="00940C34">
        <w:rPr>
          <w:sz w:val="16"/>
          <w:szCs w:val="16"/>
        </w:rPr>
        <w:t>Una aproxim</w:t>
      </w:r>
      <w:r>
        <w:rPr>
          <w:sz w:val="16"/>
          <w:szCs w:val="16"/>
        </w:rPr>
        <w:t xml:space="preserve">ació a partir de dades extretes </w:t>
      </w:r>
      <w:r w:rsidRPr="00940C34">
        <w:rPr>
          <w:sz w:val="16"/>
          <w:szCs w:val="16"/>
        </w:rPr>
        <w:t>del mòdul de comptabilitat analítica de GECAT</w:t>
      </w:r>
      <w:r>
        <w:rPr>
          <w:sz w:val="16"/>
          <w:szCs w:val="16"/>
        </w:rPr>
        <w:t xml:space="preserve">. </w:t>
      </w:r>
      <w:r w:rsidRPr="00940C34">
        <w:rPr>
          <w:sz w:val="16"/>
          <w:szCs w:val="16"/>
        </w:rPr>
        <w:t>2006-2008</w:t>
      </w:r>
      <w:r>
        <w:rPr>
          <w:sz w:val="16"/>
          <w:szCs w:val="16"/>
        </w:rPr>
        <w:t>”, de març de 2010.</w:t>
      </w:r>
    </w:p>
  </w:footnote>
  <w:footnote w:id="32">
    <w:p w:rsidR="003C42C9" w:rsidRPr="00913FED" w:rsidRDefault="003C42C9" w:rsidP="009D4C07">
      <w:pPr>
        <w:pStyle w:val="Textdenotaapeudepgina"/>
        <w:rPr>
          <w:sz w:val="16"/>
          <w:szCs w:val="16"/>
        </w:rPr>
      </w:pPr>
      <w:r w:rsidRPr="008B57A4">
        <w:rPr>
          <w:rStyle w:val="Refernciadenotaapeudepgina"/>
          <w:sz w:val="16"/>
          <w:szCs w:val="16"/>
          <w:vertAlign w:val="baseline"/>
        </w:rPr>
        <w:footnoteRef/>
      </w:r>
      <w:r>
        <w:t xml:space="preserve">. </w:t>
      </w:r>
      <w:r w:rsidRPr="00913FED">
        <w:rPr>
          <w:sz w:val="16"/>
          <w:szCs w:val="16"/>
        </w:rPr>
        <w:t>Dades de costos directes estimades a partir de l</w:t>
      </w:r>
      <w:r>
        <w:rPr>
          <w:sz w:val="16"/>
          <w:szCs w:val="16"/>
        </w:rPr>
        <w:t>’</w:t>
      </w:r>
      <w:r w:rsidRPr="00913FED">
        <w:rPr>
          <w:sz w:val="16"/>
          <w:szCs w:val="16"/>
        </w:rPr>
        <w:t>extracció de la comptabilitat analítica del Departament de Justícia per a l</w:t>
      </w:r>
      <w:r>
        <w:rPr>
          <w:sz w:val="16"/>
          <w:szCs w:val="16"/>
        </w:rPr>
        <w:t>’</w:t>
      </w:r>
      <w:r w:rsidRPr="00913FED">
        <w:rPr>
          <w:sz w:val="16"/>
          <w:szCs w:val="16"/>
        </w:rPr>
        <w:t>any 2012, dividit pels interns l</w:t>
      </w:r>
      <w:r>
        <w:rPr>
          <w:sz w:val="16"/>
          <w:szCs w:val="16"/>
        </w:rPr>
        <w:t>’</w:t>
      </w:r>
      <w:r w:rsidRPr="00913FED">
        <w:rPr>
          <w:sz w:val="16"/>
          <w:szCs w:val="16"/>
        </w:rPr>
        <w:t>última setmana de l</w:t>
      </w:r>
      <w:r>
        <w:rPr>
          <w:sz w:val="16"/>
          <w:szCs w:val="16"/>
        </w:rPr>
        <w:t>’</w:t>
      </w:r>
      <w:r w:rsidRPr="00913FED">
        <w:rPr>
          <w:sz w:val="16"/>
          <w:szCs w:val="16"/>
        </w:rPr>
        <w:t>any i pel</w:t>
      </w:r>
      <w:r>
        <w:rPr>
          <w:sz w:val="16"/>
          <w:szCs w:val="16"/>
        </w:rPr>
        <w:t>s</w:t>
      </w:r>
      <w:r w:rsidRPr="00913FED">
        <w:rPr>
          <w:sz w:val="16"/>
          <w:szCs w:val="16"/>
        </w:rPr>
        <w:t xml:space="preserve"> 365 dies. Dades de costos directes i indirectes calculades a partir de l</w:t>
      </w:r>
      <w:r>
        <w:rPr>
          <w:sz w:val="16"/>
          <w:szCs w:val="16"/>
        </w:rPr>
        <w:t>’</w:t>
      </w:r>
      <w:r w:rsidRPr="00913FED">
        <w:rPr>
          <w:sz w:val="16"/>
          <w:szCs w:val="16"/>
        </w:rPr>
        <w:t>execució del pressupost del programa 213 per a l</w:t>
      </w:r>
      <w:r>
        <w:rPr>
          <w:sz w:val="16"/>
          <w:szCs w:val="16"/>
        </w:rPr>
        <w:t>’</w:t>
      </w:r>
      <w:r w:rsidRPr="00913FED">
        <w:rPr>
          <w:sz w:val="16"/>
          <w:szCs w:val="16"/>
        </w:rPr>
        <w:t>any 2012, dividit pels interns l</w:t>
      </w:r>
      <w:r>
        <w:rPr>
          <w:sz w:val="16"/>
          <w:szCs w:val="16"/>
        </w:rPr>
        <w:t>’</w:t>
      </w:r>
      <w:r w:rsidRPr="00913FED">
        <w:rPr>
          <w:sz w:val="16"/>
          <w:szCs w:val="16"/>
        </w:rPr>
        <w:t>última setmana de l</w:t>
      </w:r>
      <w:r>
        <w:rPr>
          <w:sz w:val="16"/>
          <w:szCs w:val="16"/>
        </w:rPr>
        <w:t>’</w:t>
      </w:r>
      <w:r w:rsidRPr="00913FED">
        <w:rPr>
          <w:sz w:val="16"/>
          <w:szCs w:val="16"/>
        </w:rPr>
        <w:t>any i pel</w:t>
      </w:r>
      <w:r>
        <w:rPr>
          <w:sz w:val="16"/>
          <w:szCs w:val="16"/>
        </w:rPr>
        <w:t>s</w:t>
      </w:r>
      <w:r w:rsidRPr="00913FED">
        <w:rPr>
          <w:sz w:val="16"/>
          <w:szCs w:val="16"/>
        </w:rPr>
        <w:t xml:space="preserve"> 365 dies.</w:t>
      </w:r>
    </w:p>
  </w:footnote>
  <w:footnote w:id="33">
    <w:p w:rsidR="003C42C9" w:rsidRDefault="003C42C9" w:rsidP="009D4C07">
      <w:pPr>
        <w:pStyle w:val="Textdenotaapeudepgina"/>
      </w:pPr>
      <w:r w:rsidRPr="008B57A4">
        <w:rPr>
          <w:rStyle w:val="Refernciadenotaapeudepgina"/>
          <w:sz w:val="16"/>
          <w:szCs w:val="16"/>
          <w:vertAlign w:val="baseline"/>
        </w:rPr>
        <w:footnoteRef/>
      </w:r>
      <w:r>
        <w:rPr>
          <w:sz w:val="16"/>
          <w:szCs w:val="16"/>
        </w:rPr>
        <w:t xml:space="preserve">. </w:t>
      </w:r>
      <w:r w:rsidRPr="00990B15">
        <w:rPr>
          <w:sz w:val="16"/>
          <w:szCs w:val="16"/>
        </w:rPr>
        <w:t>Paràm</w:t>
      </w:r>
      <w:r>
        <w:rPr>
          <w:sz w:val="16"/>
          <w:szCs w:val="16"/>
        </w:rPr>
        <w:t>e</w:t>
      </w:r>
      <w:r w:rsidRPr="00990B15">
        <w:rPr>
          <w:sz w:val="16"/>
          <w:szCs w:val="16"/>
        </w:rPr>
        <w:t>tres de referència a partir de les quotes acordades en els drets de superfície de</w:t>
      </w:r>
      <w:r>
        <w:rPr>
          <w:sz w:val="16"/>
          <w:szCs w:val="16"/>
        </w:rPr>
        <w:t>l</w:t>
      </w:r>
      <w:r w:rsidRPr="00990B15">
        <w:rPr>
          <w:sz w:val="16"/>
          <w:szCs w:val="16"/>
        </w:rPr>
        <w:t xml:space="preserve"> CP Puig de les Basses i </w:t>
      </w:r>
      <w:r>
        <w:rPr>
          <w:sz w:val="16"/>
          <w:szCs w:val="16"/>
        </w:rPr>
        <w:t xml:space="preserve">del </w:t>
      </w:r>
      <w:r w:rsidRPr="00990B15">
        <w:rPr>
          <w:sz w:val="16"/>
          <w:szCs w:val="16"/>
        </w:rPr>
        <w:t>CP Mas d</w:t>
      </w:r>
      <w:r>
        <w:rPr>
          <w:sz w:val="16"/>
          <w:szCs w:val="16"/>
        </w:rPr>
        <w:t>’</w:t>
      </w:r>
      <w:r w:rsidRPr="00990B15">
        <w:rPr>
          <w:sz w:val="16"/>
          <w:szCs w:val="16"/>
        </w:rPr>
        <w:t>Enric, amb informació de la Subdirecció General de Patrimoni, Obres i Serveis.</w:t>
      </w:r>
    </w:p>
  </w:footnote>
  <w:footnote w:id="34">
    <w:p w:rsidR="003C42C9" w:rsidRPr="00513E64" w:rsidRDefault="003C42C9" w:rsidP="00A41348">
      <w:pPr>
        <w:pStyle w:val="Textdenotaapeudepgina"/>
        <w:rPr>
          <w:rFonts w:cs="Arial"/>
          <w:sz w:val="18"/>
          <w:szCs w:val="18"/>
        </w:rPr>
      </w:pPr>
      <w:r>
        <w:rPr>
          <w:rStyle w:val="Refernciadenotaapeudepgina"/>
        </w:rPr>
        <w:footnoteRef/>
      </w:r>
      <w:r>
        <w:t xml:space="preserve"> </w:t>
      </w:r>
      <w:r w:rsidRPr="00513E64">
        <w:rPr>
          <w:rFonts w:cs="Arial"/>
          <w:sz w:val="18"/>
          <w:szCs w:val="18"/>
        </w:rPr>
        <w:t>Catalunya es la única comunitat autònoma de l’Estat espanyol que té transferides les competències en matèria d’institucions penitenciàries.</w:t>
      </w:r>
    </w:p>
  </w:footnote>
  <w:footnote w:id="35">
    <w:p w:rsidR="003C42C9" w:rsidRPr="00513E64" w:rsidRDefault="003C42C9" w:rsidP="00A41348">
      <w:pPr>
        <w:pStyle w:val="Textdenotaapeudepgina"/>
        <w:rPr>
          <w:rFonts w:cs="Arial"/>
          <w:sz w:val="18"/>
          <w:szCs w:val="18"/>
        </w:rPr>
      </w:pPr>
      <w:r w:rsidRPr="0082050F">
        <w:rPr>
          <w:rStyle w:val="Refernciadenotaapeudepgina"/>
        </w:rPr>
        <w:footnoteRef/>
      </w:r>
      <w:r w:rsidRPr="0082050F">
        <w:t xml:space="preserve"> </w:t>
      </w:r>
      <w:r w:rsidRPr="00513E64">
        <w:rPr>
          <w:rFonts w:cs="Arial"/>
          <w:sz w:val="18"/>
          <w:szCs w:val="18"/>
        </w:rPr>
        <w:t>D’ençà que es van crear, l’any 1918, els tribunals tutelars de menors van actuar al marge de l’estructura formal del poder judicial i, consegüentment, es guiaven per criteris que no sempre eren ajustats a dret.</w:t>
      </w:r>
    </w:p>
  </w:footnote>
  <w:footnote w:id="36">
    <w:p w:rsidR="003C42C9" w:rsidRPr="00651A0A" w:rsidRDefault="003C42C9" w:rsidP="00A41348">
      <w:pPr>
        <w:pStyle w:val="Textdenotaapeudepgina"/>
      </w:pPr>
      <w:r w:rsidRPr="00513E64">
        <w:rPr>
          <w:rStyle w:val="Refernciadenotaapeudepgina"/>
          <w:rFonts w:cs="Arial"/>
          <w:sz w:val="18"/>
          <w:szCs w:val="18"/>
        </w:rPr>
        <w:footnoteRef/>
      </w:r>
      <w:r w:rsidRPr="00513E64">
        <w:rPr>
          <w:rFonts w:cs="Arial"/>
          <w:sz w:val="18"/>
          <w:szCs w:val="18"/>
        </w:rPr>
        <w:t xml:space="preserve"> Les parts signatàries de l’Acord marc son el Departament de Justícia, la Federació de Municipis de Catalunya i l’Associació Catalana de Municipis i Comarques, que aglutinen tot el conjunt de l’administració local.</w:t>
      </w:r>
    </w:p>
  </w:footnote>
  <w:footnote w:id="37">
    <w:p w:rsidR="003C42C9" w:rsidRPr="00490403" w:rsidRDefault="003C42C9" w:rsidP="00A41348">
      <w:pPr>
        <w:pStyle w:val="Textdenotaapeudepgina"/>
        <w:rPr>
          <w:rFonts w:cs="Arial"/>
          <w:sz w:val="18"/>
          <w:szCs w:val="18"/>
        </w:rPr>
      </w:pPr>
      <w:r>
        <w:rPr>
          <w:rStyle w:val="Refernciadenotaapeudepgina"/>
        </w:rPr>
        <w:footnoteRef/>
      </w:r>
      <w:r>
        <w:t xml:space="preserve"> </w:t>
      </w:r>
      <w:r w:rsidRPr="00513E64">
        <w:rPr>
          <w:rFonts w:cs="Arial"/>
          <w:sz w:val="18"/>
          <w:szCs w:val="18"/>
        </w:rPr>
        <w:t>Amb el Decret 284/2002, de 19 de novembre, d’estructuració i reestructuració parcial de diversos departaments de la Generalitat, la Secretaria Sectorial d’Execució Penal va deixar d’existir i  les seves competències van ser assumides pel la Direcció General de Serveis Penitenciaris i la Direcció General d’Execució Penal a la Comunitat i de Justícia Juvenil.</w:t>
      </w:r>
    </w:p>
  </w:footnote>
  <w:footnote w:id="38">
    <w:p w:rsidR="003C42C9" w:rsidRPr="00513E64" w:rsidRDefault="003C42C9" w:rsidP="00A41348">
      <w:pPr>
        <w:spacing w:after="0"/>
        <w:rPr>
          <w:rFonts w:cs="Arial"/>
          <w:sz w:val="18"/>
          <w:szCs w:val="18"/>
        </w:rPr>
      </w:pPr>
      <w:r w:rsidRPr="00513E64">
        <w:rPr>
          <w:rStyle w:val="Refernciadenotaapeudepgina"/>
          <w:rFonts w:cs="Arial"/>
          <w:sz w:val="18"/>
          <w:szCs w:val="18"/>
        </w:rPr>
        <w:footnoteRef/>
      </w:r>
      <w:r w:rsidRPr="00513E64">
        <w:rPr>
          <w:rFonts w:cs="Arial"/>
          <w:sz w:val="18"/>
          <w:szCs w:val="18"/>
        </w:rPr>
        <w:t xml:space="preserve"> La nova norma es d’aplicació als menors compresos entre els 14 i els 18 anys. Això va comportar un gran impacte dins el sistema de justícia juvenil, d’una banda per l’increment de població i, d’altra banda, pel seu perfil quant a edat i característiques personals, cosa que va fer necessària l’adaptació dels recursos i la metodologia d’intervenció.</w:t>
      </w:r>
    </w:p>
  </w:footnote>
  <w:footnote w:id="39">
    <w:p w:rsidR="003C42C9" w:rsidRPr="00513E64" w:rsidRDefault="003C42C9" w:rsidP="00A41348">
      <w:pPr>
        <w:pStyle w:val="Textdenotaapeudepgina"/>
        <w:rPr>
          <w:rFonts w:cs="Arial"/>
          <w:sz w:val="18"/>
          <w:szCs w:val="18"/>
        </w:rPr>
      </w:pPr>
      <w:r>
        <w:rPr>
          <w:rStyle w:val="Refernciadenotaapeudepgina"/>
        </w:rPr>
        <w:footnoteRef/>
      </w:r>
      <w:r>
        <w:t xml:space="preserve"> </w:t>
      </w:r>
      <w:r w:rsidRPr="00513E64">
        <w:rPr>
          <w:rFonts w:cs="Arial"/>
          <w:smallCaps/>
          <w:sz w:val="18"/>
          <w:szCs w:val="18"/>
        </w:rPr>
        <w:t xml:space="preserve">Capdevila, M. </w:t>
      </w:r>
      <w:r w:rsidRPr="00513E64">
        <w:rPr>
          <w:rFonts w:cs="Arial"/>
          <w:i/>
          <w:sz w:val="18"/>
          <w:szCs w:val="18"/>
        </w:rPr>
        <w:t>et.al.</w:t>
      </w:r>
      <w:r w:rsidRPr="00513E64">
        <w:rPr>
          <w:rFonts w:cs="Arial"/>
          <w:sz w:val="18"/>
          <w:szCs w:val="18"/>
        </w:rPr>
        <w:t xml:space="preserve"> </w:t>
      </w:r>
      <w:r w:rsidRPr="00513E64">
        <w:rPr>
          <w:rFonts w:cs="Arial"/>
          <w:i/>
          <w:sz w:val="18"/>
          <w:szCs w:val="18"/>
        </w:rPr>
        <w:t>La reincidència en mesures penals alternatives</w:t>
      </w:r>
      <w:r w:rsidRPr="00513E64">
        <w:rPr>
          <w:rFonts w:cs="Arial"/>
          <w:sz w:val="18"/>
          <w:szCs w:val="18"/>
        </w:rPr>
        <w:t xml:space="preserve"> 2015. CEJFE. Àrea de Formació Social i Criminològica, 2016. Població objecte d’estudi: 8839 persones que van finalitzar una MPA l’any 2010. Seguiment fins al 31/12/2014, amb 4,5 anys de mitjana. Reincidència: reincidència en execució penal per un nou fet delictiu amb nova condemna de MPA o nova entrada al sistema penitenciari.</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pt;height:9pt" o:bullet="t">
        <v:imagedata r:id="rId1" o:title="BD15023_"/>
      </v:shape>
    </w:pict>
  </w:numPicBullet>
  <w:abstractNum w:abstractNumId="0">
    <w:nsid w:val="0193012A"/>
    <w:multiLevelType w:val="hybridMultilevel"/>
    <w:tmpl w:val="BA6EB42A"/>
    <w:lvl w:ilvl="0" w:tplc="04030005">
      <w:start w:val="1"/>
      <w:numFmt w:val="bullet"/>
      <w:lvlText w:val=""/>
      <w:lvlJc w:val="left"/>
      <w:pPr>
        <w:ind w:left="720" w:hanging="360"/>
      </w:pPr>
      <w:rPr>
        <w:rFonts w:ascii="Wingdings" w:hAnsi="Wingdings"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1">
    <w:nsid w:val="03A920EC"/>
    <w:multiLevelType w:val="hybridMultilevel"/>
    <w:tmpl w:val="8C947C6E"/>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2">
    <w:nsid w:val="03D668F1"/>
    <w:multiLevelType w:val="hybridMultilevel"/>
    <w:tmpl w:val="44164AA4"/>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3">
    <w:nsid w:val="03EF045C"/>
    <w:multiLevelType w:val="hybridMultilevel"/>
    <w:tmpl w:val="C7D4C076"/>
    <w:lvl w:ilvl="0" w:tplc="1C4AA402">
      <w:start w:val="1"/>
      <w:numFmt w:val="bullet"/>
      <w:lvlText w:val=""/>
      <w:lvlPicBulletId w:val="0"/>
      <w:lvlJc w:val="left"/>
      <w:pPr>
        <w:ind w:left="720" w:hanging="360"/>
      </w:pPr>
      <w:rPr>
        <w:rFonts w:ascii="Symbol" w:hAnsi="Symbol" w:hint="default"/>
        <w:color w:val="auto"/>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4">
    <w:nsid w:val="051112E8"/>
    <w:multiLevelType w:val="hybridMultilevel"/>
    <w:tmpl w:val="10C25568"/>
    <w:lvl w:ilvl="0" w:tplc="29A286E0">
      <w:start w:val="1"/>
      <w:numFmt w:val="bullet"/>
      <w:lvlText w:val=""/>
      <w:lvlJc w:val="left"/>
      <w:pPr>
        <w:ind w:left="720" w:hanging="360"/>
      </w:pPr>
      <w:rPr>
        <w:rFonts w:ascii="Symbol" w:hAnsi="Symbol"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5">
    <w:nsid w:val="060949B9"/>
    <w:multiLevelType w:val="hybridMultilevel"/>
    <w:tmpl w:val="21064E8A"/>
    <w:lvl w:ilvl="0" w:tplc="CDBC53E8">
      <w:start w:val="1"/>
      <w:numFmt w:val="bullet"/>
      <w:lvlText w:val="-"/>
      <w:lvlJc w:val="left"/>
      <w:pPr>
        <w:ind w:left="1080" w:hanging="360"/>
      </w:pPr>
      <w:rPr>
        <w:rFonts w:ascii="Arial" w:hAnsi="Arial" w:hint="default"/>
      </w:rPr>
    </w:lvl>
    <w:lvl w:ilvl="1" w:tplc="04030003" w:tentative="1">
      <w:start w:val="1"/>
      <w:numFmt w:val="bullet"/>
      <w:lvlText w:val="o"/>
      <w:lvlJc w:val="left"/>
      <w:pPr>
        <w:ind w:left="1800" w:hanging="360"/>
      </w:pPr>
      <w:rPr>
        <w:rFonts w:ascii="Courier New" w:hAnsi="Courier New" w:cs="Courier New" w:hint="default"/>
      </w:rPr>
    </w:lvl>
    <w:lvl w:ilvl="2" w:tplc="04030005" w:tentative="1">
      <w:start w:val="1"/>
      <w:numFmt w:val="bullet"/>
      <w:lvlText w:val=""/>
      <w:lvlJc w:val="left"/>
      <w:pPr>
        <w:ind w:left="2520" w:hanging="360"/>
      </w:pPr>
      <w:rPr>
        <w:rFonts w:ascii="Wingdings" w:hAnsi="Wingdings" w:hint="default"/>
      </w:rPr>
    </w:lvl>
    <w:lvl w:ilvl="3" w:tplc="04030001" w:tentative="1">
      <w:start w:val="1"/>
      <w:numFmt w:val="bullet"/>
      <w:lvlText w:val=""/>
      <w:lvlJc w:val="left"/>
      <w:pPr>
        <w:ind w:left="3240" w:hanging="360"/>
      </w:pPr>
      <w:rPr>
        <w:rFonts w:ascii="Symbol" w:hAnsi="Symbol" w:hint="default"/>
      </w:rPr>
    </w:lvl>
    <w:lvl w:ilvl="4" w:tplc="04030003" w:tentative="1">
      <w:start w:val="1"/>
      <w:numFmt w:val="bullet"/>
      <w:lvlText w:val="o"/>
      <w:lvlJc w:val="left"/>
      <w:pPr>
        <w:ind w:left="3960" w:hanging="360"/>
      </w:pPr>
      <w:rPr>
        <w:rFonts w:ascii="Courier New" w:hAnsi="Courier New" w:cs="Courier New" w:hint="default"/>
      </w:rPr>
    </w:lvl>
    <w:lvl w:ilvl="5" w:tplc="04030005" w:tentative="1">
      <w:start w:val="1"/>
      <w:numFmt w:val="bullet"/>
      <w:lvlText w:val=""/>
      <w:lvlJc w:val="left"/>
      <w:pPr>
        <w:ind w:left="4680" w:hanging="360"/>
      </w:pPr>
      <w:rPr>
        <w:rFonts w:ascii="Wingdings" w:hAnsi="Wingdings" w:hint="default"/>
      </w:rPr>
    </w:lvl>
    <w:lvl w:ilvl="6" w:tplc="04030001" w:tentative="1">
      <w:start w:val="1"/>
      <w:numFmt w:val="bullet"/>
      <w:lvlText w:val=""/>
      <w:lvlJc w:val="left"/>
      <w:pPr>
        <w:ind w:left="5400" w:hanging="360"/>
      </w:pPr>
      <w:rPr>
        <w:rFonts w:ascii="Symbol" w:hAnsi="Symbol" w:hint="default"/>
      </w:rPr>
    </w:lvl>
    <w:lvl w:ilvl="7" w:tplc="04030003" w:tentative="1">
      <w:start w:val="1"/>
      <w:numFmt w:val="bullet"/>
      <w:lvlText w:val="o"/>
      <w:lvlJc w:val="left"/>
      <w:pPr>
        <w:ind w:left="6120" w:hanging="360"/>
      </w:pPr>
      <w:rPr>
        <w:rFonts w:ascii="Courier New" w:hAnsi="Courier New" w:cs="Courier New" w:hint="default"/>
      </w:rPr>
    </w:lvl>
    <w:lvl w:ilvl="8" w:tplc="04030005" w:tentative="1">
      <w:start w:val="1"/>
      <w:numFmt w:val="bullet"/>
      <w:lvlText w:val=""/>
      <w:lvlJc w:val="left"/>
      <w:pPr>
        <w:ind w:left="6840" w:hanging="360"/>
      </w:pPr>
      <w:rPr>
        <w:rFonts w:ascii="Wingdings" w:hAnsi="Wingdings" w:hint="default"/>
      </w:rPr>
    </w:lvl>
  </w:abstractNum>
  <w:abstractNum w:abstractNumId="6">
    <w:nsid w:val="06CD08BD"/>
    <w:multiLevelType w:val="hybridMultilevel"/>
    <w:tmpl w:val="DFD8029A"/>
    <w:lvl w:ilvl="0" w:tplc="04030005">
      <w:start w:val="1"/>
      <w:numFmt w:val="bullet"/>
      <w:lvlText w:val=""/>
      <w:lvlJc w:val="left"/>
      <w:pPr>
        <w:ind w:left="720" w:hanging="360"/>
      </w:pPr>
      <w:rPr>
        <w:rFonts w:ascii="Wingdings" w:hAnsi="Wingdings"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7">
    <w:nsid w:val="08AB273F"/>
    <w:multiLevelType w:val="hybridMultilevel"/>
    <w:tmpl w:val="B5AC168C"/>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8">
    <w:nsid w:val="08BA6B3E"/>
    <w:multiLevelType w:val="hybridMultilevel"/>
    <w:tmpl w:val="FAFC543A"/>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9">
    <w:nsid w:val="0AFB7944"/>
    <w:multiLevelType w:val="hybridMultilevel"/>
    <w:tmpl w:val="FE2A4DC0"/>
    <w:lvl w:ilvl="0" w:tplc="FFFFFFFF">
      <w:start w:val="9"/>
      <w:numFmt w:val="bullet"/>
      <w:lvlText w:val="-"/>
      <w:lvlJc w:val="left"/>
      <w:pPr>
        <w:ind w:left="720" w:hanging="360"/>
      </w:pPr>
      <w:rPr>
        <w:rFonts w:ascii="Arial" w:eastAsia="Times New Roman" w:hAnsi="Arial" w:cs="Aria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10">
    <w:nsid w:val="0B340CF3"/>
    <w:multiLevelType w:val="hybridMultilevel"/>
    <w:tmpl w:val="193ED254"/>
    <w:lvl w:ilvl="0" w:tplc="5E3461F8">
      <w:start w:val="1"/>
      <w:numFmt w:val="bullet"/>
      <w:lvlText w:val="-"/>
      <w:lvlJc w:val="left"/>
      <w:pPr>
        <w:ind w:left="720" w:hanging="360"/>
      </w:pPr>
      <w:rPr>
        <w:rFonts w:ascii="Arial" w:hAnsi="Arial"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nsid w:val="0C247ABA"/>
    <w:multiLevelType w:val="hybridMultilevel"/>
    <w:tmpl w:val="E3FE36F6"/>
    <w:lvl w:ilvl="0" w:tplc="04030001">
      <w:start w:val="1"/>
      <w:numFmt w:val="bullet"/>
      <w:lvlText w:val=""/>
      <w:lvlJc w:val="left"/>
      <w:pPr>
        <w:ind w:left="720" w:hanging="360"/>
      </w:pPr>
      <w:rPr>
        <w:rFonts w:ascii="Symbol" w:hAnsi="Symbol" w:hint="default"/>
      </w:rPr>
    </w:lvl>
    <w:lvl w:ilvl="1" w:tplc="04030003">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12">
    <w:nsid w:val="0D0939A8"/>
    <w:multiLevelType w:val="hybridMultilevel"/>
    <w:tmpl w:val="62E442F2"/>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13">
    <w:nsid w:val="0D523E88"/>
    <w:multiLevelType w:val="hybridMultilevel"/>
    <w:tmpl w:val="4936ED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0FCF3B99"/>
    <w:multiLevelType w:val="hybridMultilevel"/>
    <w:tmpl w:val="159E8BA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107E5CC7"/>
    <w:multiLevelType w:val="hybridMultilevel"/>
    <w:tmpl w:val="5B589E58"/>
    <w:lvl w:ilvl="0" w:tplc="1C4AA402">
      <w:start w:val="1"/>
      <w:numFmt w:val="bullet"/>
      <w:lvlText w:val=""/>
      <w:lvlPicBulletId w:val="0"/>
      <w:lvlJc w:val="left"/>
      <w:pPr>
        <w:ind w:left="720" w:hanging="360"/>
      </w:pPr>
      <w:rPr>
        <w:rFonts w:ascii="Symbol" w:hAnsi="Symbol" w:hint="default"/>
        <w:color w:val="auto"/>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16">
    <w:nsid w:val="10F11F36"/>
    <w:multiLevelType w:val="hybridMultilevel"/>
    <w:tmpl w:val="069839CC"/>
    <w:lvl w:ilvl="0" w:tplc="CDBC53E8">
      <w:start w:val="1"/>
      <w:numFmt w:val="bullet"/>
      <w:lvlText w:val="-"/>
      <w:lvlJc w:val="left"/>
      <w:pPr>
        <w:ind w:left="720" w:hanging="360"/>
      </w:pPr>
      <w:rPr>
        <w:rFonts w:ascii="Arial" w:hAnsi="Aria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17">
    <w:nsid w:val="15051C4B"/>
    <w:multiLevelType w:val="hybridMultilevel"/>
    <w:tmpl w:val="48A8B024"/>
    <w:lvl w:ilvl="0" w:tplc="0403000F">
      <w:start w:val="1"/>
      <w:numFmt w:val="decimal"/>
      <w:lvlText w:val="%1."/>
      <w:lvlJc w:val="left"/>
      <w:pPr>
        <w:ind w:left="720" w:hanging="360"/>
      </w:pPr>
      <w:rPr>
        <w:rFonts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18">
    <w:nsid w:val="1850688F"/>
    <w:multiLevelType w:val="hybridMultilevel"/>
    <w:tmpl w:val="02163FC0"/>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1BE436CC"/>
    <w:multiLevelType w:val="hybridMultilevel"/>
    <w:tmpl w:val="E25804B2"/>
    <w:lvl w:ilvl="0" w:tplc="04030001">
      <w:start w:val="1"/>
      <w:numFmt w:val="bullet"/>
      <w:lvlText w:val=""/>
      <w:lvlJc w:val="left"/>
      <w:pPr>
        <w:ind w:left="1004" w:hanging="360"/>
      </w:pPr>
      <w:rPr>
        <w:rFonts w:ascii="Symbol" w:hAnsi="Symbol" w:hint="default"/>
      </w:rPr>
    </w:lvl>
    <w:lvl w:ilvl="1" w:tplc="04030003">
      <w:start w:val="1"/>
      <w:numFmt w:val="bullet"/>
      <w:lvlText w:val="o"/>
      <w:lvlJc w:val="left"/>
      <w:pPr>
        <w:ind w:left="1724" w:hanging="360"/>
      </w:pPr>
      <w:rPr>
        <w:rFonts w:ascii="Courier New" w:hAnsi="Courier New" w:cs="Courier New" w:hint="default"/>
      </w:rPr>
    </w:lvl>
    <w:lvl w:ilvl="2" w:tplc="04030005" w:tentative="1">
      <w:start w:val="1"/>
      <w:numFmt w:val="bullet"/>
      <w:lvlText w:val=""/>
      <w:lvlJc w:val="left"/>
      <w:pPr>
        <w:ind w:left="2444" w:hanging="360"/>
      </w:pPr>
      <w:rPr>
        <w:rFonts w:ascii="Wingdings" w:hAnsi="Wingdings" w:hint="default"/>
      </w:rPr>
    </w:lvl>
    <w:lvl w:ilvl="3" w:tplc="04030001" w:tentative="1">
      <w:start w:val="1"/>
      <w:numFmt w:val="bullet"/>
      <w:lvlText w:val=""/>
      <w:lvlJc w:val="left"/>
      <w:pPr>
        <w:ind w:left="3164" w:hanging="360"/>
      </w:pPr>
      <w:rPr>
        <w:rFonts w:ascii="Symbol" w:hAnsi="Symbol" w:hint="default"/>
      </w:rPr>
    </w:lvl>
    <w:lvl w:ilvl="4" w:tplc="04030003" w:tentative="1">
      <w:start w:val="1"/>
      <w:numFmt w:val="bullet"/>
      <w:lvlText w:val="o"/>
      <w:lvlJc w:val="left"/>
      <w:pPr>
        <w:ind w:left="3884" w:hanging="360"/>
      </w:pPr>
      <w:rPr>
        <w:rFonts w:ascii="Courier New" w:hAnsi="Courier New" w:cs="Courier New" w:hint="default"/>
      </w:rPr>
    </w:lvl>
    <w:lvl w:ilvl="5" w:tplc="04030005" w:tentative="1">
      <w:start w:val="1"/>
      <w:numFmt w:val="bullet"/>
      <w:lvlText w:val=""/>
      <w:lvlJc w:val="left"/>
      <w:pPr>
        <w:ind w:left="4604" w:hanging="360"/>
      </w:pPr>
      <w:rPr>
        <w:rFonts w:ascii="Wingdings" w:hAnsi="Wingdings" w:hint="default"/>
      </w:rPr>
    </w:lvl>
    <w:lvl w:ilvl="6" w:tplc="04030001" w:tentative="1">
      <w:start w:val="1"/>
      <w:numFmt w:val="bullet"/>
      <w:lvlText w:val=""/>
      <w:lvlJc w:val="left"/>
      <w:pPr>
        <w:ind w:left="5324" w:hanging="360"/>
      </w:pPr>
      <w:rPr>
        <w:rFonts w:ascii="Symbol" w:hAnsi="Symbol" w:hint="default"/>
      </w:rPr>
    </w:lvl>
    <w:lvl w:ilvl="7" w:tplc="04030003" w:tentative="1">
      <w:start w:val="1"/>
      <w:numFmt w:val="bullet"/>
      <w:lvlText w:val="o"/>
      <w:lvlJc w:val="left"/>
      <w:pPr>
        <w:ind w:left="6044" w:hanging="360"/>
      </w:pPr>
      <w:rPr>
        <w:rFonts w:ascii="Courier New" w:hAnsi="Courier New" w:cs="Courier New" w:hint="default"/>
      </w:rPr>
    </w:lvl>
    <w:lvl w:ilvl="8" w:tplc="04030005" w:tentative="1">
      <w:start w:val="1"/>
      <w:numFmt w:val="bullet"/>
      <w:lvlText w:val=""/>
      <w:lvlJc w:val="left"/>
      <w:pPr>
        <w:ind w:left="6764" w:hanging="360"/>
      </w:pPr>
      <w:rPr>
        <w:rFonts w:ascii="Wingdings" w:hAnsi="Wingdings" w:hint="default"/>
      </w:rPr>
    </w:lvl>
  </w:abstractNum>
  <w:abstractNum w:abstractNumId="20">
    <w:nsid w:val="1E863163"/>
    <w:multiLevelType w:val="hybridMultilevel"/>
    <w:tmpl w:val="B67C2C5A"/>
    <w:lvl w:ilvl="0" w:tplc="04030005">
      <w:start w:val="1"/>
      <w:numFmt w:val="bullet"/>
      <w:lvlText w:val=""/>
      <w:lvlJc w:val="left"/>
      <w:pPr>
        <w:ind w:left="720" w:hanging="360"/>
      </w:pPr>
      <w:rPr>
        <w:rFonts w:ascii="Wingdings" w:hAnsi="Wingdings"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21">
    <w:nsid w:val="1EE2770F"/>
    <w:multiLevelType w:val="hybridMultilevel"/>
    <w:tmpl w:val="B24EF834"/>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22">
    <w:nsid w:val="20E05A9E"/>
    <w:multiLevelType w:val="hybridMultilevel"/>
    <w:tmpl w:val="327643AA"/>
    <w:lvl w:ilvl="0" w:tplc="04030001">
      <w:start w:val="1"/>
      <w:numFmt w:val="bullet"/>
      <w:lvlText w:val=""/>
      <w:lvlJc w:val="left"/>
      <w:pPr>
        <w:ind w:left="720" w:hanging="360"/>
      </w:pPr>
      <w:rPr>
        <w:rFonts w:ascii="Symbol" w:hAnsi="Symbol" w:hint="default"/>
      </w:rPr>
    </w:lvl>
    <w:lvl w:ilvl="1" w:tplc="04030003">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23">
    <w:nsid w:val="22C04DCB"/>
    <w:multiLevelType w:val="hybridMultilevel"/>
    <w:tmpl w:val="4E0C8D0C"/>
    <w:lvl w:ilvl="0" w:tplc="9050C88E">
      <w:start w:val="1"/>
      <w:numFmt w:val="bullet"/>
      <w:lvlText w:val="-"/>
      <w:lvlJc w:val="left"/>
      <w:pPr>
        <w:ind w:left="644" w:hanging="360"/>
      </w:pPr>
      <w:rPr>
        <w:rFonts w:ascii="Arial" w:hAnsi="Arial" w:hint="default"/>
        <w:b/>
      </w:rPr>
    </w:lvl>
    <w:lvl w:ilvl="1" w:tplc="04030019" w:tentative="1">
      <w:start w:val="1"/>
      <w:numFmt w:val="lowerLetter"/>
      <w:lvlText w:val="%2."/>
      <w:lvlJc w:val="left"/>
      <w:pPr>
        <w:ind w:left="1364" w:hanging="360"/>
      </w:pPr>
    </w:lvl>
    <w:lvl w:ilvl="2" w:tplc="0403001B" w:tentative="1">
      <w:start w:val="1"/>
      <w:numFmt w:val="lowerRoman"/>
      <w:lvlText w:val="%3."/>
      <w:lvlJc w:val="right"/>
      <w:pPr>
        <w:ind w:left="2084" w:hanging="180"/>
      </w:pPr>
    </w:lvl>
    <w:lvl w:ilvl="3" w:tplc="0403000F" w:tentative="1">
      <w:start w:val="1"/>
      <w:numFmt w:val="decimal"/>
      <w:lvlText w:val="%4."/>
      <w:lvlJc w:val="left"/>
      <w:pPr>
        <w:ind w:left="2804" w:hanging="360"/>
      </w:pPr>
    </w:lvl>
    <w:lvl w:ilvl="4" w:tplc="04030019" w:tentative="1">
      <w:start w:val="1"/>
      <w:numFmt w:val="lowerLetter"/>
      <w:lvlText w:val="%5."/>
      <w:lvlJc w:val="left"/>
      <w:pPr>
        <w:ind w:left="3524" w:hanging="360"/>
      </w:pPr>
    </w:lvl>
    <w:lvl w:ilvl="5" w:tplc="0403001B" w:tentative="1">
      <w:start w:val="1"/>
      <w:numFmt w:val="lowerRoman"/>
      <w:lvlText w:val="%6."/>
      <w:lvlJc w:val="right"/>
      <w:pPr>
        <w:ind w:left="4244" w:hanging="180"/>
      </w:pPr>
    </w:lvl>
    <w:lvl w:ilvl="6" w:tplc="0403000F" w:tentative="1">
      <w:start w:val="1"/>
      <w:numFmt w:val="decimal"/>
      <w:lvlText w:val="%7."/>
      <w:lvlJc w:val="left"/>
      <w:pPr>
        <w:ind w:left="4964" w:hanging="360"/>
      </w:pPr>
    </w:lvl>
    <w:lvl w:ilvl="7" w:tplc="04030019" w:tentative="1">
      <w:start w:val="1"/>
      <w:numFmt w:val="lowerLetter"/>
      <w:lvlText w:val="%8."/>
      <w:lvlJc w:val="left"/>
      <w:pPr>
        <w:ind w:left="5684" w:hanging="360"/>
      </w:pPr>
    </w:lvl>
    <w:lvl w:ilvl="8" w:tplc="0403001B" w:tentative="1">
      <w:start w:val="1"/>
      <w:numFmt w:val="lowerRoman"/>
      <w:lvlText w:val="%9."/>
      <w:lvlJc w:val="right"/>
      <w:pPr>
        <w:ind w:left="6404" w:hanging="180"/>
      </w:pPr>
    </w:lvl>
  </w:abstractNum>
  <w:abstractNum w:abstractNumId="24">
    <w:nsid w:val="255911BA"/>
    <w:multiLevelType w:val="hybridMultilevel"/>
    <w:tmpl w:val="3856BC1C"/>
    <w:lvl w:ilvl="0" w:tplc="2CA04966">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26A954E0"/>
    <w:multiLevelType w:val="hybridMultilevel"/>
    <w:tmpl w:val="D2D6EBE6"/>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26">
    <w:nsid w:val="274000B7"/>
    <w:multiLevelType w:val="hybridMultilevel"/>
    <w:tmpl w:val="C44C412C"/>
    <w:lvl w:ilvl="0" w:tplc="7F8A573E">
      <w:start w:val="1"/>
      <w:numFmt w:val="bullet"/>
      <w:lvlText w:val="-"/>
      <w:lvlJc w:val="left"/>
      <w:pPr>
        <w:ind w:left="720" w:hanging="360"/>
      </w:pPr>
      <w:rPr>
        <w:rFonts w:ascii="Arial" w:hAnsi="Arial" w:hint="default"/>
        <w:b/>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27">
    <w:nsid w:val="27E10F50"/>
    <w:multiLevelType w:val="hybridMultilevel"/>
    <w:tmpl w:val="66CE781A"/>
    <w:lvl w:ilvl="0" w:tplc="04030003">
      <w:start w:val="1"/>
      <w:numFmt w:val="bullet"/>
      <w:lvlText w:val="o"/>
      <w:lvlJc w:val="left"/>
      <w:pPr>
        <w:ind w:left="1288" w:hanging="360"/>
      </w:pPr>
      <w:rPr>
        <w:rFonts w:ascii="Courier New" w:hAnsi="Courier New" w:cs="Courier New" w:hint="default"/>
      </w:rPr>
    </w:lvl>
    <w:lvl w:ilvl="1" w:tplc="04030003" w:tentative="1">
      <w:start w:val="1"/>
      <w:numFmt w:val="bullet"/>
      <w:lvlText w:val="o"/>
      <w:lvlJc w:val="left"/>
      <w:pPr>
        <w:ind w:left="2008" w:hanging="360"/>
      </w:pPr>
      <w:rPr>
        <w:rFonts w:ascii="Courier New" w:hAnsi="Courier New" w:cs="Courier New" w:hint="default"/>
      </w:rPr>
    </w:lvl>
    <w:lvl w:ilvl="2" w:tplc="04030005" w:tentative="1">
      <w:start w:val="1"/>
      <w:numFmt w:val="bullet"/>
      <w:lvlText w:val=""/>
      <w:lvlJc w:val="left"/>
      <w:pPr>
        <w:ind w:left="2728" w:hanging="360"/>
      </w:pPr>
      <w:rPr>
        <w:rFonts w:ascii="Wingdings" w:hAnsi="Wingdings" w:hint="default"/>
      </w:rPr>
    </w:lvl>
    <w:lvl w:ilvl="3" w:tplc="04030001" w:tentative="1">
      <w:start w:val="1"/>
      <w:numFmt w:val="bullet"/>
      <w:lvlText w:val=""/>
      <w:lvlJc w:val="left"/>
      <w:pPr>
        <w:ind w:left="3448" w:hanging="360"/>
      </w:pPr>
      <w:rPr>
        <w:rFonts w:ascii="Symbol" w:hAnsi="Symbol" w:hint="default"/>
      </w:rPr>
    </w:lvl>
    <w:lvl w:ilvl="4" w:tplc="04030003" w:tentative="1">
      <w:start w:val="1"/>
      <w:numFmt w:val="bullet"/>
      <w:lvlText w:val="o"/>
      <w:lvlJc w:val="left"/>
      <w:pPr>
        <w:ind w:left="4168" w:hanging="360"/>
      </w:pPr>
      <w:rPr>
        <w:rFonts w:ascii="Courier New" w:hAnsi="Courier New" w:cs="Courier New" w:hint="default"/>
      </w:rPr>
    </w:lvl>
    <w:lvl w:ilvl="5" w:tplc="04030005" w:tentative="1">
      <w:start w:val="1"/>
      <w:numFmt w:val="bullet"/>
      <w:lvlText w:val=""/>
      <w:lvlJc w:val="left"/>
      <w:pPr>
        <w:ind w:left="4888" w:hanging="360"/>
      </w:pPr>
      <w:rPr>
        <w:rFonts w:ascii="Wingdings" w:hAnsi="Wingdings" w:hint="default"/>
      </w:rPr>
    </w:lvl>
    <w:lvl w:ilvl="6" w:tplc="04030001" w:tentative="1">
      <w:start w:val="1"/>
      <w:numFmt w:val="bullet"/>
      <w:lvlText w:val=""/>
      <w:lvlJc w:val="left"/>
      <w:pPr>
        <w:ind w:left="5608" w:hanging="360"/>
      </w:pPr>
      <w:rPr>
        <w:rFonts w:ascii="Symbol" w:hAnsi="Symbol" w:hint="default"/>
      </w:rPr>
    </w:lvl>
    <w:lvl w:ilvl="7" w:tplc="04030003" w:tentative="1">
      <w:start w:val="1"/>
      <w:numFmt w:val="bullet"/>
      <w:lvlText w:val="o"/>
      <w:lvlJc w:val="left"/>
      <w:pPr>
        <w:ind w:left="6328" w:hanging="360"/>
      </w:pPr>
      <w:rPr>
        <w:rFonts w:ascii="Courier New" w:hAnsi="Courier New" w:cs="Courier New" w:hint="default"/>
      </w:rPr>
    </w:lvl>
    <w:lvl w:ilvl="8" w:tplc="04030005" w:tentative="1">
      <w:start w:val="1"/>
      <w:numFmt w:val="bullet"/>
      <w:lvlText w:val=""/>
      <w:lvlJc w:val="left"/>
      <w:pPr>
        <w:ind w:left="7048" w:hanging="360"/>
      </w:pPr>
      <w:rPr>
        <w:rFonts w:ascii="Wingdings" w:hAnsi="Wingdings" w:hint="default"/>
      </w:rPr>
    </w:lvl>
  </w:abstractNum>
  <w:abstractNum w:abstractNumId="28">
    <w:nsid w:val="298B7BC6"/>
    <w:multiLevelType w:val="hybridMultilevel"/>
    <w:tmpl w:val="0C86BE88"/>
    <w:lvl w:ilvl="0" w:tplc="0A4C7662">
      <w:start w:val="1"/>
      <w:numFmt w:val="bullet"/>
      <w:pStyle w:val="normaltopo"/>
      <w:lvlText w:val=""/>
      <w:lvlJc w:val="left"/>
      <w:pPr>
        <w:ind w:left="1140" w:hanging="360"/>
      </w:pPr>
      <w:rPr>
        <w:rFonts w:ascii="Symbol" w:hAnsi="Symbol" w:hint="default"/>
      </w:rPr>
    </w:lvl>
    <w:lvl w:ilvl="1" w:tplc="04030003" w:tentative="1">
      <w:start w:val="1"/>
      <w:numFmt w:val="bullet"/>
      <w:lvlText w:val="o"/>
      <w:lvlJc w:val="left"/>
      <w:pPr>
        <w:ind w:left="1860" w:hanging="360"/>
      </w:pPr>
      <w:rPr>
        <w:rFonts w:ascii="Courier New" w:hAnsi="Courier New" w:cs="Courier New" w:hint="default"/>
      </w:rPr>
    </w:lvl>
    <w:lvl w:ilvl="2" w:tplc="04030005" w:tentative="1">
      <w:start w:val="1"/>
      <w:numFmt w:val="bullet"/>
      <w:lvlText w:val=""/>
      <w:lvlJc w:val="left"/>
      <w:pPr>
        <w:ind w:left="2580" w:hanging="360"/>
      </w:pPr>
      <w:rPr>
        <w:rFonts w:ascii="Wingdings" w:hAnsi="Wingdings" w:hint="default"/>
      </w:rPr>
    </w:lvl>
    <w:lvl w:ilvl="3" w:tplc="04030001" w:tentative="1">
      <w:start w:val="1"/>
      <w:numFmt w:val="bullet"/>
      <w:lvlText w:val=""/>
      <w:lvlJc w:val="left"/>
      <w:pPr>
        <w:ind w:left="3300" w:hanging="360"/>
      </w:pPr>
      <w:rPr>
        <w:rFonts w:ascii="Symbol" w:hAnsi="Symbol" w:hint="default"/>
      </w:rPr>
    </w:lvl>
    <w:lvl w:ilvl="4" w:tplc="04030003" w:tentative="1">
      <w:start w:val="1"/>
      <w:numFmt w:val="bullet"/>
      <w:lvlText w:val="o"/>
      <w:lvlJc w:val="left"/>
      <w:pPr>
        <w:ind w:left="4020" w:hanging="360"/>
      </w:pPr>
      <w:rPr>
        <w:rFonts w:ascii="Courier New" w:hAnsi="Courier New" w:cs="Courier New" w:hint="default"/>
      </w:rPr>
    </w:lvl>
    <w:lvl w:ilvl="5" w:tplc="04030005" w:tentative="1">
      <w:start w:val="1"/>
      <w:numFmt w:val="bullet"/>
      <w:lvlText w:val=""/>
      <w:lvlJc w:val="left"/>
      <w:pPr>
        <w:ind w:left="4740" w:hanging="360"/>
      </w:pPr>
      <w:rPr>
        <w:rFonts w:ascii="Wingdings" w:hAnsi="Wingdings" w:hint="default"/>
      </w:rPr>
    </w:lvl>
    <w:lvl w:ilvl="6" w:tplc="04030001" w:tentative="1">
      <w:start w:val="1"/>
      <w:numFmt w:val="bullet"/>
      <w:lvlText w:val=""/>
      <w:lvlJc w:val="left"/>
      <w:pPr>
        <w:ind w:left="5460" w:hanging="360"/>
      </w:pPr>
      <w:rPr>
        <w:rFonts w:ascii="Symbol" w:hAnsi="Symbol" w:hint="default"/>
      </w:rPr>
    </w:lvl>
    <w:lvl w:ilvl="7" w:tplc="04030003" w:tentative="1">
      <w:start w:val="1"/>
      <w:numFmt w:val="bullet"/>
      <w:lvlText w:val="o"/>
      <w:lvlJc w:val="left"/>
      <w:pPr>
        <w:ind w:left="6180" w:hanging="360"/>
      </w:pPr>
      <w:rPr>
        <w:rFonts w:ascii="Courier New" w:hAnsi="Courier New" w:cs="Courier New" w:hint="default"/>
      </w:rPr>
    </w:lvl>
    <w:lvl w:ilvl="8" w:tplc="04030005" w:tentative="1">
      <w:start w:val="1"/>
      <w:numFmt w:val="bullet"/>
      <w:lvlText w:val=""/>
      <w:lvlJc w:val="left"/>
      <w:pPr>
        <w:ind w:left="6900" w:hanging="360"/>
      </w:pPr>
      <w:rPr>
        <w:rFonts w:ascii="Wingdings" w:hAnsi="Wingdings" w:hint="default"/>
      </w:rPr>
    </w:lvl>
  </w:abstractNum>
  <w:abstractNum w:abstractNumId="29">
    <w:nsid w:val="29E85C74"/>
    <w:multiLevelType w:val="hybridMultilevel"/>
    <w:tmpl w:val="FADA0178"/>
    <w:lvl w:ilvl="0" w:tplc="0403000B">
      <w:start w:val="1"/>
      <w:numFmt w:val="bullet"/>
      <w:lvlText w:val=""/>
      <w:lvlJc w:val="left"/>
      <w:pPr>
        <w:ind w:left="-132" w:hanging="360"/>
      </w:pPr>
      <w:rPr>
        <w:rFonts w:ascii="Wingdings" w:hAnsi="Wingdings" w:hint="default"/>
        <w:b/>
        <w:sz w:val="20"/>
        <w:szCs w:val="20"/>
      </w:rPr>
    </w:lvl>
    <w:lvl w:ilvl="1" w:tplc="5A84EED6">
      <w:start w:val="1"/>
      <w:numFmt w:val="decimal"/>
      <w:lvlText w:val="%2."/>
      <w:lvlJc w:val="left"/>
      <w:pPr>
        <w:ind w:left="588" w:hanging="360"/>
      </w:pPr>
      <w:rPr>
        <w:rFonts w:hint="default"/>
      </w:rPr>
    </w:lvl>
    <w:lvl w:ilvl="2" w:tplc="0403001B" w:tentative="1">
      <w:start w:val="1"/>
      <w:numFmt w:val="lowerRoman"/>
      <w:lvlText w:val="%3."/>
      <w:lvlJc w:val="right"/>
      <w:pPr>
        <w:ind w:left="1308" w:hanging="180"/>
      </w:pPr>
    </w:lvl>
    <w:lvl w:ilvl="3" w:tplc="0403000F" w:tentative="1">
      <w:start w:val="1"/>
      <w:numFmt w:val="decimal"/>
      <w:lvlText w:val="%4."/>
      <w:lvlJc w:val="left"/>
      <w:pPr>
        <w:ind w:left="2028" w:hanging="360"/>
      </w:pPr>
    </w:lvl>
    <w:lvl w:ilvl="4" w:tplc="04030019" w:tentative="1">
      <w:start w:val="1"/>
      <w:numFmt w:val="lowerLetter"/>
      <w:lvlText w:val="%5."/>
      <w:lvlJc w:val="left"/>
      <w:pPr>
        <w:ind w:left="2748" w:hanging="360"/>
      </w:pPr>
    </w:lvl>
    <w:lvl w:ilvl="5" w:tplc="0403001B" w:tentative="1">
      <w:start w:val="1"/>
      <w:numFmt w:val="lowerRoman"/>
      <w:lvlText w:val="%6."/>
      <w:lvlJc w:val="right"/>
      <w:pPr>
        <w:ind w:left="3468" w:hanging="180"/>
      </w:pPr>
    </w:lvl>
    <w:lvl w:ilvl="6" w:tplc="0403000F" w:tentative="1">
      <w:start w:val="1"/>
      <w:numFmt w:val="decimal"/>
      <w:lvlText w:val="%7."/>
      <w:lvlJc w:val="left"/>
      <w:pPr>
        <w:ind w:left="4188" w:hanging="360"/>
      </w:pPr>
    </w:lvl>
    <w:lvl w:ilvl="7" w:tplc="04030019" w:tentative="1">
      <w:start w:val="1"/>
      <w:numFmt w:val="lowerLetter"/>
      <w:lvlText w:val="%8."/>
      <w:lvlJc w:val="left"/>
      <w:pPr>
        <w:ind w:left="4908" w:hanging="360"/>
      </w:pPr>
    </w:lvl>
    <w:lvl w:ilvl="8" w:tplc="0403001B" w:tentative="1">
      <w:start w:val="1"/>
      <w:numFmt w:val="lowerRoman"/>
      <w:lvlText w:val="%9."/>
      <w:lvlJc w:val="right"/>
      <w:pPr>
        <w:ind w:left="5628" w:hanging="180"/>
      </w:pPr>
    </w:lvl>
  </w:abstractNum>
  <w:abstractNum w:abstractNumId="30">
    <w:nsid w:val="2A181948"/>
    <w:multiLevelType w:val="hybridMultilevel"/>
    <w:tmpl w:val="2D00B0F8"/>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31">
    <w:nsid w:val="2A1B1898"/>
    <w:multiLevelType w:val="hybridMultilevel"/>
    <w:tmpl w:val="87682A30"/>
    <w:lvl w:ilvl="0" w:tplc="04030017">
      <w:start w:val="1"/>
      <w:numFmt w:val="lowerLetter"/>
      <w:lvlText w:val="%1)"/>
      <w:lvlJc w:val="left"/>
      <w:pPr>
        <w:ind w:left="720" w:hanging="360"/>
      </w:p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32">
    <w:nsid w:val="2A3273F4"/>
    <w:multiLevelType w:val="hybridMultilevel"/>
    <w:tmpl w:val="4A4A7AE4"/>
    <w:lvl w:ilvl="0" w:tplc="04030005">
      <w:start w:val="1"/>
      <w:numFmt w:val="bullet"/>
      <w:lvlText w:val=""/>
      <w:lvlJc w:val="left"/>
      <w:pPr>
        <w:ind w:left="720" w:hanging="360"/>
      </w:pPr>
      <w:rPr>
        <w:rFonts w:ascii="Wingdings" w:hAnsi="Wingdings"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33">
    <w:nsid w:val="2D1C56B7"/>
    <w:multiLevelType w:val="hybridMultilevel"/>
    <w:tmpl w:val="DD6AEB04"/>
    <w:lvl w:ilvl="0" w:tplc="04030005">
      <w:start w:val="1"/>
      <w:numFmt w:val="bullet"/>
      <w:lvlText w:val=""/>
      <w:lvlJc w:val="left"/>
      <w:pPr>
        <w:ind w:left="720" w:hanging="360"/>
      </w:pPr>
      <w:rPr>
        <w:rFonts w:ascii="Wingdings" w:hAnsi="Wingdings"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34">
    <w:nsid w:val="2E301935"/>
    <w:multiLevelType w:val="hybridMultilevel"/>
    <w:tmpl w:val="77B61960"/>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35">
    <w:nsid w:val="2E80308B"/>
    <w:multiLevelType w:val="hybridMultilevel"/>
    <w:tmpl w:val="27CE9254"/>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36">
    <w:nsid w:val="2E995379"/>
    <w:multiLevelType w:val="hybridMultilevel"/>
    <w:tmpl w:val="2FFC26A8"/>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37">
    <w:nsid w:val="32E54496"/>
    <w:multiLevelType w:val="hybridMultilevel"/>
    <w:tmpl w:val="1DB6226E"/>
    <w:lvl w:ilvl="0" w:tplc="40FEDD9A">
      <w:numFmt w:val="bullet"/>
      <w:lvlText w:val="-"/>
      <w:lvlJc w:val="left"/>
      <w:pPr>
        <w:ind w:left="720" w:hanging="360"/>
      </w:pPr>
      <w:rPr>
        <w:rFonts w:ascii="Verdana" w:eastAsiaTheme="minorHAnsi" w:hAnsi="Verdana" w:cs="Arial" w:hint="default"/>
        <w:sz w:val="24"/>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38">
    <w:nsid w:val="34AA1075"/>
    <w:multiLevelType w:val="hybridMultilevel"/>
    <w:tmpl w:val="826CE956"/>
    <w:lvl w:ilvl="0" w:tplc="04030005">
      <w:start w:val="1"/>
      <w:numFmt w:val="bullet"/>
      <w:lvlText w:val=""/>
      <w:lvlJc w:val="left"/>
      <w:pPr>
        <w:tabs>
          <w:tab w:val="num" w:pos="360"/>
        </w:tabs>
        <w:ind w:left="360" w:hanging="360"/>
      </w:pPr>
      <w:rPr>
        <w:rFonts w:ascii="Wingdings" w:hAnsi="Wingdings" w:hint="default"/>
      </w:rPr>
    </w:lvl>
    <w:lvl w:ilvl="1" w:tplc="FFFFFFFF">
      <w:start w:val="1"/>
      <w:numFmt w:val="lowerLetter"/>
      <w:lvlText w:val="%2)"/>
      <w:lvlJc w:val="left"/>
      <w:pPr>
        <w:tabs>
          <w:tab w:val="num" w:pos="1440"/>
        </w:tabs>
        <w:ind w:left="1440" w:hanging="360"/>
      </w:pPr>
      <w:rPr>
        <w:rFont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9">
    <w:nsid w:val="35DB4192"/>
    <w:multiLevelType w:val="hybridMultilevel"/>
    <w:tmpl w:val="74042702"/>
    <w:lvl w:ilvl="0" w:tplc="04030001">
      <w:start w:val="1"/>
      <w:numFmt w:val="bullet"/>
      <w:lvlText w:val=""/>
      <w:lvlJc w:val="left"/>
      <w:pPr>
        <w:ind w:left="1004" w:hanging="360"/>
      </w:pPr>
      <w:rPr>
        <w:rFonts w:ascii="Symbol" w:hAnsi="Symbol" w:hint="default"/>
      </w:rPr>
    </w:lvl>
    <w:lvl w:ilvl="1" w:tplc="04030003" w:tentative="1">
      <w:start w:val="1"/>
      <w:numFmt w:val="bullet"/>
      <w:lvlText w:val="o"/>
      <w:lvlJc w:val="left"/>
      <w:pPr>
        <w:ind w:left="1724" w:hanging="360"/>
      </w:pPr>
      <w:rPr>
        <w:rFonts w:ascii="Courier New" w:hAnsi="Courier New" w:cs="Courier New" w:hint="default"/>
      </w:rPr>
    </w:lvl>
    <w:lvl w:ilvl="2" w:tplc="04030005" w:tentative="1">
      <w:start w:val="1"/>
      <w:numFmt w:val="bullet"/>
      <w:lvlText w:val=""/>
      <w:lvlJc w:val="left"/>
      <w:pPr>
        <w:ind w:left="2444" w:hanging="360"/>
      </w:pPr>
      <w:rPr>
        <w:rFonts w:ascii="Wingdings" w:hAnsi="Wingdings" w:hint="default"/>
      </w:rPr>
    </w:lvl>
    <w:lvl w:ilvl="3" w:tplc="04030001" w:tentative="1">
      <w:start w:val="1"/>
      <w:numFmt w:val="bullet"/>
      <w:lvlText w:val=""/>
      <w:lvlJc w:val="left"/>
      <w:pPr>
        <w:ind w:left="3164" w:hanging="360"/>
      </w:pPr>
      <w:rPr>
        <w:rFonts w:ascii="Symbol" w:hAnsi="Symbol" w:hint="default"/>
      </w:rPr>
    </w:lvl>
    <w:lvl w:ilvl="4" w:tplc="04030003" w:tentative="1">
      <w:start w:val="1"/>
      <w:numFmt w:val="bullet"/>
      <w:lvlText w:val="o"/>
      <w:lvlJc w:val="left"/>
      <w:pPr>
        <w:ind w:left="3884" w:hanging="360"/>
      </w:pPr>
      <w:rPr>
        <w:rFonts w:ascii="Courier New" w:hAnsi="Courier New" w:cs="Courier New" w:hint="default"/>
      </w:rPr>
    </w:lvl>
    <w:lvl w:ilvl="5" w:tplc="04030005" w:tentative="1">
      <w:start w:val="1"/>
      <w:numFmt w:val="bullet"/>
      <w:lvlText w:val=""/>
      <w:lvlJc w:val="left"/>
      <w:pPr>
        <w:ind w:left="4604" w:hanging="360"/>
      </w:pPr>
      <w:rPr>
        <w:rFonts w:ascii="Wingdings" w:hAnsi="Wingdings" w:hint="default"/>
      </w:rPr>
    </w:lvl>
    <w:lvl w:ilvl="6" w:tplc="04030001" w:tentative="1">
      <w:start w:val="1"/>
      <w:numFmt w:val="bullet"/>
      <w:lvlText w:val=""/>
      <w:lvlJc w:val="left"/>
      <w:pPr>
        <w:ind w:left="5324" w:hanging="360"/>
      </w:pPr>
      <w:rPr>
        <w:rFonts w:ascii="Symbol" w:hAnsi="Symbol" w:hint="default"/>
      </w:rPr>
    </w:lvl>
    <w:lvl w:ilvl="7" w:tplc="04030003" w:tentative="1">
      <w:start w:val="1"/>
      <w:numFmt w:val="bullet"/>
      <w:lvlText w:val="o"/>
      <w:lvlJc w:val="left"/>
      <w:pPr>
        <w:ind w:left="6044" w:hanging="360"/>
      </w:pPr>
      <w:rPr>
        <w:rFonts w:ascii="Courier New" w:hAnsi="Courier New" w:cs="Courier New" w:hint="default"/>
      </w:rPr>
    </w:lvl>
    <w:lvl w:ilvl="8" w:tplc="04030005" w:tentative="1">
      <w:start w:val="1"/>
      <w:numFmt w:val="bullet"/>
      <w:lvlText w:val=""/>
      <w:lvlJc w:val="left"/>
      <w:pPr>
        <w:ind w:left="6764" w:hanging="360"/>
      </w:pPr>
      <w:rPr>
        <w:rFonts w:ascii="Wingdings" w:hAnsi="Wingdings" w:hint="default"/>
      </w:rPr>
    </w:lvl>
  </w:abstractNum>
  <w:abstractNum w:abstractNumId="40">
    <w:nsid w:val="368846AC"/>
    <w:multiLevelType w:val="hybridMultilevel"/>
    <w:tmpl w:val="DA9ADA9A"/>
    <w:lvl w:ilvl="0" w:tplc="40FEDD9A">
      <w:numFmt w:val="bullet"/>
      <w:lvlText w:val="-"/>
      <w:lvlJc w:val="left"/>
      <w:pPr>
        <w:ind w:left="1080" w:hanging="360"/>
      </w:pPr>
      <w:rPr>
        <w:rFonts w:ascii="Verdana" w:eastAsiaTheme="minorHAnsi" w:hAnsi="Verdana" w:cs="Arial" w:hint="default"/>
        <w:sz w:val="24"/>
      </w:rPr>
    </w:lvl>
    <w:lvl w:ilvl="1" w:tplc="04030003" w:tentative="1">
      <w:start w:val="1"/>
      <w:numFmt w:val="bullet"/>
      <w:lvlText w:val="o"/>
      <w:lvlJc w:val="left"/>
      <w:pPr>
        <w:ind w:left="1800" w:hanging="360"/>
      </w:pPr>
      <w:rPr>
        <w:rFonts w:ascii="Courier New" w:hAnsi="Courier New" w:cs="Courier New" w:hint="default"/>
      </w:rPr>
    </w:lvl>
    <w:lvl w:ilvl="2" w:tplc="04030005" w:tentative="1">
      <w:start w:val="1"/>
      <w:numFmt w:val="bullet"/>
      <w:lvlText w:val=""/>
      <w:lvlJc w:val="left"/>
      <w:pPr>
        <w:ind w:left="2520" w:hanging="360"/>
      </w:pPr>
      <w:rPr>
        <w:rFonts w:ascii="Wingdings" w:hAnsi="Wingdings" w:hint="default"/>
      </w:rPr>
    </w:lvl>
    <w:lvl w:ilvl="3" w:tplc="04030001" w:tentative="1">
      <w:start w:val="1"/>
      <w:numFmt w:val="bullet"/>
      <w:lvlText w:val=""/>
      <w:lvlJc w:val="left"/>
      <w:pPr>
        <w:ind w:left="3240" w:hanging="360"/>
      </w:pPr>
      <w:rPr>
        <w:rFonts w:ascii="Symbol" w:hAnsi="Symbol" w:hint="default"/>
      </w:rPr>
    </w:lvl>
    <w:lvl w:ilvl="4" w:tplc="04030003" w:tentative="1">
      <w:start w:val="1"/>
      <w:numFmt w:val="bullet"/>
      <w:lvlText w:val="o"/>
      <w:lvlJc w:val="left"/>
      <w:pPr>
        <w:ind w:left="3960" w:hanging="360"/>
      </w:pPr>
      <w:rPr>
        <w:rFonts w:ascii="Courier New" w:hAnsi="Courier New" w:cs="Courier New" w:hint="default"/>
      </w:rPr>
    </w:lvl>
    <w:lvl w:ilvl="5" w:tplc="04030005" w:tentative="1">
      <w:start w:val="1"/>
      <w:numFmt w:val="bullet"/>
      <w:lvlText w:val=""/>
      <w:lvlJc w:val="left"/>
      <w:pPr>
        <w:ind w:left="4680" w:hanging="360"/>
      </w:pPr>
      <w:rPr>
        <w:rFonts w:ascii="Wingdings" w:hAnsi="Wingdings" w:hint="default"/>
      </w:rPr>
    </w:lvl>
    <w:lvl w:ilvl="6" w:tplc="04030001" w:tentative="1">
      <w:start w:val="1"/>
      <w:numFmt w:val="bullet"/>
      <w:lvlText w:val=""/>
      <w:lvlJc w:val="left"/>
      <w:pPr>
        <w:ind w:left="5400" w:hanging="360"/>
      </w:pPr>
      <w:rPr>
        <w:rFonts w:ascii="Symbol" w:hAnsi="Symbol" w:hint="default"/>
      </w:rPr>
    </w:lvl>
    <w:lvl w:ilvl="7" w:tplc="04030003" w:tentative="1">
      <w:start w:val="1"/>
      <w:numFmt w:val="bullet"/>
      <w:lvlText w:val="o"/>
      <w:lvlJc w:val="left"/>
      <w:pPr>
        <w:ind w:left="6120" w:hanging="360"/>
      </w:pPr>
      <w:rPr>
        <w:rFonts w:ascii="Courier New" w:hAnsi="Courier New" w:cs="Courier New" w:hint="default"/>
      </w:rPr>
    </w:lvl>
    <w:lvl w:ilvl="8" w:tplc="04030005" w:tentative="1">
      <w:start w:val="1"/>
      <w:numFmt w:val="bullet"/>
      <w:lvlText w:val=""/>
      <w:lvlJc w:val="left"/>
      <w:pPr>
        <w:ind w:left="6840" w:hanging="360"/>
      </w:pPr>
      <w:rPr>
        <w:rFonts w:ascii="Wingdings" w:hAnsi="Wingdings" w:hint="default"/>
      </w:rPr>
    </w:lvl>
  </w:abstractNum>
  <w:abstractNum w:abstractNumId="41">
    <w:nsid w:val="3691209A"/>
    <w:multiLevelType w:val="hybridMultilevel"/>
    <w:tmpl w:val="DF9A924C"/>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42">
    <w:nsid w:val="38042264"/>
    <w:multiLevelType w:val="hybridMultilevel"/>
    <w:tmpl w:val="8126FA18"/>
    <w:lvl w:ilvl="0" w:tplc="4016E408">
      <w:numFmt w:val="bullet"/>
      <w:lvlText w:val="•"/>
      <w:lvlJc w:val="left"/>
      <w:pPr>
        <w:ind w:left="1065" w:hanging="705"/>
      </w:pPr>
      <w:rPr>
        <w:rFonts w:ascii="Arial" w:eastAsiaTheme="minorHAnsi" w:hAnsi="Arial" w:cs="Aria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43">
    <w:nsid w:val="397F75E0"/>
    <w:multiLevelType w:val="multilevel"/>
    <w:tmpl w:val="C90A1BE0"/>
    <w:lvl w:ilvl="0">
      <w:start w:val="1"/>
      <w:numFmt w:val="decimal"/>
      <w:lvlText w:val="%1"/>
      <w:lvlJc w:val="left"/>
      <w:pPr>
        <w:ind w:left="432" w:hanging="432"/>
      </w:pPr>
      <w:rPr>
        <w:rFonts w:hint="default"/>
        <w:b/>
        <w:i w:val="0"/>
        <w:color w:val="365F91" w:themeColor="accent1" w:themeShade="BF"/>
      </w:rPr>
    </w:lvl>
    <w:lvl w:ilvl="1">
      <w:start w:val="1"/>
      <w:numFmt w:val="decimal"/>
      <w:lvlText w:val="%1.%2"/>
      <w:lvlJc w:val="left"/>
      <w:pPr>
        <w:ind w:left="6814"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pStyle w:val="Ttol6"/>
      <w:lvlText w:val="%1.%2.%3.%4.%5.%6"/>
      <w:lvlJc w:val="left"/>
      <w:pPr>
        <w:ind w:left="1152" w:hanging="1152"/>
      </w:pPr>
    </w:lvl>
    <w:lvl w:ilvl="6">
      <w:start w:val="1"/>
      <w:numFmt w:val="decimal"/>
      <w:pStyle w:val="Ttol7"/>
      <w:lvlText w:val="%1.%2.%3.%4.%5.%6.%7"/>
      <w:lvlJc w:val="left"/>
      <w:pPr>
        <w:ind w:left="1296" w:hanging="1296"/>
      </w:pPr>
    </w:lvl>
    <w:lvl w:ilvl="7">
      <w:start w:val="1"/>
      <w:numFmt w:val="decimal"/>
      <w:pStyle w:val="Ttol8"/>
      <w:lvlText w:val="%1.%2.%3.%4.%5.%6.%7.%8"/>
      <w:lvlJc w:val="left"/>
      <w:pPr>
        <w:ind w:left="1440" w:hanging="1440"/>
      </w:pPr>
    </w:lvl>
    <w:lvl w:ilvl="8">
      <w:start w:val="1"/>
      <w:numFmt w:val="decimal"/>
      <w:pStyle w:val="Ttol9"/>
      <w:lvlText w:val="%1.%2.%3.%4.%5.%6.%7.%8.%9"/>
      <w:lvlJc w:val="left"/>
      <w:pPr>
        <w:ind w:left="1584" w:hanging="1584"/>
      </w:pPr>
    </w:lvl>
  </w:abstractNum>
  <w:abstractNum w:abstractNumId="44">
    <w:nsid w:val="39D735EA"/>
    <w:multiLevelType w:val="hybridMultilevel"/>
    <w:tmpl w:val="5B80D272"/>
    <w:lvl w:ilvl="0" w:tplc="E4AC6058">
      <w:start w:val="1"/>
      <w:numFmt w:val="bullet"/>
      <w:lvlText w:val="-"/>
      <w:lvlJc w:val="left"/>
      <w:pPr>
        <w:ind w:left="644" w:hanging="360"/>
      </w:pPr>
      <w:rPr>
        <w:rFonts w:ascii="Arial" w:hAnsi="Arial" w:hint="default"/>
        <w:b/>
      </w:rPr>
    </w:lvl>
    <w:lvl w:ilvl="1" w:tplc="04030003" w:tentative="1">
      <w:start w:val="1"/>
      <w:numFmt w:val="bullet"/>
      <w:lvlText w:val="o"/>
      <w:lvlJc w:val="left"/>
      <w:pPr>
        <w:ind w:left="1364" w:hanging="360"/>
      </w:pPr>
      <w:rPr>
        <w:rFonts w:ascii="Courier New" w:hAnsi="Courier New" w:cs="Courier New" w:hint="default"/>
      </w:rPr>
    </w:lvl>
    <w:lvl w:ilvl="2" w:tplc="04030005" w:tentative="1">
      <w:start w:val="1"/>
      <w:numFmt w:val="bullet"/>
      <w:lvlText w:val=""/>
      <w:lvlJc w:val="left"/>
      <w:pPr>
        <w:ind w:left="2084" w:hanging="360"/>
      </w:pPr>
      <w:rPr>
        <w:rFonts w:ascii="Wingdings" w:hAnsi="Wingdings" w:hint="default"/>
      </w:rPr>
    </w:lvl>
    <w:lvl w:ilvl="3" w:tplc="04030001" w:tentative="1">
      <w:start w:val="1"/>
      <w:numFmt w:val="bullet"/>
      <w:lvlText w:val=""/>
      <w:lvlJc w:val="left"/>
      <w:pPr>
        <w:ind w:left="2804" w:hanging="360"/>
      </w:pPr>
      <w:rPr>
        <w:rFonts w:ascii="Symbol" w:hAnsi="Symbol" w:hint="default"/>
      </w:rPr>
    </w:lvl>
    <w:lvl w:ilvl="4" w:tplc="04030003" w:tentative="1">
      <w:start w:val="1"/>
      <w:numFmt w:val="bullet"/>
      <w:lvlText w:val="o"/>
      <w:lvlJc w:val="left"/>
      <w:pPr>
        <w:ind w:left="3524" w:hanging="360"/>
      </w:pPr>
      <w:rPr>
        <w:rFonts w:ascii="Courier New" w:hAnsi="Courier New" w:cs="Courier New" w:hint="default"/>
      </w:rPr>
    </w:lvl>
    <w:lvl w:ilvl="5" w:tplc="04030005" w:tentative="1">
      <w:start w:val="1"/>
      <w:numFmt w:val="bullet"/>
      <w:lvlText w:val=""/>
      <w:lvlJc w:val="left"/>
      <w:pPr>
        <w:ind w:left="4244" w:hanging="360"/>
      </w:pPr>
      <w:rPr>
        <w:rFonts w:ascii="Wingdings" w:hAnsi="Wingdings" w:hint="default"/>
      </w:rPr>
    </w:lvl>
    <w:lvl w:ilvl="6" w:tplc="04030001" w:tentative="1">
      <w:start w:val="1"/>
      <w:numFmt w:val="bullet"/>
      <w:lvlText w:val=""/>
      <w:lvlJc w:val="left"/>
      <w:pPr>
        <w:ind w:left="4964" w:hanging="360"/>
      </w:pPr>
      <w:rPr>
        <w:rFonts w:ascii="Symbol" w:hAnsi="Symbol" w:hint="default"/>
      </w:rPr>
    </w:lvl>
    <w:lvl w:ilvl="7" w:tplc="04030003" w:tentative="1">
      <w:start w:val="1"/>
      <w:numFmt w:val="bullet"/>
      <w:lvlText w:val="o"/>
      <w:lvlJc w:val="left"/>
      <w:pPr>
        <w:ind w:left="5684" w:hanging="360"/>
      </w:pPr>
      <w:rPr>
        <w:rFonts w:ascii="Courier New" w:hAnsi="Courier New" w:cs="Courier New" w:hint="default"/>
      </w:rPr>
    </w:lvl>
    <w:lvl w:ilvl="8" w:tplc="04030005" w:tentative="1">
      <w:start w:val="1"/>
      <w:numFmt w:val="bullet"/>
      <w:lvlText w:val=""/>
      <w:lvlJc w:val="left"/>
      <w:pPr>
        <w:ind w:left="6404" w:hanging="360"/>
      </w:pPr>
      <w:rPr>
        <w:rFonts w:ascii="Wingdings" w:hAnsi="Wingdings" w:hint="default"/>
      </w:rPr>
    </w:lvl>
  </w:abstractNum>
  <w:abstractNum w:abstractNumId="45">
    <w:nsid w:val="3A324B51"/>
    <w:multiLevelType w:val="hybridMultilevel"/>
    <w:tmpl w:val="3D20828A"/>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46">
    <w:nsid w:val="3A4C39F1"/>
    <w:multiLevelType w:val="hybridMultilevel"/>
    <w:tmpl w:val="1484559E"/>
    <w:lvl w:ilvl="0" w:tplc="CDBC53E8">
      <w:start w:val="1"/>
      <w:numFmt w:val="bullet"/>
      <w:lvlText w:val="-"/>
      <w:lvlJc w:val="left"/>
      <w:pPr>
        <w:ind w:left="720" w:hanging="360"/>
      </w:pPr>
      <w:rPr>
        <w:rFonts w:ascii="Arial" w:hAnsi="Aria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47">
    <w:nsid w:val="3C733F49"/>
    <w:multiLevelType w:val="hybridMultilevel"/>
    <w:tmpl w:val="13A60428"/>
    <w:lvl w:ilvl="0" w:tplc="CDBC53E8">
      <w:start w:val="1"/>
      <w:numFmt w:val="bullet"/>
      <w:lvlText w:val="-"/>
      <w:lvlJc w:val="left"/>
      <w:pPr>
        <w:ind w:left="360" w:hanging="360"/>
      </w:pPr>
      <w:rPr>
        <w:rFonts w:ascii="Arial" w:hAnsi="Arial" w:hint="default"/>
      </w:rPr>
    </w:lvl>
    <w:lvl w:ilvl="1" w:tplc="04030003" w:tentative="1">
      <w:start w:val="1"/>
      <w:numFmt w:val="bullet"/>
      <w:lvlText w:val="o"/>
      <w:lvlJc w:val="left"/>
      <w:pPr>
        <w:ind w:left="1080" w:hanging="360"/>
      </w:pPr>
      <w:rPr>
        <w:rFonts w:ascii="Courier New" w:hAnsi="Courier New" w:cs="Courier New" w:hint="default"/>
      </w:rPr>
    </w:lvl>
    <w:lvl w:ilvl="2" w:tplc="04030005" w:tentative="1">
      <w:start w:val="1"/>
      <w:numFmt w:val="bullet"/>
      <w:lvlText w:val=""/>
      <w:lvlJc w:val="left"/>
      <w:pPr>
        <w:ind w:left="1800" w:hanging="360"/>
      </w:pPr>
      <w:rPr>
        <w:rFonts w:ascii="Wingdings" w:hAnsi="Wingdings" w:hint="default"/>
      </w:rPr>
    </w:lvl>
    <w:lvl w:ilvl="3" w:tplc="04030001" w:tentative="1">
      <w:start w:val="1"/>
      <w:numFmt w:val="bullet"/>
      <w:lvlText w:val=""/>
      <w:lvlJc w:val="left"/>
      <w:pPr>
        <w:ind w:left="2520" w:hanging="360"/>
      </w:pPr>
      <w:rPr>
        <w:rFonts w:ascii="Symbol" w:hAnsi="Symbol" w:hint="default"/>
      </w:rPr>
    </w:lvl>
    <w:lvl w:ilvl="4" w:tplc="04030003" w:tentative="1">
      <w:start w:val="1"/>
      <w:numFmt w:val="bullet"/>
      <w:lvlText w:val="o"/>
      <w:lvlJc w:val="left"/>
      <w:pPr>
        <w:ind w:left="3240" w:hanging="360"/>
      </w:pPr>
      <w:rPr>
        <w:rFonts w:ascii="Courier New" w:hAnsi="Courier New" w:cs="Courier New" w:hint="default"/>
      </w:rPr>
    </w:lvl>
    <w:lvl w:ilvl="5" w:tplc="04030005" w:tentative="1">
      <w:start w:val="1"/>
      <w:numFmt w:val="bullet"/>
      <w:lvlText w:val=""/>
      <w:lvlJc w:val="left"/>
      <w:pPr>
        <w:ind w:left="3960" w:hanging="360"/>
      </w:pPr>
      <w:rPr>
        <w:rFonts w:ascii="Wingdings" w:hAnsi="Wingdings" w:hint="default"/>
      </w:rPr>
    </w:lvl>
    <w:lvl w:ilvl="6" w:tplc="04030001" w:tentative="1">
      <w:start w:val="1"/>
      <w:numFmt w:val="bullet"/>
      <w:lvlText w:val=""/>
      <w:lvlJc w:val="left"/>
      <w:pPr>
        <w:ind w:left="4680" w:hanging="360"/>
      </w:pPr>
      <w:rPr>
        <w:rFonts w:ascii="Symbol" w:hAnsi="Symbol" w:hint="default"/>
      </w:rPr>
    </w:lvl>
    <w:lvl w:ilvl="7" w:tplc="04030003" w:tentative="1">
      <w:start w:val="1"/>
      <w:numFmt w:val="bullet"/>
      <w:lvlText w:val="o"/>
      <w:lvlJc w:val="left"/>
      <w:pPr>
        <w:ind w:left="5400" w:hanging="360"/>
      </w:pPr>
      <w:rPr>
        <w:rFonts w:ascii="Courier New" w:hAnsi="Courier New" w:cs="Courier New" w:hint="default"/>
      </w:rPr>
    </w:lvl>
    <w:lvl w:ilvl="8" w:tplc="04030005" w:tentative="1">
      <w:start w:val="1"/>
      <w:numFmt w:val="bullet"/>
      <w:lvlText w:val=""/>
      <w:lvlJc w:val="left"/>
      <w:pPr>
        <w:ind w:left="6120" w:hanging="360"/>
      </w:pPr>
      <w:rPr>
        <w:rFonts w:ascii="Wingdings" w:hAnsi="Wingdings" w:hint="default"/>
      </w:rPr>
    </w:lvl>
  </w:abstractNum>
  <w:abstractNum w:abstractNumId="48">
    <w:nsid w:val="3DE412EE"/>
    <w:multiLevelType w:val="multilevel"/>
    <w:tmpl w:val="3350DD2E"/>
    <w:lvl w:ilvl="0">
      <w:start w:val="1"/>
      <w:numFmt w:val="decimal"/>
      <w:pStyle w:val="Ttol1"/>
      <w:lvlText w:val="%1"/>
      <w:lvlJc w:val="left"/>
      <w:pPr>
        <w:ind w:left="432" w:hanging="432"/>
      </w:pPr>
      <w:rPr>
        <w:rFonts w:hint="default"/>
        <w:b/>
        <w:i w:val="0"/>
        <w:color w:val="365F91" w:themeColor="accent1" w:themeShade="BF"/>
        <w14:cntxtAlts/>
      </w:rPr>
    </w:lvl>
    <w:lvl w:ilvl="1">
      <w:start w:val="1"/>
      <w:numFmt w:val="decimal"/>
      <w:pStyle w:val="Ttol2"/>
      <w:lvlText w:val="%1.%2"/>
      <w:lvlJc w:val="left"/>
      <w:pPr>
        <w:ind w:left="576" w:hanging="576"/>
      </w:pPr>
      <w:rPr>
        <w:rFonts w:hint="default"/>
      </w:rPr>
    </w:lvl>
    <w:lvl w:ilvl="2">
      <w:start w:val="1"/>
      <w:numFmt w:val="decimal"/>
      <w:pStyle w:val="Ttol3"/>
      <w:lvlText w:val="%1.%2.%3"/>
      <w:lvlJc w:val="left"/>
      <w:pPr>
        <w:ind w:left="720" w:hanging="720"/>
      </w:pPr>
      <w:rPr>
        <w:rFonts w:hint="default"/>
      </w:rPr>
    </w:lvl>
    <w:lvl w:ilvl="3">
      <w:start w:val="1"/>
      <w:numFmt w:val="decimal"/>
      <w:pStyle w:val="Ttol4"/>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9">
    <w:nsid w:val="3FCA796F"/>
    <w:multiLevelType w:val="hybridMultilevel"/>
    <w:tmpl w:val="5AD02FEC"/>
    <w:lvl w:ilvl="0" w:tplc="04030005">
      <w:start w:val="1"/>
      <w:numFmt w:val="bullet"/>
      <w:lvlText w:val=""/>
      <w:lvlJc w:val="left"/>
      <w:pPr>
        <w:ind w:left="720" w:hanging="360"/>
      </w:pPr>
      <w:rPr>
        <w:rFonts w:ascii="Wingdings" w:hAnsi="Wingdings"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50">
    <w:nsid w:val="41511451"/>
    <w:multiLevelType w:val="hybridMultilevel"/>
    <w:tmpl w:val="F0B26FA6"/>
    <w:lvl w:ilvl="0" w:tplc="AA0E61C6">
      <w:start w:val="1"/>
      <w:numFmt w:val="bullet"/>
      <w:lvlText w:val="-"/>
      <w:lvlJc w:val="left"/>
      <w:pPr>
        <w:ind w:left="720" w:hanging="360"/>
      </w:pPr>
      <w:rPr>
        <w:rFonts w:ascii="Arial" w:hAnsi="Arial"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1">
    <w:nsid w:val="42211ED2"/>
    <w:multiLevelType w:val="hybridMultilevel"/>
    <w:tmpl w:val="2438EDD4"/>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2">
    <w:nsid w:val="44E66D4E"/>
    <w:multiLevelType w:val="hybridMultilevel"/>
    <w:tmpl w:val="2CD407FE"/>
    <w:lvl w:ilvl="0" w:tplc="04030005">
      <w:start w:val="1"/>
      <w:numFmt w:val="bullet"/>
      <w:lvlText w:val=""/>
      <w:lvlJc w:val="left"/>
      <w:pPr>
        <w:ind w:left="360" w:hanging="360"/>
      </w:pPr>
      <w:rPr>
        <w:rFonts w:ascii="Wingdings" w:hAnsi="Wingdings" w:hint="default"/>
      </w:rPr>
    </w:lvl>
    <w:lvl w:ilvl="1" w:tplc="04030003" w:tentative="1">
      <w:start w:val="1"/>
      <w:numFmt w:val="bullet"/>
      <w:lvlText w:val="o"/>
      <w:lvlJc w:val="left"/>
      <w:pPr>
        <w:ind w:left="1080" w:hanging="360"/>
      </w:pPr>
      <w:rPr>
        <w:rFonts w:ascii="Courier New" w:hAnsi="Courier New" w:cs="Courier New" w:hint="default"/>
      </w:rPr>
    </w:lvl>
    <w:lvl w:ilvl="2" w:tplc="04030005" w:tentative="1">
      <w:start w:val="1"/>
      <w:numFmt w:val="bullet"/>
      <w:lvlText w:val=""/>
      <w:lvlJc w:val="left"/>
      <w:pPr>
        <w:ind w:left="1800" w:hanging="360"/>
      </w:pPr>
      <w:rPr>
        <w:rFonts w:ascii="Wingdings" w:hAnsi="Wingdings" w:hint="default"/>
      </w:rPr>
    </w:lvl>
    <w:lvl w:ilvl="3" w:tplc="04030001" w:tentative="1">
      <w:start w:val="1"/>
      <w:numFmt w:val="bullet"/>
      <w:lvlText w:val=""/>
      <w:lvlJc w:val="left"/>
      <w:pPr>
        <w:ind w:left="2520" w:hanging="360"/>
      </w:pPr>
      <w:rPr>
        <w:rFonts w:ascii="Symbol" w:hAnsi="Symbol" w:hint="default"/>
      </w:rPr>
    </w:lvl>
    <w:lvl w:ilvl="4" w:tplc="04030003" w:tentative="1">
      <w:start w:val="1"/>
      <w:numFmt w:val="bullet"/>
      <w:lvlText w:val="o"/>
      <w:lvlJc w:val="left"/>
      <w:pPr>
        <w:ind w:left="3240" w:hanging="360"/>
      </w:pPr>
      <w:rPr>
        <w:rFonts w:ascii="Courier New" w:hAnsi="Courier New" w:cs="Courier New" w:hint="default"/>
      </w:rPr>
    </w:lvl>
    <w:lvl w:ilvl="5" w:tplc="04030005" w:tentative="1">
      <w:start w:val="1"/>
      <w:numFmt w:val="bullet"/>
      <w:lvlText w:val=""/>
      <w:lvlJc w:val="left"/>
      <w:pPr>
        <w:ind w:left="3960" w:hanging="360"/>
      </w:pPr>
      <w:rPr>
        <w:rFonts w:ascii="Wingdings" w:hAnsi="Wingdings" w:hint="default"/>
      </w:rPr>
    </w:lvl>
    <w:lvl w:ilvl="6" w:tplc="04030001" w:tentative="1">
      <w:start w:val="1"/>
      <w:numFmt w:val="bullet"/>
      <w:lvlText w:val=""/>
      <w:lvlJc w:val="left"/>
      <w:pPr>
        <w:ind w:left="4680" w:hanging="360"/>
      </w:pPr>
      <w:rPr>
        <w:rFonts w:ascii="Symbol" w:hAnsi="Symbol" w:hint="default"/>
      </w:rPr>
    </w:lvl>
    <w:lvl w:ilvl="7" w:tplc="04030003" w:tentative="1">
      <w:start w:val="1"/>
      <w:numFmt w:val="bullet"/>
      <w:lvlText w:val="o"/>
      <w:lvlJc w:val="left"/>
      <w:pPr>
        <w:ind w:left="5400" w:hanging="360"/>
      </w:pPr>
      <w:rPr>
        <w:rFonts w:ascii="Courier New" w:hAnsi="Courier New" w:cs="Courier New" w:hint="default"/>
      </w:rPr>
    </w:lvl>
    <w:lvl w:ilvl="8" w:tplc="04030005" w:tentative="1">
      <w:start w:val="1"/>
      <w:numFmt w:val="bullet"/>
      <w:lvlText w:val=""/>
      <w:lvlJc w:val="left"/>
      <w:pPr>
        <w:ind w:left="6120" w:hanging="360"/>
      </w:pPr>
      <w:rPr>
        <w:rFonts w:ascii="Wingdings" w:hAnsi="Wingdings" w:hint="default"/>
      </w:rPr>
    </w:lvl>
  </w:abstractNum>
  <w:abstractNum w:abstractNumId="53">
    <w:nsid w:val="45982B5B"/>
    <w:multiLevelType w:val="hybridMultilevel"/>
    <w:tmpl w:val="414445F0"/>
    <w:lvl w:ilvl="0" w:tplc="1C4AA402">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
    <w:nsid w:val="47887E8F"/>
    <w:multiLevelType w:val="hybridMultilevel"/>
    <w:tmpl w:val="255E046C"/>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55">
    <w:nsid w:val="4AFF5E10"/>
    <w:multiLevelType w:val="hybridMultilevel"/>
    <w:tmpl w:val="959A9F18"/>
    <w:lvl w:ilvl="0" w:tplc="04030005">
      <w:start w:val="1"/>
      <w:numFmt w:val="bullet"/>
      <w:lvlText w:val=""/>
      <w:lvlJc w:val="left"/>
      <w:pPr>
        <w:ind w:left="720" w:hanging="360"/>
      </w:pPr>
      <w:rPr>
        <w:rFonts w:ascii="Wingdings" w:hAnsi="Wingdings"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56">
    <w:nsid w:val="4B467FB6"/>
    <w:multiLevelType w:val="hybridMultilevel"/>
    <w:tmpl w:val="14FA231A"/>
    <w:lvl w:ilvl="0" w:tplc="04030005">
      <w:start w:val="1"/>
      <w:numFmt w:val="bullet"/>
      <w:lvlText w:val=""/>
      <w:lvlJc w:val="left"/>
      <w:pPr>
        <w:ind w:left="720" w:hanging="360"/>
      </w:pPr>
      <w:rPr>
        <w:rFonts w:ascii="Wingdings" w:hAnsi="Wingdings"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57">
    <w:nsid w:val="4C687FC8"/>
    <w:multiLevelType w:val="hybridMultilevel"/>
    <w:tmpl w:val="4296C274"/>
    <w:lvl w:ilvl="0" w:tplc="04030005">
      <w:start w:val="1"/>
      <w:numFmt w:val="bullet"/>
      <w:lvlText w:val=""/>
      <w:lvlJc w:val="left"/>
      <w:pPr>
        <w:ind w:left="720" w:hanging="360"/>
      </w:pPr>
      <w:rPr>
        <w:rFonts w:ascii="Wingdings" w:hAnsi="Wingdings" w:hint="default"/>
        <w:b/>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58">
    <w:nsid w:val="4F0000AD"/>
    <w:multiLevelType w:val="hybridMultilevel"/>
    <w:tmpl w:val="273ECD14"/>
    <w:lvl w:ilvl="0" w:tplc="04030005">
      <w:start w:val="1"/>
      <w:numFmt w:val="bullet"/>
      <w:lvlText w:val=""/>
      <w:lvlJc w:val="left"/>
      <w:pPr>
        <w:ind w:left="720" w:hanging="360"/>
      </w:pPr>
      <w:rPr>
        <w:rFonts w:ascii="Wingdings" w:hAnsi="Wingdings"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59">
    <w:nsid w:val="518226D5"/>
    <w:multiLevelType w:val="hybridMultilevel"/>
    <w:tmpl w:val="CFE8A820"/>
    <w:lvl w:ilvl="0" w:tplc="40FEDD9A">
      <w:numFmt w:val="bullet"/>
      <w:lvlText w:val="-"/>
      <w:lvlJc w:val="left"/>
      <w:pPr>
        <w:ind w:left="720" w:hanging="360"/>
      </w:pPr>
      <w:rPr>
        <w:rFonts w:ascii="Verdana" w:eastAsiaTheme="minorHAnsi" w:hAnsi="Verdana" w:cs="Arial" w:hint="default"/>
        <w:sz w:val="24"/>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60">
    <w:nsid w:val="51A55FCA"/>
    <w:multiLevelType w:val="hybridMultilevel"/>
    <w:tmpl w:val="27740072"/>
    <w:lvl w:ilvl="0" w:tplc="04030001">
      <w:start w:val="1"/>
      <w:numFmt w:val="bullet"/>
      <w:lvlText w:val=""/>
      <w:lvlJc w:val="left"/>
      <w:pPr>
        <w:ind w:left="720" w:hanging="360"/>
      </w:pPr>
      <w:rPr>
        <w:rFonts w:ascii="Symbol" w:hAnsi="Symbol" w:hint="default"/>
      </w:rPr>
    </w:lvl>
    <w:lvl w:ilvl="1" w:tplc="04030003">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61">
    <w:nsid w:val="524A16E9"/>
    <w:multiLevelType w:val="hybridMultilevel"/>
    <w:tmpl w:val="2C9CD9E0"/>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62">
    <w:nsid w:val="52AD744F"/>
    <w:multiLevelType w:val="hybridMultilevel"/>
    <w:tmpl w:val="7BDE942A"/>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63">
    <w:nsid w:val="53761182"/>
    <w:multiLevelType w:val="hybridMultilevel"/>
    <w:tmpl w:val="B3484A98"/>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64">
    <w:nsid w:val="54935577"/>
    <w:multiLevelType w:val="hybridMultilevel"/>
    <w:tmpl w:val="3BD4B958"/>
    <w:lvl w:ilvl="0" w:tplc="997C9F44">
      <w:numFmt w:val="bullet"/>
      <w:lvlText w:val="-"/>
      <w:lvlJc w:val="left"/>
      <w:pPr>
        <w:ind w:left="720" w:hanging="360"/>
      </w:pPr>
      <w:rPr>
        <w:rFonts w:ascii="Arial" w:eastAsiaTheme="minorHAnsi" w:hAnsi="Arial" w:cs="Aria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65">
    <w:nsid w:val="55C53B9F"/>
    <w:multiLevelType w:val="hybridMultilevel"/>
    <w:tmpl w:val="3FCCFC46"/>
    <w:lvl w:ilvl="0" w:tplc="8BE40D66">
      <w:start w:val="1"/>
      <w:numFmt w:val="bullet"/>
      <w:lvlText w:val="-"/>
      <w:lvlJc w:val="left"/>
      <w:pPr>
        <w:ind w:left="720" w:hanging="360"/>
      </w:pPr>
      <w:rPr>
        <w:rFonts w:ascii="Arial" w:hAnsi="Arial" w:hint="default"/>
        <w:b/>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66">
    <w:nsid w:val="56524DA7"/>
    <w:multiLevelType w:val="hybridMultilevel"/>
    <w:tmpl w:val="8514F2BA"/>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67">
    <w:nsid w:val="569E30CE"/>
    <w:multiLevelType w:val="hybridMultilevel"/>
    <w:tmpl w:val="F5961240"/>
    <w:lvl w:ilvl="0" w:tplc="C5189E52">
      <w:start w:val="1"/>
      <w:numFmt w:val="bullet"/>
      <w:lvlText w:val=""/>
      <w:lvlJc w:val="left"/>
      <w:pPr>
        <w:ind w:left="720" w:hanging="360"/>
      </w:pPr>
      <w:rPr>
        <w:rFonts w:ascii="Symbol" w:hAnsi="Symbol" w:hint="default"/>
        <w:color w:val="auto"/>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68">
    <w:nsid w:val="5759475F"/>
    <w:multiLevelType w:val="hybridMultilevel"/>
    <w:tmpl w:val="8A3CB042"/>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69">
    <w:nsid w:val="58D23CE9"/>
    <w:multiLevelType w:val="hybridMultilevel"/>
    <w:tmpl w:val="CA325830"/>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70">
    <w:nsid w:val="58E458C9"/>
    <w:multiLevelType w:val="hybridMultilevel"/>
    <w:tmpl w:val="DB40DB20"/>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71">
    <w:nsid w:val="592D6866"/>
    <w:multiLevelType w:val="hybridMultilevel"/>
    <w:tmpl w:val="B2BEB1FA"/>
    <w:lvl w:ilvl="0" w:tplc="04030005">
      <w:start w:val="1"/>
      <w:numFmt w:val="bullet"/>
      <w:lvlText w:val=""/>
      <w:lvlJc w:val="left"/>
      <w:pPr>
        <w:tabs>
          <w:tab w:val="num" w:pos="720"/>
        </w:tabs>
        <w:ind w:left="720" w:hanging="360"/>
      </w:pPr>
      <w:rPr>
        <w:rFonts w:ascii="Wingdings" w:hAnsi="Wingdings" w:hint="default"/>
        <w:color w:val="auto"/>
      </w:rPr>
    </w:lvl>
    <w:lvl w:ilvl="1" w:tplc="04030003" w:tentative="1">
      <w:start w:val="1"/>
      <w:numFmt w:val="bullet"/>
      <w:lvlText w:val="o"/>
      <w:lvlJc w:val="left"/>
      <w:pPr>
        <w:tabs>
          <w:tab w:val="num" w:pos="1440"/>
        </w:tabs>
        <w:ind w:left="1440" w:hanging="360"/>
      </w:pPr>
      <w:rPr>
        <w:rFonts w:ascii="Courier New" w:hAnsi="Courier New" w:cs="Courier New" w:hint="default"/>
      </w:rPr>
    </w:lvl>
    <w:lvl w:ilvl="2" w:tplc="04030005" w:tentative="1">
      <w:start w:val="1"/>
      <w:numFmt w:val="bullet"/>
      <w:lvlText w:val=""/>
      <w:lvlJc w:val="left"/>
      <w:pPr>
        <w:tabs>
          <w:tab w:val="num" w:pos="2160"/>
        </w:tabs>
        <w:ind w:left="2160" w:hanging="360"/>
      </w:pPr>
      <w:rPr>
        <w:rFonts w:ascii="Wingdings" w:hAnsi="Wingdings" w:hint="default"/>
      </w:rPr>
    </w:lvl>
    <w:lvl w:ilvl="3" w:tplc="04030001" w:tentative="1">
      <w:start w:val="1"/>
      <w:numFmt w:val="bullet"/>
      <w:lvlText w:val=""/>
      <w:lvlJc w:val="left"/>
      <w:pPr>
        <w:tabs>
          <w:tab w:val="num" w:pos="2880"/>
        </w:tabs>
        <w:ind w:left="2880" w:hanging="360"/>
      </w:pPr>
      <w:rPr>
        <w:rFonts w:ascii="Symbol" w:hAnsi="Symbol" w:hint="default"/>
      </w:rPr>
    </w:lvl>
    <w:lvl w:ilvl="4" w:tplc="04030003" w:tentative="1">
      <w:start w:val="1"/>
      <w:numFmt w:val="bullet"/>
      <w:lvlText w:val="o"/>
      <w:lvlJc w:val="left"/>
      <w:pPr>
        <w:tabs>
          <w:tab w:val="num" w:pos="3600"/>
        </w:tabs>
        <w:ind w:left="3600" w:hanging="360"/>
      </w:pPr>
      <w:rPr>
        <w:rFonts w:ascii="Courier New" w:hAnsi="Courier New" w:cs="Courier New" w:hint="default"/>
      </w:rPr>
    </w:lvl>
    <w:lvl w:ilvl="5" w:tplc="04030005" w:tentative="1">
      <w:start w:val="1"/>
      <w:numFmt w:val="bullet"/>
      <w:lvlText w:val=""/>
      <w:lvlJc w:val="left"/>
      <w:pPr>
        <w:tabs>
          <w:tab w:val="num" w:pos="4320"/>
        </w:tabs>
        <w:ind w:left="4320" w:hanging="360"/>
      </w:pPr>
      <w:rPr>
        <w:rFonts w:ascii="Wingdings" w:hAnsi="Wingdings" w:hint="default"/>
      </w:rPr>
    </w:lvl>
    <w:lvl w:ilvl="6" w:tplc="04030001" w:tentative="1">
      <w:start w:val="1"/>
      <w:numFmt w:val="bullet"/>
      <w:lvlText w:val=""/>
      <w:lvlJc w:val="left"/>
      <w:pPr>
        <w:tabs>
          <w:tab w:val="num" w:pos="5040"/>
        </w:tabs>
        <w:ind w:left="5040" w:hanging="360"/>
      </w:pPr>
      <w:rPr>
        <w:rFonts w:ascii="Symbol" w:hAnsi="Symbol" w:hint="default"/>
      </w:rPr>
    </w:lvl>
    <w:lvl w:ilvl="7" w:tplc="04030003" w:tentative="1">
      <w:start w:val="1"/>
      <w:numFmt w:val="bullet"/>
      <w:lvlText w:val="o"/>
      <w:lvlJc w:val="left"/>
      <w:pPr>
        <w:tabs>
          <w:tab w:val="num" w:pos="5760"/>
        </w:tabs>
        <w:ind w:left="5760" w:hanging="360"/>
      </w:pPr>
      <w:rPr>
        <w:rFonts w:ascii="Courier New" w:hAnsi="Courier New" w:cs="Courier New" w:hint="default"/>
      </w:rPr>
    </w:lvl>
    <w:lvl w:ilvl="8" w:tplc="04030005" w:tentative="1">
      <w:start w:val="1"/>
      <w:numFmt w:val="bullet"/>
      <w:lvlText w:val=""/>
      <w:lvlJc w:val="left"/>
      <w:pPr>
        <w:tabs>
          <w:tab w:val="num" w:pos="6480"/>
        </w:tabs>
        <w:ind w:left="6480" w:hanging="360"/>
      </w:pPr>
      <w:rPr>
        <w:rFonts w:ascii="Wingdings" w:hAnsi="Wingdings" w:hint="default"/>
      </w:rPr>
    </w:lvl>
  </w:abstractNum>
  <w:abstractNum w:abstractNumId="72">
    <w:nsid w:val="594E4F22"/>
    <w:multiLevelType w:val="hybridMultilevel"/>
    <w:tmpl w:val="1D5CBD6E"/>
    <w:lvl w:ilvl="0" w:tplc="CDBC53E8">
      <w:start w:val="1"/>
      <w:numFmt w:val="bullet"/>
      <w:lvlText w:val="-"/>
      <w:lvlJc w:val="left"/>
      <w:pPr>
        <w:ind w:left="720" w:hanging="360"/>
      </w:pPr>
      <w:rPr>
        <w:rFonts w:ascii="Arial" w:hAnsi="Aria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73">
    <w:nsid w:val="595C6AC6"/>
    <w:multiLevelType w:val="hybridMultilevel"/>
    <w:tmpl w:val="E200CEB4"/>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74">
    <w:nsid w:val="5A1D52B9"/>
    <w:multiLevelType w:val="hybridMultilevel"/>
    <w:tmpl w:val="4680187E"/>
    <w:lvl w:ilvl="0" w:tplc="04030003">
      <w:start w:val="1"/>
      <w:numFmt w:val="bullet"/>
      <w:lvlText w:val="o"/>
      <w:lvlJc w:val="left"/>
      <w:pPr>
        <w:ind w:left="1428" w:hanging="360"/>
      </w:pPr>
      <w:rPr>
        <w:rFonts w:ascii="Courier New" w:hAnsi="Courier New" w:cs="Courier New" w:hint="default"/>
      </w:rPr>
    </w:lvl>
    <w:lvl w:ilvl="1" w:tplc="04030003" w:tentative="1">
      <w:start w:val="1"/>
      <w:numFmt w:val="bullet"/>
      <w:lvlText w:val="o"/>
      <w:lvlJc w:val="left"/>
      <w:pPr>
        <w:ind w:left="2148" w:hanging="360"/>
      </w:pPr>
      <w:rPr>
        <w:rFonts w:ascii="Courier New" w:hAnsi="Courier New" w:cs="Courier New" w:hint="default"/>
      </w:rPr>
    </w:lvl>
    <w:lvl w:ilvl="2" w:tplc="04030005" w:tentative="1">
      <w:start w:val="1"/>
      <w:numFmt w:val="bullet"/>
      <w:lvlText w:val=""/>
      <w:lvlJc w:val="left"/>
      <w:pPr>
        <w:ind w:left="2868" w:hanging="360"/>
      </w:pPr>
      <w:rPr>
        <w:rFonts w:ascii="Wingdings" w:hAnsi="Wingdings" w:hint="default"/>
      </w:rPr>
    </w:lvl>
    <w:lvl w:ilvl="3" w:tplc="04030001" w:tentative="1">
      <w:start w:val="1"/>
      <w:numFmt w:val="bullet"/>
      <w:lvlText w:val=""/>
      <w:lvlJc w:val="left"/>
      <w:pPr>
        <w:ind w:left="3588" w:hanging="360"/>
      </w:pPr>
      <w:rPr>
        <w:rFonts w:ascii="Symbol" w:hAnsi="Symbol" w:hint="default"/>
      </w:rPr>
    </w:lvl>
    <w:lvl w:ilvl="4" w:tplc="04030003" w:tentative="1">
      <w:start w:val="1"/>
      <w:numFmt w:val="bullet"/>
      <w:lvlText w:val="o"/>
      <w:lvlJc w:val="left"/>
      <w:pPr>
        <w:ind w:left="4308" w:hanging="360"/>
      </w:pPr>
      <w:rPr>
        <w:rFonts w:ascii="Courier New" w:hAnsi="Courier New" w:cs="Courier New" w:hint="default"/>
      </w:rPr>
    </w:lvl>
    <w:lvl w:ilvl="5" w:tplc="04030005" w:tentative="1">
      <w:start w:val="1"/>
      <w:numFmt w:val="bullet"/>
      <w:lvlText w:val=""/>
      <w:lvlJc w:val="left"/>
      <w:pPr>
        <w:ind w:left="5028" w:hanging="360"/>
      </w:pPr>
      <w:rPr>
        <w:rFonts w:ascii="Wingdings" w:hAnsi="Wingdings" w:hint="default"/>
      </w:rPr>
    </w:lvl>
    <w:lvl w:ilvl="6" w:tplc="04030001" w:tentative="1">
      <w:start w:val="1"/>
      <w:numFmt w:val="bullet"/>
      <w:lvlText w:val=""/>
      <w:lvlJc w:val="left"/>
      <w:pPr>
        <w:ind w:left="5748" w:hanging="360"/>
      </w:pPr>
      <w:rPr>
        <w:rFonts w:ascii="Symbol" w:hAnsi="Symbol" w:hint="default"/>
      </w:rPr>
    </w:lvl>
    <w:lvl w:ilvl="7" w:tplc="04030003" w:tentative="1">
      <w:start w:val="1"/>
      <w:numFmt w:val="bullet"/>
      <w:lvlText w:val="o"/>
      <w:lvlJc w:val="left"/>
      <w:pPr>
        <w:ind w:left="6468" w:hanging="360"/>
      </w:pPr>
      <w:rPr>
        <w:rFonts w:ascii="Courier New" w:hAnsi="Courier New" w:cs="Courier New" w:hint="default"/>
      </w:rPr>
    </w:lvl>
    <w:lvl w:ilvl="8" w:tplc="04030005" w:tentative="1">
      <w:start w:val="1"/>
      <w:numFmt w:val="bullet"/>
      <w:lvlText w:val=""/>
      <w:lvlJc w:val="left"/>
      <w:pPr>
        <w:ind w:left="7188" w:hanging="360"/>
      </w:pPr>
      <w:rPr>
        <w:rFonts w:ascii="Wingdings" w:hAnsi="Wingdings" w:hint="default"/>
      </w:rPr>
    </w:lvl>
  </w:abstractNum>
  <w:abstractNum w:abstractNumId="75">
    <w:nsid w:val="5CC00B45"/>
    <w:multiLevelType w:val="hybridMultilevel"/>
    <w:tmpl w:val="A98496FC"/>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76">
    <w:nsid w:val="5E4A15D9"/>
    <w:multiLevelType w:val="hybridMultilevel"/>
    <w:tmpl w:val="D35E5CD6"/>
    <w:lvl w:ilvl="0" w:tplc="04030001">
      <w:start w:val="1"/>
      <w:numFmt w:val="bullet"/>
      <w:lvlText w:val=""/>
      <w:lvlJc w:val="left"/>
      <w:pPr>
        <w:ind w:left="720" w:hanging="360"/>
      </w:pPr>
      <w:rPr>
        <w:rFonts w:ascii="Symbol" w:hAnsi="Symbol" w:hint="default"/>
      </w:rPr>
    </w:lvl>
    <w:lvl w:ilvl="1" w:tplc="04030003">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77">
    <w:nsid w:val="647D6B89"/>
    <w:multiLevelType w:val="hybridMultilevel"/>
    <w:tmpl w:val="B824B1C6"/>
    <w:lvl w:ilvl="0" w:tplc="CDBC53E8">
      <w:start w:val="1"/>
      <w:numFmt w:val="bullet"/>
      <w:lvlText w:val="-"/>
      <w:lvlJc w:val="left"/>
      <w:pPr>
        <w:tabs>
          <w:tab w:val="num" w:pos="360"/>
        </w:tabs>
        <w:ind w:left="360" w:hanging="360"/>
      </w:pPr>
      <w:rPr>
        <w:rFonts w:ascii="Arial" w:hAnsi="Aria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8">
    <w:nsid w:val="66686B6D"/>
    <w:multiLevelType w:val="hybridMultilevel"/>
    <w:tmpl w:val="F3CC5BE2"/>
    <w:lvl w:ilvl="0" w:tplc="40FEDD9A">
      <w:numFmt w:val="bullet"/>
      <w:lvlText w:val="-"/>
      <w:lvlJc w:val="left"/>
      <w:pPr>
        <w:ind w:left="1080" w:hanging="360"/>
      </w:pPr>
      <w:rPr>
        <w:rFonts w:ascii="Verdana" w:eastAsiaTheme="minorHAnsi" w:hAnsi="Verdana" w:cs="Arial" w:hint="default"/>
        <w:sz w:val="24"/>
      </w:rPr>
    </w:lvl>
    <w:lvl w:ilvl="1" w:tplc="04030003" w:tentative="1">
      <w:start w:val="1"/>
      <w:numFmt w:val="bullet"/>
      <w:lvlText w:val="o"/>
      <w:lvlJc w:val="left"/>
      <w:pPr>
        <w:ind w:left="1800" w:hanging="360"/>
      </w:pPr>
      <w:rPr>
        <w:rFonts w:ascii="Courier New" w:hAnsi="Courier New" w:cs="Courier New" w:hint="default"/>
      </w:rPr>
    </w:lvl>
    <w:lvl w:ilvl="2" w:tplc="04030005" w:tentative="1">
      <w:start w:val="1"/>
      <w:numFmt w:val="bullet"/>
      <w:lvlText w:val=""/>
      <w:lvlJc w:val="left"/>
      <w:pPr>
        <w:ind w:left="2520" w:hanging="360"/>
      </w:pPr>
      <w:rPr>
        <w:rFonts w:ascii="Wingdings" w:hAnsi="Wingdings" w:hint="default"/>
      </w:rPr>
    </w:lvl>
    <w:lvl w:ilvl="3" w:tplc="04030001" w:tentative="1">
      <w:start w:val="1"/>
      <w:numFmt w:val="bullet"/>
      <w:lvlText w:val=""/>
      <w:lvlJc w:val="left"/>
      <w:pPr>
        <w:ind w:left="3240" w:hanging="360"/>
      </w:pPr>
      <w:rPr>
        <w:rFonts w:ascii="Symbol" w:hAnsi="Symbol" w:hint="default"/>
      </w:rPr>
    </w:lvl>
    <w:lvl w:ilvl="4" w:tplc="04030003" w:tentative="1">
      <w:start w:val="1"/>
      <w:numFmt w:val="bullet"/>
      <w:lvlText w:val="o"/>
      <w:lvlJc w:val="left"/>
      <w:pPr>
        <w:ind w:left="3960" w:hanging="360"/>
      </w:pPr>
      <w:rPr>
        <w:rFonts w:ascii="Courier New" w:hAnsi="Courier New" w:cs="Courier New" w:hint="default"/>
      </w:rPr>
    </w:lvl>
    <w:lvl w:ilvl="5" w:tplc="04030005" w:tentative="1">
      <w:start w:val="1"/>
      <w:numFmt w:val="bullet"/>
      <w:lvlText w:val=""/>
      <w:lvlJc w:val="left"/>
      <w:pPr>
        <w:ind w:left="4680" w:hanging="360"/>
      </w:pPr>
      <w:rPr>
        <w:rFonts w:ascii="Wingdings" w:hAnsi="Wingdings" w:hint="default"/>
      </w:rPr>
    </w:lvl>
    <w:lvl w:ilvl="6" w:tplc="04030001" w:tentative="1">
      <w:start w:val="1"/>
      <w:numFmt w:val="bullet"/>
      <w:lvlText w:val=""/>
      <w:lvlJc w:val="left"/>
      <w:pPr>
        <w:ind w:left="5400" w:hanging="360"/>
      </w:pPr>
      <w:rPr>
        <w:rFonts w:ascii="Symbol" w:hAnsi="Symbol" w:hint="default"/>
      </w:rPr>
    </w:lvl>
    <w:lvl w:ilvl="7" w:tplc="04030003" w:tentative="1">
      <w:start w:val="1"/>
      <w:numFmt w:val="bullet"/>
      <w:lvlText w:val="o"/>
      <w:lvlJc w:val="left"/>
      <w:pPr>
        <w:ind w:left="6120" w:hanging="360"/>
      </w:pPr>
      <w:rPr>
        <w:rFonts w:ascii="Courier New" w:hAnsi="Courier New" w:cs="Courier New" w:hint="default"/>
      </w:rPr>
    </w:lvl>
    <w:lvl w:ilvl="8" w:tplc="04030005" w:tentative="1">
      <w:start w:val="1"/>
      <w:numFmt w:val="bullet"/>
      <w:lvlText w:val=""/>
      <w:lvlJc w:val="left"/>
      <w:pPr>
        <w:ind w:left="6840" w:hanging="360"/>
      </w:pPr>
      <w:rPr>
        <w:rFonts w:ascii="Wingdings" w:hAnsi="Wingdings" w:hint="default"/>
      </w:rPr>
    </w:lvl>
  </w:abstractNum>
  <w:abstractNum w:abstractNumId="79">
    <w:nsid w:val="668126DC"/>
    <w:multiLevelType w:val="hybridMultilevel"/>
    <w:tmpl w:val="0CA2DCC4"/>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80">
    <w:nsid w:val="67AF015B"/>
    <w:multiLevelType w:val="hybridMultilevel"/>
    <w:tmpl w:val="4934BE92"/>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81">
    <w:nsid w:val="68264F9C"/>
    <w:multiLevelType w:val="hybridMultilevel"/>
    <w:tmpl w:val="5010DF68"/>
    <w:lvl w:ilvl="0" w:tplc="04030005">
      <w:start w:val="1"/>
      <w:numFmt w:val="bullet"/>
      <w:lvlText w:val=""/>
      <w:lvlJc w:val="left"/>
      <w:pPr>
        <w:ind w:left="780" w:hanging="360"/>
      </w:pPr>
      <w:rPr>
        <w:rFonts w:ascii="Wingdings" w:hAnsi="Wingdings" w:hint="default"/>
      </w:rPr>
    </w:lvl>
    <w:lvl w:ilvl="1" w:tplc="04030003" w:tentative="1">
      <w:start w:val="1"/>
      <w:numFmt w:val="bullet"/>
      <w:lvlText w:val="o"/>
      <w:lvlJc w:val="left"/>
      <w:pPr>
        <w:ind w:left="1500" w:hanging="360"/>
      </w:pPr>
      <w:rPr>
        <w:rFonts w:ascii="Courier New" w:hAnsi="Courier New" w:cs="Courier New" w:hint="default"/>
      </w:rPr>
    </w:lvl>
    <w:lvl w:ilvl="2" w:tplc="04030005" w:tentative="1">
      <w:start w:val="1"/>
      <w:numFmt w:val="bullet"/>
      <w:lvlText w:val=""/>
      <w:lvlJc w:val="left"/>
      <w:pPr>
        <w:ind w:left="2220" w:hanging="360"/>
      </w:pPr>
      <w:rPr>
        <w:rFonts w:ascii="Wingdings" w:hAnsi="Wingdings" w:hint="default"/>
      </w:rPr>
    </w:lvl>
    <w:lvl w:ilvl="3" w:tplc="04030001" w:tentative="1">
      <w:start w:val="1"/>
      <w:numFmt w:val="bullet"/>
      <w:lvlText w:val=""/>
      <w:lvlJc w:val="left"/>
      <w:pPr>
        <w:ind w:left="2940" w:hanging="360"/>
      </w:pPr>
      <w:rPr>
        <w:rFonts w:ascii="Symbol" w:hAnsi="Symbol" w:hint="default"/>
      </w:rPr>
    </w:lvl>
    <w:lvl w:ilvl="4" w:tplc="04030003" w:tentative="1">
      <w:start w:val="1"/>
      <w:numFmt w:val="bullet"/>
      <w:lvlText w:val="o"/>
      <w:lvlJc w:val="left"/>
      <w:pPr>
        <w:ind w:left="3660" w:hanging="360"/>
      </w:pPr>
      <w:rPr>
        <w:rFonts w:ascii="Courier New" w:hAnsi="Courier New" w:cs="Courier New" w:hint="default"/>
      </w:rPr>
    </w:lvl>
    <w:lvl w:ilvl="5" w:tplc="04030005" w:tentative="1">
      <w:start w:val="1"/>
      <w:numFmt w:val="bullet"/>
      <w:lvlText w:val=""/>
      <w:lvlJc w:val="left"/>
      <w:pPr>
        <w:ind w:left="4380" w:hanging="360"/>
      </w:pPr>
      <w:rPr>
        <w:rFonts w:ascii="Wingdings" w:hAnsi="Wingdings" w:hint="default"/>
      </w:rPr>
    </w:lvl>
    <w:lvl w:ilvl="6" w:tplc="04030001" w:tentative="1">
      <w:start w:val="1"/>
      <w:numFmt w:val="bullet"/>
      <w:lvlText w:val=""/>
      <w:lvlJc w:val="left"/>
      <w:pPr>
        <w:ind w:left="5100" w:hanging="360"/>
      </w:pPr>
      <w:rPr>
        <w:rFonts w:ascii="Symbol" w:hAnsi="Symbol" w:hint="default"/>
      </w:rPr>
    </w:lvl>
    <w:lvl w:ilvl="7" w:tplc="04030003" w:tentative="1">
      <w:start w:val="1"/>
      <w:numFmt w:val="bullet"/>
      <w:lvlText w:val="o"/>
      <w:lvlJc w:val="left"/>
      <w:pPr>
        <w:ind w:left="5820" w:hanging="360"/>
      </w:pPr>
      <w:rPr>
        <w:rFonts w:ascii="Courier New" w:hAnsi="Courier New" w:cs="Courier New" w:hint="default"/>
      </w:rPr>
    </w:lvl>
    <w:lvl w:ilvl="8" w:tplc="04030005" w:tentative="1">
      <w:start w:val="1"/>
      <w:numFmt w:val="bullet"/>
      <w:lvlText w:val=""/>
      <w:lvlJc w:val="left"/>
      <w:pPr>
        <w:ind w:left="6540" w:hanging="360"/>
      </w:pPr>
      <w:rPr>
        <w:rFonts w:ascii="Wingdings" w:hAnsi="Wingdings" w:hint="default"/>
      </w:rPr>
    </w:lvl>
  </w:abstractNum>
  <w:abstractNum w:abstractNumId="82">
    <w:nsid w:val="6A965D2C"/>
    <w:multiLevelType w:val="hybridMultilevel"/>
    <w:tmpl w:val="6E84171A"/>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83">
    <w:nsid w:val="6B917515"/>
    <w:multiLevelType w:val="hybridMultilevel"/>
    <w:tmpl w:val="4CEC873E"/>
    <w:lvl w:ilvl="0" w:tplc="04030001">
      <w:start w:val="1"/>
      <w:numFmt w:val="bullet"/>
      <w:lvlText w:val=""/>
      <w:lvlJc w:val="left"/>
      <w:pPr>
        <w:ind w:left="720" w:hanging="360"/>
      </w:pPr>
      <w:rPr>
        <w:rFonts w:ascii="Symbol" w:hAnsi="Symbol" w:hint="default"/>
      </w:rPr>
    </w:lvl>
    <w:lvl w:ilvl="1" w:tplc="DDE06CAE">
      <w:numFmt w:val="bullet"/>
      <w:lvlText w:val="-"/>
      <w:lvlJc w:val="left"/>
      <w:pPr>
        <w:ind w:left="1440" w:hanging="360"/>
      </w:pPr>
      <w:rPr>
        <w:rFonts w:ascii="Arial" w:eastAsiaTheme="minorHAnsi" w:hAnsi="Arial" w:cs="Arial" w:hint="default"/>
        <w:color w:val="5C5C5A"/>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84">
    <w:nsid w:val="6C344550"/>
    <w:multiLevelType w:val="hybridMultilevel"/>
    <w:tmpl w:val="C1CC2F4C"/>
    <w:lvl w:ilvl="0" w:tplc="1C4AA402">
      <w:start w:val="1"/>
      <w:numFmt w:val="bullet"/>
      <w:lvlText w:val=""/>
      <w:lvlPicBulletId w:val="0"/>
      <w:lvlJc w:val="left"/>
      <w:pPr>
        <w:ind w:left="782" w:hanging="360"/>
      </w:pPr>
      <w:rPr>
        <w:rFonts w:ascii="Symbol" w:hAnsi="Symbol" w:hint="default"/>
        <w:color w:val="auto"/>
      </w:rPr>
    </w:lvl>
    <w:lvl w:ilvl="1" w:tplc="0C0A0003" w:tentative="1">
      <w:start w:val="1"/>
      <w:numFmt w:val="bullet"/>
      <w:lvlText w:val="o"/>
      <w:lvlJc w:val="left"/>
      <w:pPr>
        <w:ind w:left="1502" w:hanging="360"/>
      </w:pPr>
      <w:rPr>
        <w:rFonts w:ascii="Courier New" w:hAnsi="Courier New" w:cs="Courier New" w:hint="default"/>
      </w:rPr>
    </w:lvl>
    <w:lvl w:ilvl="2" w:tplc="0C0A0005" w:tentative="1">
      <w:start w:val="1"/>
      <w:numFmt w:val="bullet"/>
      <w:lvlText w:val=""/>
      <w:lvlJc w:val="left"/>
      <w:pPr>
        <w:ind w:left="2222" w:hanging="360"/>
      </w:pPr>
      <w:rPr>
        <w:rFonts w:ascii="Wingdings" w:hAnsi="Wingdings" w:hint="default"/>
      </w:rPr>
    </w:lvl>
    <w:lvl w:ilvl="3" w:tplc="0C0A0001" w:tentative="1">
      <w:start w:val="1"/>
      <w:numFmt w:val="bullet"/>
      <w:lvlText w:val=""/>
      <w:lvlJc w:val="left"/>
      <w:pPr>
        <w:ind w:left="2942" w:hanging="360"/>
      </w:pPr>
      <w:rPr>
        <w:rFonts w:ascii="Symbol" w:hAnsi="Symbol" w:hint="default"/>
      </w:rPr>
    </w:lvl>
    <w:lvl w:ilvl="4" w:tplc="0C0A0003" w:tentative="1">
      <w:start w:val="1"/>
      <w:numFmt w:val="bullet"/>
      <w:lvlText w:val="o"/>
      <w:lvlJc w:val="left"/>
      <w:pPr>
        <w:ind w:left="3662" w:hanging="360"/>
      </w:pPr>
      <w:rPr>
        <w:rFonts w:ascii="Courier New" w:hAnsi="Courier New" w:cs="Courier New" w:hint="default"/>
      </w:rPr>
    </w:lvl>
    <w:lvl w:ilvl="5" w:tplc="0C0A0005" w:tentative="1">
      <w:start w:val="1"/>
      <w:numFmt w:val="bullet"/>
      <w:lvlText w:val=""/>
      <w:lvlJc w:val="left"/>
      <w:pPr>
        <w:ind w:left="4382" w:hanging="360"/>
      </w:pPr>
      <w:rPr>
        <w:rFonts w:ascii="Wingdings" w:hAnsi="Wingdings" w:hint="default"/>
      </w:rPr>
    </w:lvl>
    <w:lvl w:ilvl="6" w:tplc="0C0A0001" w:tentative="1">
      <w:start w:val="1"/>
      <w:numFmt w:val="bullet"/>
      <w:lvlText w:val=""/>
      <w:lvlJc w:val="left"/>
      <w:pPr>
        <w:ind w:left="5102" w:hanging="360"/>
      </w:pPr>
      <w:rPr>
        <w:rFonts w:ascii="Symbol" w:hAnsi="Symbol" w:hint="default"/>
      </w:rPr>
    </w:lvl>
    <w:lvl w:ilvl="7" w:tplc="0C0A0003" w:tentative="1">
      <w:start w:val="1"/>
      <w:numFmt w:val="bullet"/>
      <w:lvlText w:val="o"/>
      <w:lvlJc w:val="left"/>
      <w:pPr>
        <w:ind w:left="5822" w:hanging="360"/>
      </w:pPr>
      <w:rPr>
        <w:rFonts w:ascii="Courier New" w:hAnsi="Courier New" w:cs="Courier New" w:hint="default"/>
      </w:rPr>
    </w:lvl>
    <w:lvl w:ilvl="8" w:tplc="0C0A0005" w:tentative="1">
      <w:start w:val="1"/>
      <w:numFmt w:val="bullet"/>
      <w:lvlText w:val=""/>
      <w:lvlJc w:val="left"/>
      <w:pPr>
        <w:ind w:left="6542" w:hanging="360"/>
      </w:pPr>
      <w:rPr>
        <w:rFonts w:ascii="Wingdings" w:hAnsi="Wingdings" w:hint="default"/>
      </w:rPr>
    </w:lvl>
  </w:abstractNum>
  <w:abstractNum w:abstractNumId="85">
    <w:nsid w:val="6C7510D2"/>
    <w:multiLevelType w:val="hybridMultilevel"/>
    <w:tmpl w:val="F9609B78"/>
    <w:lvl w:ilvl="0" w:tplc="04030005">
      <w:start w:val="1"/>
      <w:numFmt w:val="bullet"/>
      <w:lvlText w:val=""/>
      <w:lvlJc w:val="left"/>
      <w:pPr>
        <w:ind w:left="720" w:hanging="360"/>
      </w:pPr>
      <w:rPr>
        <w:rFonts w:ascii="Wingdings" w:hAnsi="Wingdings"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86">
    <w:nsid w:val="6E7308AF"/>
    <w:multiLevelType w:val="hybridMultilevel"/>
    <w:tmpl w:val="4618777A"/>
    <w:lvl w:ilvl="0" w:tplc="91BEA03C">
      <w:start w:val="1"/>
      <w:numFmt w:val="bullet"/>
      <w:lvlText w:val="‒"/>
      <w:lvlJc w:val="left"/>
      <w:pPr>
        <w:ind w:left="720" w:hanging="360"/>
      </w:pPr>
      <w:rPr>
        <w:rFonts w:ascii="Arial" w:hAnsi="Arial" w:hint="default"/>
        <w:color w:val="1F497D" w:themeColor="text2"/>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87">
    <w:nsid w:val="70442A0B"/>
    <w:multiLevelType w:val="hybridMultilevel"/>
    <w:tmpl w:val="468CE0B2"/>
    <w:lvl w:ilvl="0" w:tplc="04030005">
      <w:start w:val="1"/>
      <w:numFmt w:val="bullet"/>
      <w:lvlText w:val=""/>
      <w:lvlJc w:val="left"/>
      <w:pPr>
        <w:ind w:left="720" w:hanging="360"/>
      </w:pPr>
      <w:rPr>
        <w:rFonts w:ascii="Wingdings" w:hAnsi="Wingdings"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88">
    <w:nsid w:val="70C22499"/>
    <w:multiLevelType w:val="hybridMultilevel"/>
    <w:tmpl w:val="90ACB072"/>
    <w:lvl w:ilvl="0" w:tplc="C5189E52">
      <w:start w:val="1"/>
      <w:numFmt w:val="bullet"/>
      <w:lvlText w:val=""/>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9">
    <w:nsid w:val="712E3D22"/>
    <w:multiLevelType w:val="hybridMultilevel"/>
    <w:tmpl w:val="286C2EB6"/>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90">
    <w:nsid w:val="71452F67"/>
    <w:multiLevelType w:val="hybridMultilevel"/>
    <w:tmpl w:val="74F439C0"/>
    <w:lvl w:ilvl="0" w:tplc="04030001">
      <w:start w:val="1"/>
      <w:numFmt w:val="bullet"/>
      <w:lvlText w:val=""/>
      <w:lvlJc w:val="left"/>
      <w:pPr>
        <w:ind w:left="778" w:hanging="360"/>
      </w:pPr>
      <w:rPr>
        <w:rFonts w:ascii="Symbol" w:hAnsi="Symbol" w:hint="default"/>
      </w:rPr>
    </w:lvl>
    <w:lvl w:ilvl="1" w:tplc="04030003" w:tentative="1">
      <w:start w:val="1"/>
      <w:numFmt w:val="bullet"/>
      <w:lvlText w:val="o"/>
      <w:lvlJc w:val="left"/>
      <w:pPr>
        <w:ind w:left="1498" w:hanging="360"/>
      </w:pPr>
      <w:rPr>
        <w:rFonts w:ascii="Courier New" w:hAnsi="Courier New" w:cs="Courier New" w:hint="default"/>
      </w:rPr>
    </w:lvl>
    <w:lvl w:ilvl="2" w:tplc="04030005" w:tentative="1">
      <w:start w:val="1"/>
      <w:numFmt w:val="bullet"/>
      <w:lvlText w:val=""/>
      <w:lvlJc w:val="left"/>
      <w:pPr>
        <w:ind w:left="2218" w:hanging="360"/>
      </w:pPr>
      <w:rPr>
        <w:rFonts w:ascii="Wingdings" w:hAnsi="Wingdings" w:hint="default"/>
      </w:rPr>
    </w:lvl>
    <w:lvl w:ilvl="3" w:tplc="04030001" w:tentative="1">
      <w:start w:val="1"/>
      <w:numFmt w:val="bullet"/>
      <w:lvlText w:val=""/>
      <w:lvlJc w:val="left"/>
      <w:pPr>
        <w:ind w:left="2938" w:hanging="360"/>
      </w:pPr>
      <w:rPr>
        <w:rFonts w:ascii="Symbol" w:hAnsi="Symbol" w:hint="default"/>
      </w:rPr>
    </w:lvl>
    <w:lvl w:ilvl="4" w:tplc="04030003" w:tentative="1">
      <w:start w:val="1"/>
      <w:numFmt w:val="bullet"/>
      <w:lvlText w:val="o"/>
      <w:lvlJc w:val="left"/>
      <w:pPr>
        <w:ind w:left="3658" w:hanging="360"/>
      </w:pPr>
      <w:rPr>
        <w:rFonts w:ascii="Courier New" w:hAnsi="Courier New" w:cs="Courier New" w:hint="default"/>
      </w:rPr>
    </w:lvl>
    <w:lvl w:ilvl="5" w:tplc="04030005" w:tentative="1">
      <w:start w:val="1"/>
      <w:numFmt w:val="bullet"/>
      <w:lvlText w:val=""/>
      <w:lvlJc w:val="left"/>
      <w:pPr>
        <w:ind w:left="4378" w:hanging="360"/>
      </w:pPr>
      <w:rPr>
        <w:rFonts w:ascii="Wingdings" w:hAnsi="Wingdings" w:hint="default"/>
      </w:rPr>
    </w:lvl>
    <w:lvl w:ilvl="6" w:tplc="04030001" w:tentative="1">
      <w:start w:val="1"/>
      <w:numFmt w:val="bullet"/>
      <w:lvlText w:val=""/>
      <w:lvlJc w:val="left"/>
      <w:pPr>
        <w:ind w:left="5098" w:hanging="360"/>
      </w:pPr>
      <w:rPr>
        <w:rFonts w:ascii="Symbol" w:hAnsi="Symbol" w:hint="default"/>
      </w:rPr>
    </w:lvl>
    <w:lvl w:ilvl="7" w:tplc="04030003" w:tentative="1">
      <w:start w:val="1"/>
      <w:numFmt w:val="bullet"/>
      <w:lvlText w:val="o"/>
      <w:lvlJc w:val="left"/>
      <w:pPr>
        <w:ind w:left="5818" w:hanging="360"/>
      </w:pPr>
      <w:rPr>
        <w:rFonts w:ascii="Courier New" w:hAnsi="Courier New" w:cs="Courier New" w:hint="default"/>
      </w:rPr>
    </w:lvl>
    <w:lvl w:ilvl="8" w:tplc="04030005" w:tentative="1">
      <w:start w:val="1"/>
      <w:numFmt w:val="bullet"/>
      <w:lvlText w:val=""/>
      <w:lvlJc w:val="left"/>
      <w:pPr>
        <w:ind w:left="6538" w:hanging="360"/>
      </w:pPr>
      <w:rPr>
        <w:rFonts w:ascii="Wingdings" w:hAnsi="Wingdings" w:hint="default"/>
      </w:rPr>
    </w:lvl>
  </w:abstractNum>
  <w:abstractNum w:abstractNumId="91">
    <w:nsid w:val="72771DED"/>
    <w:multiLevelType w:val="hybridMultilevel"/>
    <w:tmpl w:val="05FE2800"/>
    <w:lvl w:ilvl="0" w:tplc="0048233E">
      <w:start w:val="1"/>
      <w:numFmt w:val="bullet"/>
      <w:lvlText w:val="-"/>
      <w:lvlJc w:val="left"/>
      <w:pPr>
        <w:ind w:left="720" w:hanging="360"/>
      </w:pPr>
      <w:rPr>
        <w:rFonts w:ascii="Arial" w:hAnsi="Arial"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2">
    <w:nsid w:val="7286625F"/>
    <w:multiLevelType w:val="hybridMultilevel"/>
    <w:tmpl w:val="3B4C5DE2"/>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93">
    <w:nsid w:val="74AF2F5F"/>
    <w:multiLevelType w:val="hybridMultilevel"/>
    <w:tmpl w:val="7B7816C0"/>
    <w:lvl w:ilvl="0" w:tplc="2C74DE98">
      <w:start w:val="1"/>
      <w:numFmt w:val="bullet"/>
      <w:lvlText w:val="-"/>
      <w:lvlJc w:val="left"/>
      <w:pPr>
        <w:ind w:left="644" w:hanging="360"/>
      </w:pPr>
      <w:rPr>
        <w:rFonts w:ascii="Arial" w:hAnsi="Arial" w:hint="default"/>
        <w:b/>
      </w:rPr>
    </w:lvl>
    <w:lvl w:ilvl="1" w:tplc="04030019" w:tentative="1">
      <w:start w:val="1"/>
      <w:numFmt w:val="lowerLetter"/>
      <w:lvlText w:val="%2."/>
      <w:lvlJc w:val="left"/>
      <w:pPr>
        <w:ind w:left="1364" w:hanging="360"/>
      </w:pPr>
    </w:lvl>
    <w:lvl w:ilvl="2" w:tplc="0403001B" w:tentative="1">
      <w:start w:val="1"/>
      <w:numFmt w:val="lowerRoman"/>
      <w:lvlText w:val="%3."/>
      <w:lvlJc w:val="right"/>
      <w:pPr>
        <w:ind w:left="2084" w:hanging="180"/>
      </w:pPr>
    </w:lvl>
    <w:lvl w:ilvl="3" w:tplc="0403000F" w:tentative="1">
      <w:start w:val="1"/>
      <w:numFmt w:val="decimal"/>
      <w:lvlText w:val="%4."/>
      <w:lvlJc w:val="left"/>
      <w:pPr>
        <w:ind w:left="2804" w:hanging="360"/>
      </w:pPr>
    </w:lvl>
    <w:lvl w:ilvl="4" w:tplc="04030019" w:tentative="1">
      <w:start w:val="1"/>
      <w:numFmt w:val="lowerLetter"/>
      <w:lvlText w:val="%5."/>
      <w:lvlJc w:val="left"/>
      <w:pPr>
        <w:ind w:left="3524" w:hanging="360"/>
      </w:pPr>
    </w:lvl>
    <w:lvl w:ilvl="5" w:tplc="0403001B" w:tentative="1">
      <w:start w:val="1"/>
      <w:numFmt w:val="lowerRoman"/>
      <w:lvlText w:val="%6."/>
      <w:lvlJc w:val="right"/>
      <w:pPr>
        <w:ind w:left="4244" w:hanging="180"/>
      </w:pPr>
    </w:lvl>
    <w:lvl w:ilvl="6" w:tplc="0403000F" w:tentative="1">
      <w:start w:val="1"/>
      <w:numFmt w:val="decimal"/>
      <w:lvlText w:val="%7."/>
      <w:lvlJc w:val="left"/>
      <w:pPr>
        <w:ind w:left="4964" w:hanging="360"/>
      </w:pPr>
    </w:lvl>
    <w:lvl w:ilvl="7" w:tplc="04030019" w:tentative="1">
      <w:start w:val="1"/>
      <w:numFmt w:val="lowerLetter"/>
      <w:lvlText w:val="%8."/>
      <w:lvlJc w:val="left"/>
      <w:pPr>
        <w:ind w:left="5684" w:hanging="360"/>
      </w:pPr>
    </w:lvl>
    <w:lvl w:ilvl="8" w:tplc="0403001B" w:tentative="1">
      <w:start w:val="1"/>
      <w:numFmt w:val="lowerRoman"/>
      <w:lvlText w:val="%9."/>
      <w:lvlJc w:val="right"/>
      <w:pPr>
        <w:ind w:left="6404" w:hanging="180"/>
      </w:pPr>
    </w:lvl>
  </w:abstractNum>
  <w:abstractNum w:abstractNumId="94">
    <w:nsid w:val="752263FF"/>
    <w:multiLevelType w:val="hybridMultilevel"/>
    <w:tmpl w:val="DA98BA76"/>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95">
    <w:nsid w:val="75615944"/>
    <w:multiLevelType w:val="hybridMultilevel"/>
    <w:tmpl w:val="93F833B4"/>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96">
    <w:nsid w:val="75F519F3"/>
    <w:multiLevelType w:val="hybridMultilevel"/>
    <w:tmpl w:val="456CCE52"/>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97">
    <w:nsid w:val="761E20EA"/>
    <w:multiLevelType w:val="hybridMultilevel"/>
    <w:tmpl w:val="926A5FBC"/>
    <w:lvl w:ilvl="0" w:tplc="04030005">
      <w:start w:val="1"/>
      <w:numFmt w:val="bullet"/>
      <w:lvlText w:val=""/>
      <w:lvlJc w:val="left"/>
      <w:pPr>
        <w:ind w:left="720" w:hanging="360"/>
      </w:pPr>
      <w:rPr>
        <w:rFonts w:ascii="Wingdings" w:hAnsi="Wingdings"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98">
    <w:nsid w:val="769A3B44"/>
    <w:multiLevelType w:val="hybridMultilevel"/>
    <w:tmpl w:val="B532F31E"/>
    <w:lvl w:ilvl="0" w:tplc="1C4AA402">
      <w:start w:val="1"/>
      <w:numFmt w:val="bullet"/>
      <w:lvlText w:val=""/>
      <w:lvlPicBulletId w:val="0"/>
      <w:lvlJc w:val="left"/>
      <w:pPr>
        <w:ind w:left="720" w:hanging="360"/>
      </w:pPr>
      <w:rPr>
        <w:rFonts w:ascii="Symbol" w:hAnsi="Symbol" w:hint="default"/>
        <w:color w:val="auto"/>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99">
    <w:nsid w:val="770F4675"/>
    <w:multiLevelType w:val="hybridMultilevel"/>
    <w:tmpl w:val="83D04854"/>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100">
    <w:nsid w:val="782F6964"/>
    <w:multiLevelType w:val="hybridMultilevel"/>
    <w:tmpl w:val="E8582BD0"/>
    <w:lvl w:ilvl="0" w:tplc="0F266F6A">
      <w:start w:val="1"/>
      <w:numFmt w:val="bullet"/>
      <w:lvlText w:val="-"/>
      <w:lvlJc w:val="left"/>
      <w:pPr>
        <w:ind w:left="720" w:hanging="360"/>
      </w:pPr>
      <w:rPr>
        <w:rFonts w:ascii="Arial" w:hAnsi="Arial" w:hint="default"/>
        <w:b/>
      </w:rPr>
    </w:lvl>
    <w:lvl w:ilvl="1" w:tplc="04030019">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101">
    <w:nsid w:val="7FA6629D"/>
    <w:multiLevelType w:val="hybridMultilevel"/>
    <w:tmpl w:val="5FAE0B2C"/>
    <w:lvl w:ilvl="0" w:tplc="04030005">
      <w:start w:val="1"/>
      <w:numFmt w:val="bullet"/>
      <w:lvlText w:val=""/>
      <w:lvlJc w:val="left"/>
      <w:pPr>
        <w:ind w:left="360" w:hanging="360"/>
      </w:pPr>
      <w:rPr>
        <w:rFonts w:ascii="Wingdings" w:hAnsi="Wingdings" w:hint="default"/>
      </w:rPr>
    </w:lvl>
    <w:lvl w:ilvl="1" w:tplc="04030019">
      <w:start w:val="1"/>
      <w:numFmt w:val="lowerLetter"/>
      <w:lvlText w:val="%2."/>
      <w:lvlJc w:val="left"/>
      <w:pPr>
        <w:ind w:left="1080" w:hanging="360"/>
      </w:pPr>
    </w:lvl>
    <w:lvl w:ilvl="2" w:tplc="0403001B" w:tentative="1">
      <w:start w:val="1"/>
      <w:numFmt w:val="lowerRoman"/>
      <w:lvlText w:val="%3."/>
      <w:lvlJc w:val="right"/>
      <w:pPr>
        <w:ind w:left="1800" w:hanging="180"/>
      </w:pPr>
    </w:lvl>
    <w:lvl w:ilvl="3" w:tplc="0403000F" w:tentative="1">
      <w:start w:val="1"/>
      <w:numFmt w:val="decimal"/>
      <w:lvlText w:val="%4."/>
      <w:lvlJc w:val="left"/>
      <w:pPr>
        <w:ind w:left="2520" w:hanging="360"/>
      </w:pPr>
    </w:lvl>
    <w:lvl w:ilvl="4" w:tplc="04030019" w:tentative="1">
      <w:start w:val="1"/>
      <w:numFmt w:val="lowerLetter"/>
      <w:lvlText w:val="%5."/>
      <w:lvlJc w:val="left"/>
      <w:pPr>
        <w:ind w:left="3240" w:hanging="360"/>
      </w:pPr>
    </w:lvl>
    <w:lvl w:ilvl="5" w:tplc="0403001B" w:tentative="1">
      <w:start w:val="1"/>
      <w:numFmt w:val="lowerRoman"/>
      <w:lvlText w:val="%6."/>
      <w:lvlJc w:val="right"/>
      <w:pPr>
        <w:ind w:left="3960" w:hanging="180"/>
      </w:pPr>
    </w:lvl>
    <w:lvl w:ilvl="6" w:tplc="0403000F" w:tentative="1">
      <w:start w:val="1"/>
      <w:numFmt w:val="decimal"/>
      <w:lvlText w:val="%7."/>
      <w:lvlJc w:val="left"/>
      <w:pPr>
        <w:ind w:left="4680" w:hanging="360"/>
      </w:pPr>
    </w:lvl>
    <w:lvl w:ilvl="7" w:tplc="04030019" w:tentative="1">
      <w:start w:val="1"/>
      <w:numFmt w:val="lowerLetter"/>
      <w:lvlText w:val="%8."/>
      <w:lvlJc w:val="left"/>
      <w:pPr>
        <w:ind w:left="5400" w:hanging="360"/>
      </w:pPr>
    </w:lvl>
    <w:lvl w:ilvl="8" w:tplc="0403001B" w:tentative="1">
      <w:start w:val="1"/>
      <w:numFmt w:val="lowerRoman"/>
      <w:lvlText w:val="%9."/>
      <w:lvlJc w:val="right"/>
      <w:pPr>
        <w:ind w:left="6120" w:hanging="180"/>
      </w:pPr>
    </w:lvl>
  </w:abstractNum>
  <w:num w:numId="1">
    <w:abstractNumId w:val="28"/>
  </w:num>
  <w:num w:numId="2">
    <w:abstractNumId w:val="43"/>
  </w:num>
  <w:num w:numId="3">
    <w:abstractNumId w:val="80"/>
  </w:num>
  <w:num w:numId="4">
    <w:abstractNumId w:val="92"/>
  </w:num>
  <w:num w:numId="5">
    <w:abstractNumId w:val="79"/>
  </w:num>
  <w:num w:numId="6">
    <w:abstractNumId w:val="62"/>
  </w:num>
  <w:num w:numId="7">
    <w:abstractNumId w:val="54"/>
  </w:num>
  <w:num w:numId="8">
    <w:abstractNumId w:val="60"/>
  </w:num>
  <w:num w:numId="9">
    <w:abstractNumId w:val="70"/>
  </w:num>
  <w:num w:numId="10">
    <w:abstractNumId w:val="96"/>
  </w:num>
  <w:num w:numId="11">
    <w:abstractNumId w:val="94"/>
  </w:num>
  <w:num w:numId="12">
    <w:abstractNumId w:val="76"/>
  </w:num>
  <w:num w:numId="13">
    <w:abstractNumId w:val="22"/>
  </w:num>
  <w:num w:numId="14">
    <w:abstractNumId w:val="89"/>
  </w:num>
  <w:num w:numId="15">
    <w:abstractNumId w:val="30"/>
  </w:num>
  <w:num w:numId="16">
    <w:abstractNumId w:val="66"/>
  </w:num>
  <w:num w:numId="17">
    <w:abstractNumId w:val="11"/>
  </w:num>
  <w:num w:numId="18">
    <w:abstractNumId w:val="82"/>
  </w:num>
  <w:num w:numId="19">
    <w:abstractNumId w:val="75"/>
  </w:num>
  <w:num w:numId="20">
    <w:abstractNumId w:val="12"/>
  </w:num>
  <w:num w:numId="21">
    <w:abstractNumId w:val="64"/>
  </w:num>
  <w:num w:numId="22">
    <w:abstractNumId w:val="47"/>
  </w:num>
  <w:num w:numId="23">
    <w:abstractNumId w:val="97"/>
  </w:num>
  <w:num w:numId="24">
    <w:abstractNumId w:val="20"/>
  </w:num>
  <w:num w:numId="25">
    <w:abstractNumId w:val="32"/>
  </w:num>
  <w:num w:numId="26">
    <w:abstractNumId w:val="49"/>
  </w:num>
  <w:num w:numId="27">
    <w:abstractNumId w:val="72"/>
  </w:num>
  <w:num w:numId="28">
    <w:abstractNumId w:val="0"/>
  </w:num>
  <w:num w:numId="29">
    <w:abstractNumId w:val="48"/>
  </w:num>
  <w:num w:numId="30">
    <w:abstractNumId w:val="95"/>
  </w:num>
  <w:num w:numId="31">
    <w:abstractNumId w:val="83"/>
  </w:num>
  <w:num w:numId="32">
    <w:abstractNumId w:val="69"/>
  </w:num>
  <w:num w:numId="33">
    <w:abstractNumId w:val="90"/>
  </w:num>
  <w:num w:numId="34">
    <w:abstractNumId w:val="99"/>
  </w:num>
  <w:num w:numId="35">
    <w:abstractNumId w:val="73"/>
  </w:num>
  <w:num w:numId="36">
    <w:abstractNumId w:val="45"/>
  </w:num>
  <w:num w:numId="37">
    <w:abstractNumId w:val="55"/>
  </w:num>
  <w:num w:numId="38">
    <w:abstractNumId w:val="52"/>
  </w:num>
  <w:num w:numId="39">
    <w:abstractNumId w:val="14"/>
  </w:num>
  <w:num w:numId="40">
    <w:abstractNumId w:val="38"/>
  </w:num>
  <w:num w:numId="41">
    <w:abstractNumId w:val="77"/>
  </w:num>
  <w:num w:numId="42">
    <w:abstractNumId w:val="71"/>
  </w:num>
  <w:num w:numId="43">
    <w:abstractNumId w:val="9"/>
  </w:num>
  <w:num w:numId="44">
    <w:abstractNumId w:val="101"/>
  </w:num>
  <w:num w:numId="45">
    <w:abstractNumId w:val="33"/>
  </w:num>
  <w:num w:numId="46">
    <w:abstractNumId w:val="5"/>
  </w:num>
  <w:num w:numId="47">
    <w:abstractNumId w:val="74"/>
  </w:num>
  <w:num w:numId="48">
    <w:abstractNumId w:val="85"/>
  </w:num>
  <w:num w:numId="49">
    <w:abstractNumId w:val="8"/>
  </w:num>
  <w:num w:numId="50">
    <w:abstractNumId w:val="34"/>
  </w:num>
  <w:num w:numId="51">
    <w:abstractNumId w:val="61"/>
  </w:num>
  <w:num w:numId="52">
    <w:abstractNumId w:val="17"/>
  </w:num>
  <w:num w:numId="53">
    <w:abstractNumId w:val="56"/>
  </w:num>
  <w:num w:numId="54">
    <w:abstractNumId w:val="16"/>
  </w:num>
  <w:num w:numId="55">
    <w:abstractNumId w:val="46"/>
  </w:num>
  <w:num w:numId="56">
    <w:abstractNumId w:val="6"/>
  </w:num>
  <w:num w:numId="57">
    <w:abstractNumId w:val="37"/>
  </w:num>
  <w:num w:numId="58">
    <w:abstractNumId w:val="31"/>
  </w:num>
  <w:num w:numId="59">
    <w:abstractNumId w:val="53"/>
  </w:num>
  <w:num w:numId="60">
    <w:abstractNumId w:val="86"/>
  </w:num>
  <w:num w:numId="61">
    <w:abstractNumId w:val="35"/>
  </w:num>
  <w:num w:numId="62">
    <w:abstractNumId w:val="18"/>
  </w:num>
  <w:num w:numId="63">
    <w:abstractNumId w:val="84"/>
  </w:num>
  <w:num w:numId="64">
    <w:abstractNumId w:val="51"/>
  </w:num>
  <w:num w:numId="65">
    <w:abstractNumId w:val="88"/>
  </w:num>
  <w:num w:numId="66">
    <w:abstractNumId w:val="98"/>
  </w:num>
  <w:num w:numId="67">
    <w:abstractNumId w:val="3"/>
  </w:num>
  <w:num w:numId="68">
    <w:abstractNumId w:val="15"/>
  </w:num>
  <w:num w:numId="69">
    <w:abstractNumId w:val="78"/>
  </w:num>
  <w:num w:numId="70">
    <w:abstractNumId w:val="40"/>
  </w:num>
  <w:num w:numId="71">
    <w:abstractNumId w:val="59"/>
  </w:num>
  <w:num w:numId="72">
    <w:abstractNumId w:val="67"/>
  </w:num>
  <w:num w:numId="73">
    <w:abstractNumId w:val="4"/>
  </w:num>
  <w:num w:numId="74">
    <w:abstractNumId w:val="57"/>
  </w:num>
  <w:num w:numId="75">
    <w:abstractNumId w:val="81"/>
  </w:num>
  <w:num w:numId="76">
    <w:abstractNumId w:val="23"/>
  </w:num>
  <w:num w:numId="77">
    <w:abstractNumId w:val="87"/>
  </w:num>
  <w:num w:numId="78">
    <w:abstractNumId w:val="26"/>
  </w:num>
  <w:num w:numId="79">
    <w:abstractNumId w:val="100"/>
  </w:num>
  <w:num w:numId="80">
    <w:abstractNumId w:val="93"/>
  </w:num>
  <w:num w:numId="81">
    <w:abstractNumId w:val="50"/>
  </w:num>
  <w:num w:numId="82">
    <w:abstractNumId w:val="91"/>
  </w:num>
  <w:num w:numId="83">
    <w:abstractNumId w:val="10"/>
  </w:num>
  <w:num w:numId="84">
    <w:abstractNumId w:val="58"/>
  </w:num>
  <w:num w:numId="85">
    <w:abstractNumId w:val="65"/>
  </w:num>
  <w:num w:numId="86">
    <w:abstractNumId w:val="29"/>
  </w:num>
  <w:num w:numId="87">
    <w:abstractNumId w:val="44"/>
  </w:num>
  <w:num w:numId="88">
    <w:abstractNumId w:val="27"/>
  </w:num>
  <w:num w:numId="89">
    <w:abstractNumId w:val="19"/>
  </w:num>
  <w:num w:numId="90">
    <w:abstractNumId w:val="39"/>
  </w:num>
  <w:num w:numId="91">
    <w:abstractNumId w:val="68"/>
  </w:num>
  <w:num w:numId="92">
    <w:abstractNumId w:val="63"/>
  </w:num>
  <w:num w:numId="93">
    <w:abstractNumId w:val="2"/>
  </w:num>
  <w:num w:numId="94">
    <w:abstractNumId w:val="25"/>
  </w:num>
  <w:num w:numId="95">
    <w:abstractNumId w:val="7"/>
  </w:num>
  <w:num w:numId="96">
    <w:abstractNumId w:val="1"/>
  </w:num>
  <w:num w:numId="97">
    <w:abstractNumId w:val="13"/>
  </w:num>
  <w:num w:numId="98">
    <w:abstractNumId w:val="24"/>
  </w:num>
  <w:num w:numId="99">
    <w:abstractNumId w:val="21"/>
  </w:num>
  <w:num w:numId="100">
    <w:abstractNumId w:val="42"/>
  </w:num>
  <w:num w:numId="101">
    <w:abstractNumId w:val="41"/>
  </w:num>
  <w:num w:numId="102">
    <w:abstractNumId w:val="36"/>
  </w:num>
  <w:numIdMacAtCleanup w:val="9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GrammaticalError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3CE2"/>
    <w:rsid w:val="000014F7"/>
    <w:rsid w:val="00001ABA"/>
    <w:rsid w:val="000043C6"/>
    <w:rsid w:val="00006C7F"/>
    <w:rsid w:val="00014803"/>
    <w:rsid w:val="00017678"/>
    <w:rsid w:val="00022200"/>
    <w:rsid w:val="000225D9"/>
    <w:rsid w:val="00024EC3"/>
    <w:rsid w:val="0002561B"/>
    <w:rsid w:val="00025A4D"/>
    <w:rsid w:val="00030058"/>
    <w:rsid w:val="00030F3B"/>
    <w:rsid w:val="0003375C"/>
    <w:rsid w:val="00033F87"/>
    <w:rsid w:val="00035253"/>
    <w:rsid w:val="00037C91"/>
    <w:rsid w:val="000415A3"/>
    <w:rsid w:val="000418F5"/>
    <w:rsid w:val="00042B06"/>
    <w:rsid w:val="00043D13"/>
    <w:rsid w:val="00044880"/>
    <w:rsid w:val="00045CD0"/>
    <w:rsid w:val="000469E9"/>
    <w:rsid w:val="0005011D"/>
    <w:rsid w:val="000502F6"/>
    <w:rsid w:val="00050781"/>
    <w:rsid w:val="000529C0"/>
    <w:rsid w:val="00052BF9"/>
    <w:rsid w:val="00054884"/>
    <w:rsid w:val="0005533F"/>
    <w:rsid w:val="00055E6C"/>
    <w:rsid w:val="000561D6"/>
    <w:rsid w:val="00056691"/>
    <w:rsid w:val="000601FD"/>
    <w:rsid w:val="00063656"/>
    <w:rsid w:val="00063F9C"/>
    <w:rsid w:val="00064125"/>
    <w:rsid w:val="00064B18"/>
    <w:rsid w:val="00064DE0"/>
    <w:rsid w:val="0006536D"/>
    <w:rsid w:val="00065640"/>
    <w:rsid w:val="00066BF1"/>
    <w:rsid w:val="00067E63"/>
    <w:rsid w:val="00076459"/>
    <w:rsid w:val="00080282"/>
    <w:rsid w:val="00081C8A"/>
    <w:rsid w:val="00081E63"/>
    <w:rsid w:val="00083E2E"/>
    <w:rsid w:val="0009080F"/>
    <w:rsid w:val="00090C6F"/>
    <w:rsid w:val="00091158"/>
    <w:rsid w:val="000919DF"/>
    <w:rsid w:val="00095255"/>
    <w:rsid w:val="000964AB"/>
    <w:rsid w:val="00096917"/>
    <w:rsid w:val="00096F48"/>
    <w:rsid w:val="000A77D7"/>
    <w:rsid w:val="000A7D92"/>
    <w:rsid w:val="000B122A"/>
    <w:rsid w:val="000B1232"/>
    <w:rsid w:val="000B2642"/>
    <w:rsid w:val="000B38B0"/>
    <w:rsid w:val="000B585C"/>
    <w:rsid w:val="000B71D0"/>
    <w:rsid w:val="000C013F"/>
    <w:rsid w:val="000C1656"/>
    <w:rsid w:val="000C1A18"/>
    <w:rsid w:val="000C1C83"/>
    <w:rsid w:val="000C23BA"/>
    <w:rsid w:val="000C3F0E"/>
    <w:rsid w:val="000E2EBF"/>
    <w:rsid w:val="000E3917"/>
    <w:rsid w:val="000E4F8F"/>
    <w:rsid w:val="000E76EF"/>
    <w:rsid w:val="000F0E6A"/>
    <w:rsid w:val="000F2FE4"/>
    <w:rsid w:val="000F6708"/>
    <w:rsid w:val="001009B2"/>
    <w:rsid w:val="00105A4F"/>
    <w:rsid w:val="001126F6"/>
    <w:rsid w:val="00112A4A"/>
    <w:rsid w:val="00113505"/>
    <w:rsid w:val="00124245"/>
    <w:rsid w:val="00124A65"/>
    <w:rsid w:val="00124D63"/>
    <w:rsid w:val="00130275"/>
    <w:rsid w:val="00131E1C"/>
    <w:rsid w:val="00133241"/>
    <w:rsid w:val="001356BD"/>
    <w:rsid w:val="00137B14"/>
    <w:rsid w:val="00141DE9"/>
    <w:rsid w:val="0014315E"/>
    <w:rsid w:val="00147199"/>
    <w:rsid w:val="00150121"/>
    <w:rsid w:val="00153F2A"/>
    <w:rsid w:val="0015734B"/>
    <w:rsid w:val="0016017C"/>
    <w:rsid w:val="00160642"/>
    <w:rsid w:val="00160DB0"/>
    <w:rsid w:val="001617CC"/>
    <w:rsid w:val="00161897"/>
    <w:rsid w:val="00161F34"/>
    <w:rsid w:val="001623DE"/>
    <w:rsid w:val="0016240B"/>
    <w:rsid w:val="0016296A"/>
    <w:rsid w:val="001632FB"/>
    <w:rsid w:val="00163446"/>
    <w:rsid w:val="00167C3F"/>
    <w:rsid w:val="00170574"/>
    <w:rsid w:val="00170EBA"/>
    <w:rsid w:val="00171762"/>
    <w:rsid w:val="00172425"/>
    <w:rsid w:val="00172E31"/>
    <w:rsid w:val="0017420F"/>
    <w:rsid w:val="00180F71"/>
    <w:rsid w:val="001818D0"/>
    <w:rsid w:val="00181EE2"/>
    <w:rsid w:val="00182627"/>
    <w:rsid w:val="0018673B"/>
    <w:rsid w:val="00187C14"/>
    <w:rsid w:val="00190598"/>
    <w:rsid w:val="001913DE"/>
    <w:rsid w:val="00192CF7"/>
    <w:rsid w:val="0019641A"/>
    <w:rsid w:val="00196B11"/>
    <w:rsid w:val="001A039C"/>
    <w:rsid w:val="001A19CE"/>
    <w:rsid w:val="001A32FD"/>
    <w:rsid w:val="001A6679"/>
    <w:rsid w:val="001A68F1"/>
    <w:rsid w:val="001B17D1"/>
    <w:rsid w:val="001B1F25"/>
    <w:rsid w:val="001B2CAA"/>
    <w:rsid w:val="001B31B9"/>
    <w:rsid w:val="001B4D7D"/>
    <w:rsid w:val="001B5724"/>
    <w:rsid w:val="001B6ED8"/>
    <w:rsid w:val="001C06B7"/>
    <w:rsid w:val="001C5847"/>
    <w:rsid w:val="001C5DC1"/>
    <w:rsid w:val="001D24A4"/>
    <w:rsid w:val="001D3E65"/>
    <w:rsid w:val="001D7ADF"/>
    <w:rsid w:val="001E232E"/>
    <w:rsid w:val="001E42DC"/>
    <w:rsid w:val="001E70CE"/>
    <w:rsid w:val="001F3ED1"/>
    <w:rsid w:val="001F6230"/>
    <w:rsid w:val="001F63CD"/>
    <w:rsid w:val="001F7339"/>
    <w:rsid w:val="001F7AAA"/>
    <w:rsid w:val="002015BA"/>
    <w:rsid w:val="0020250D"/>
    <w:rsid w:val="00202539"/>
    <w:rsid w:val="00205C10"/>
    <w:rsid w:val="002065AF"/>
    <w:rsid w:val="0020770F"/>
    <w:rsid w:val="00211FC9"/>
    <w:rsid w:val="00212F56"/>
    <w:rsid w:val="002178BF"/>
    <w:rsid w:val="002229AB"/>
    <w:rsid w:val="00224A85"/>
    <w:rsid w:val="0023374D"/>
    <w:rsid w:val="0024013D"/>
    <w:rsid w:val="00240D41"/>
    <w:rsid w:val="0024239A"/>
    <w:rsid w:val="00244637"/>
    <w:rsid w:val="00244AA3"/>
    <w:rsid w:val="00245A02"/>
    <w:rsid w:val="002479C9"/>
    <w:rsid w:val="00251955"/>
    <w:rsid w:val="00251AC0"/>
    <w:rsid w:val="00252678"/>
    <w:rsid w:val="00253A1E"/>
    <w:rsid w:val="002548EA"/>
    <w:rsid w:val="00254AFF"/>
    <w:rsid w:val="0025651E"/>
    <w:rsid w:val="00256F3E"/>
    <w:rsid w:val="00257462"/>
    <w:rsid w:val="00263F64"/>
    <w:rsid w:val="0026465E"/>
    <w:rsid w:val="0026720D"/>
    <w:rsid w:val="00270AF5"/>
    <w:rsid w:val="00271D51"/>
    <w:rsid w:val="00276B3E"/>
    <w:rsid w:val="00276CF0"/>
    <w:rsid w:val="00276D0D"/>
    <w:rsid w:val="00277484"/>
    <w:rsid w:val="002843FF"/>
    <w:rsid w:val="00286F13"/>
    <w:rsid w:val="002879B5"/>
    <w:rsid w:val="002908B6"/>
    <w:rsid w:val="00290DA9"/>
    <w:rsid w:val="00291E3E"/>
    <w:rsid w:val="00293378"/>
    <w:rsid w:val="0029477D"/>
    <w:rsid w:val="002A11CD"/>
    <w:rsid w:val="002A16EE"/>
    <w:rsid w:val="002A25EB"/>
    <w:rsid w:val="002A4649"/>
    <w:rsid w:val="002A625D"/>
    <w:rsid w:val="002A7616"/>
    <w:rsid w:val="002A7784"/>
    <w:rsid w:val="002B0BDA"/>
    <w:rsid w:val="002B630F"/>
    <w:rsid w:val="002B77C0"/>
    <w:rsid w:val="002C2D75"/>
    <w:rsid w:val="002C4D3A"/>
    <w:rsid w:val="002C6DFA"/>
    <w:rsid w:val="002D06C1"/>
    <w:rsid w:val="002D126E"/>
    <w:rsid w:val="002D1F3D"/>
    <w:rsid w:val="002D2012"/>
    <w:rsid w:val="002D3163"/>
    <w:rsid w:val="002D36B9"/>
    <w:rsid w:val="002D46B0"/>
    <w:rsid w:val="002D5EBE"/>
    <w:rsid w:val="002D7EF1"/>
    <w:rsid w:val="002E2796"/>
    <w:rsid w:val="002E5AB8"/>
    <w:rsid w:val="002F0690"/>
    <w:rsid w:val="002F0E2C"/>
    <w:rsid w:val="002F3AED"/>
    <w:rsid w:val="00300583"/>
    <w:rsid w:val="0030061F"/>
    <w:rsid w:val="00302754"/>
    <w:rsid w:val="003038E5"/>
    <w:rsid w:val="00305161"/>
    <w:rsid w:val="00307D4D"/>
    <w:rsid w:val="003141E4"/>
    <w:rsid w:val="0031523B"/>
    <w:rsid w:val="00315790"/>
    <w:rsid w:val="00315DD7"/>
    <w:rsid w:val="003211D4"/>
    <w:rsid w:val="00321A04"/>
    <w:rsid w:val="00323FDF"/>
    <w:rsid w:val="0033012E"/>
    <w:rsid w:val="0033064E"/>
    <w:rsid w:val="00331764"/>
    <w:rsid w:val="00331D54"/>
    <w:rsid w:val="0033463F"/>
    <w:rsid w:val="00340820"/>
    <w:rsid w:val="0034522D"/>
    <w:rsid w:val="00345527"/>
    <w:rsid w:val="00347172"/>
    <w:rsid w:val="003521F9"/>
    <w:rsid w:val="00353490"/>
    <w:rsid w:val="00353CE9"/>
    <w:rsid w:val="00360069"/>
    <w:rsid w:val="00360F96"/>
    <w:rsid w:val="00363C3D"/>
    <w:rsid w:val="00366157"/>
    <w:rsid w:val="00366C2F"/>
    <w:rsid w:val="003670D7"/>
    <w:rsid w:val="003703A0"/>
    <w:rsid w:val="00372278"/>
    <w:rsid w:val="00372EC4"/>
    <w:rsid w:val="00375CBB"/>
    <w:rsid w:val="003769D8"/>
    <w:rsid w:val="00376A8C"/>
    <w:rsid w:val="00380DBA"/>
    <w:rsid w:val="0038368B"/>
    <w:rsid w:val="00387FC0"/>
    <w:rsid w:val="00391B08"/>
    <w:rsid w:val="00391B13"/>
    <w:rsid w:val="0039319E"/>
    <w:rsid w:val="0039717C"/>
    <w:rsid w:val="003A3BBB"/>
    <w:rsid w:val="003A4A3B"/>
    <w:rsid w:val="003A4BA2"/>
    <w:rsid w:val="003B2D9C"/>
    <w:rsid w:val="003B2F5B"/>
    <w:rsid w:val="003B3A3E"/>
    <w:rsid w:val="003B5011"/>
    <w:rsid w:val="003B7567"/>
    <w:rsid w:val="003C0FF4"/>
    <w:rsid w:val="003C221C"/>
    <w:rsid w:val="003C3791"/>
    <w:rsid w:val="003C42C9"/>
    <w:rsid w:val="003C630E"/>
    <w:rsid w:val="003D0B9E"/>
    <w:rsid w:val="003D0E26"/>
    <w:rsid w:val="003D1870"/>
    <w:rsid w:val="003D2A9E"/>
    <w:rsid w:val="003D5113"/>
    <w:rsid w:val="003D6A9C"/>
    <w:rsid w:val="003D7E21"/>
    <w:rsid w:val="003E0834"/>
    <w:rsid w:val="003E5AD3"/>
    <w:rsid w:val="003E6BBF"/>
    <w:rsid w:val="003F0C1F"/>
    <w:rsid w:val="003F0F3B"/>
    <w:rsid w:val="003F4E4E"/>
    <w:rsid w:val="003F530B"/>
    <w:rsid w:val="003F6CAD"/>
    <w:rsid w:val="0040113E"/>
    <w:rsid w:val="00404BC6"/>
    <w:rsid w:val="0040579E"/>
    <w:rsid w:val="0040642B"/>
    <w:rsid w:val="00407A04"/>
    <w:rsid w:val="0041188D"/>
    <w:rsid w:val="00413064"/>
    <w:rsid w:val="00415E4F"/>
    <w:rsid w:val="0042091C"/>
    <w:rsid w:val="00421C07"/>
    <w:rsid w:val="004221BF"/>
    <w:rsid w:val="00422F73"/>
    <w:rsid w:val="0042522B"/>
    <w:rsid w:val="00426D41"/>
    <w:rsid w:val="004273B3"/>
    <w:rsid w:val="0043078C"/>
    <w:rsid w:val="004316F8"/>
    <w:rsid w:val="00432FB5"/>
    <w:rsid w:val="004374C2"/>
    <w:rsid w:val="00442490"/>
    <w:rsid w:val="00442AD9"/>
    <w:rsid w:val="00442DF7"/>
    <w:rsid w:val="00443192"/>
    <w:rsid w:val="00443788"/>
    <w:rsid w:val="004463D0"/>
    <w:rsid w:val="0044721E"/>
    <w:rsid w:val="00447407"/>
    <w:rsid w:val="0045352D"/>
    <w:rsid w:val="0045374F"/>
    <w:rsid w:val="0045588C"/>
    <w:rsid w:val="00456495"/>
    <w:rsid w:val="00456E30"/>
    <w:rsid w:val="00460B73"/>
    <w:rsid w:val="004654CC"/>
    <w:rsid w:val="0046550D"/>
    <w:rsid w:val="00467242"/>
    <w:rsid w:val="00480763"/>
    <w:rsid w:val="00481DFA"/>
    <w:rsid w:val="00484B49"/>
    <w:rsid w:val="00485E60"/>
    <w:rsid w:val="004877D3"/>
    <w:rsid w:val="00487992"/>
    <w:rsid w:val="00490403"/>
    <w:rsid w:val="004928E3"/>
    <w:rsid w:val="00496568"/>
    <w:rsid w:val="004965ED"/>
    <w:rsid w:val="004A0B1F"/>
    <w:rsid w:val="004A40AD"/>
    <w:rsid w:val="004A4EF4"/>
    <w:rsid w:val="004A5461"/>
    <w:rsid w:val="004A559E"/>
    <w:rsid w:val="004A7E3B"/>
    <w:rsid w:val="004B0C6F"/>
    <w:rsid w:val="004B3FDA"/>
    <w:rsid w:val="004B4F05"/>
    <w:rsid w:val="004B52B8"/>
    <w:rsid w:val="004B6073"/>
    <w:rsid w:val="004C2388"/>
    <w:rsid w:val="004C3B3C"/>
    <w:rsid w:val="004C435A"/>
    <w:rsid w:val="004C4B94"/>
    <w:rsid w:val="004C6406"/>
    <w:rsid w:val="004C7078"/>
    <w:rsid w:val="004C7289"/>
    <w:rsid w:val="004D28AB"/>
    <w:rsid w:val="004D7A4B"/>
    <w:rsid w:val="004E02E0"/>
    <w:rsid w:val="004E4A6B"/>
    <w:rsid w:val="004E7ACF"/>
    <w:rsid w:val="004F3F2C"/>
    <w:rsid w:val="004F44C2"/>
    <w:rsid w:val="004F4F9F"/>
    <w:rsid w:val="004F6127"/>
    <w:rsid w:val="004F6B03"/>
    <w:rsid w:val="004F79B9"/>
    <w:rsid w:val="00507684"/>
    <w:rsid w:val="00507FE7"/>
    <w:rsid w:val="005124F2"/>
    <w:rsid w:val="00515575"/>
    <w:rsid w:val="00516ED2"/>
    <w:rsid w:val="00517433"/>
    <w:rsid w:val="0052388D"/>
    <w:rsid w:val="005254BF"/>
    <w:rsid w:val="00526B74"/>
    <w:rsid w:val="005271AA"/>
    <w:rsid w:val="00530362"/>
    <w:rsid w:val="0053138C"/>
    <w:rsid w:val="00533817"/>
    <w:rsid w:val="00541024"/>
    <w:rsid w:val="00541AC5"/>
    <w:rsid w:val="005429E5"/>
    <w:rsid w:val="00543125"/>
    <w:rsid w:val="00543EE3"/>
    <w:rsid w:val="00546947"/>
    <w:rsid w:val="005472DD"/>
    <w:rsid w:val="0055110F"/>
    <w:rsid w:val="00552CD6"/>
    <w:rsid w:val="005530CE"/>
    <w:rsid w:val="005536C3"/>
    <w:rsid w:val="00553E99"/>
    <w:rsid w:val="00554325"/>
    <w:rsid w:val="005546F0"/>
    <w:rsid w:val="00554FDE"/>
    <w:rsid w:val="00557DF1"/>
    <w:rsid w:val="0056028B"/>
    <w:rsid w:val="0056347D"/>
    <w:rsid w:val="00563608"/>
    <w:rsid w:val="0056432E"/>
    <w:rsid w:val="00564EF1"/>
    <w:rsid w:val="0056645C"/>
    <w:rsid w:val="00566A7C"/>
    <w:rsid w:val="005729F5"/>
    <w:rsid w:val="00576403"/>
    <w:rsid w:val="005805D6"/>
    <w:rsid w:val="0058093C"/>
    <w:rsid w:val="00581705"/>
    <w:rsid w:val="00581734"/>
    <w:rsid w:val="0058295D"/>
    <w:rsid w:val="005840DF"/>
    <w:rsid w:val="00584272"/>
    <w:rsid w:val="005847E8"/>
    <w:rsid w:val="00584AFE"/>
    <w:rsid w:val="0058504A"/>
    <w:rsid w:val="005862D4"/>
    <w:rsid w:val="005868FD"/>
    <w:rsid w:val="00587D97"/>
    <w:rsid w:val="00592487"/>
    <w:rsid w:val="005936F0"/>
    <w:rsid w:val="00593712"/>
    <w:rsid w:val="00593A70"/>
    <w:rsid w:val="00593AA3"/>
    <w:rsid w:val="00597062"/>
    <w:rsid w:val="005978CD"/>
    <w:rsid w:val="005A0C9E"/>
    <w:rsid w:val="005A1F82"/>
    <w:rsid w:val="005A6C78"/>
    <w:rsid w:val="005B0138"/>
    <w:rsid w:val="005B4C56"/>
    <w:rsid w:val="005C027A"/>
    <w:rsid w:val="005C1614"/>
    <w:rsid w:val="005C474A"/>
    <w:rsid w:val="005C5E41"/>
    <w:rsid w:val="005C78EB"/>
    <w:rsid w:val="005D26DF"/>
    <w:rsid w:val="005E09C0"/>
    <w:rsid w:val="005E0C6D"/>
    <w:rsid w:val="005E0D7B"/>
    <w:rsid w:val="005E2420"/>
    <w:rsid w:val="005E382D"/>
    <w:rsid w:val="005E4DB3"/>
    <w:rsid w:val="005E68AC"/>
    <w:rsid w:val="005E6E36"/>
    <w:rsid w:val="005F12F5"/>
    <w:rsid w:val="005F25A9"/>
    <w:rsid w:val="005F3CE2"/>
    <w:rsid w:val="005F638C"/>
    <w:rsid w:val="00604818"/>
    <w:rsid w:val="00604ED9"/>
    <w:rsid w:val="006121C0"/>
    <w:rsid w:val="006163EA"/>
    <w:rsid w:val="00616F38"/>
    <w:rsid w:val="00621421"/>
    <w:rsid w:val="00621D77"/>
    <w:rsid w:val="006248B4"/>
    <w:rsid w:val="00626D41"/>
    <w:rsid w:val="00626EE0"/>
    <w:rsid w:val="00633CC6"/>
    <w:rsid w:val="0063565E"/>
    <w:rsid w:val="00635695"/>
    <w:rsid w:val="006367DE"/>
    <w:rsid w:val="00636BDE"/>
    <w:rsid w:val="0064497F"/>
    <w:rsid w:val="00647A03"/>
    <w:rsid w:val="00653591"/>
    <w:rsid w:val="00657CA6"/>
    <w:rsid w:val="00662517"/>
    <w:rsid w:val="0067026C"/>
    <w:rsid w:val="00672774"/>
    <w:rsid w:val="00672FC9"/>
    <w:rsid w:val="0067358C"/>
    <w:rsid w:val="0068128C"/>
    <w:rsid w:val="00683B0E"/>
    <w:rsid w:val="006862A7"/>
    <w:rsid w:val="0069017F"/>
    <w:rsid w:val="006909EB"/>
    <w:rsid w:val="00691C65"/>
    <w:rsid w:val="00695665"/>
    <w:rsid w:val="006A4109"/>
    <w:rsid w:val="006A5296"/>
    <w:rsid w:val="006A7D2C"/>
    <w:rsid w:val="006B2A23"/>
    <w:rsid w:val="006B4EC8"/>
    <w:rsid w:val="006B55B2"/>
    <w:rsid w:val="006C02FB"/>
    <w:rsid w:val="006C1B44"/>
    <w:rsid w:val="006C2DBC"/>
    <w:rsid w:val="006C3585"/>
    <w:rsid w:val="006C3BAC"/>
    <w:rsid w:val="006C4752"/>
    <w:rsid w:val="006C559A"/>
    <w:rsid w:val="006C5776"/>
    <w:rsid w:val="006C5C9F"/>
    <w:rsid w:val="006C6489"/>
    <w:rsid w:val="006C64C1"/>
    <w:rsid w:val="006C699C"/>
    <w:rsid w:val="006D0874"/>
    <w:rsid w:val="006D1E38"/>
    <w:rsid w:val="006D36A4"/>
    <w:rsid w:val="006D4F90"/>
    <w:rsid w:val="006D575C"/>
    <w:rsid w:val="006D6FA6"/>
    <w:rsid w:val="006E07A7"/>
    <w:rsid w:val="006E5896"/>
    <w:rsid w:val="006E6A35"/>
    <w:rsid w:val="006E77D7"/>
    <w:rsid w:val="006F15D5"/>
    <w:rsid w:val="006F248E"/>
    <w:rsid w:val="006F492E"/>
    <w:rsid w:val="006F56B1"/>
    <w:rsid w:val="006F5DCB"/>
    <w:rsid w:val="006F7853"/>
    <w:rsid w:val="006F7971"/>
    <w:rsid w:val="00701191"/>
    <w:rsid w:val="0070401F"/>
    <w:rsid w:val="00704827"/>
    <w:rsid w:val="00705001"/>
    <w:rsid w:val="0071048E"/>
    <w:rsid w:val="007107B0"/>
    <w:rsid w:val="00712617"/>
    <w:rsid w:val="00714317"/>
    <w:rsid w:val="007149D6"/>
    <w:rsid w:val="0071611E"/>
    <w:rsid w:val="00721929"/>
    <w:rsid w:val="00730D92"/>
    <w:rsid w:val="00735103"/>
    <w:rsid w:val="00735F99"/>
    <w:rsid w:val="00736FD4"/>
    <w:rsid w:val="00742A41"/>
    <w:rsid w:val="007448B4"/>
    <w:rsid w:val="00746C24"/>
    <w:rsid w:val="00750239"/>
    <w:rsid w:val="0075127F"/>
    <w:rsid w:val="00751B4F"/>
    <w:rsid w:val="00752E4C"/>
    <w:rsid w:val="00754973"/>
    <w:rsid w:val="00757CD9"/>
    <w:rsid w:val="00770D3C"/>
    <w:rsid w:val="007721FA"/>
    <w:rsid w:val="0077399E"/>
    <w:rsid w:val="00776CB4"/>
    <w:rsid w:val="0078376A"/>
    <w:rsid w:val="00784EC4"/>
    <w:rsid w:val="00786CEF"/>
    <w:rsid w:val="00787AD0"/>
    <w:rsid w:val="00792367"/>
    <w:rsid w:val="00792B72"/>
    <w:rsid w:val="00794FE5"/>
    <w:rsid w:val="007964C2"/>
    <w:rsid w:val="00797C3D"/>
    <w:rsid w:val="007A0D05"/>
    <w:rsid w:val="007A0FF5"/>
    <w:rsid w:val="007A1E03"/>
    <w:rsid w:val="007A2711"/>
    <w:rsid w:val="007A4331"/>
    <w:rsid w:val="007A45FA"/>
    <w:rsid w:val="007A6D65"/>
    <w:rsid w:val="007B085A"/>
    <w:rsid w:val="007B1A76"/>
    <w:rsid w:val="007B2467"/>
    <w:rsid w:val="007B2744"/>
    <w:rsid w:val="007B3E84"/>
    <w:rsid w:val="007B519B"/>
    <w:rsid w:val="007B73DC"/>
    <w:rsid w:val="007C15BE"/>
    <w:rsid w:val="007C1AEC"/>
    <w:rsid w:val="007C51BD"/>
    <w:rsid w:val="007D1B8E"/>
    <w:rsid w:val="007D2B6F"/>
    <w:rsid w:val="007D37E2"/>
    <w:rsid w:val="007D3BE8"/>
    <w:rsid w:val="007D5177"/>
    <w:rsid w:val="007D5238"/>
    <w:rsid w:val="007D704D"/>
    <w:rsid w:val="007E07E8"/>
    <w:rsid w:val="007E09C9"/>
    <w:rsid w:val="007E23D9"/>
    <w:rsid w:val="007E2E9D"/>
    <w:rsid w:val="007E3AB7"/>
    <w:rsid w:val="007E4491"/>
    <w:rsid w:val="007E5E3F"/>
    <w:rsid w:val="007E6050"/>
    <w:rsid w:val="007E6641"/>
    <w:rsid w:val="007F18C8"/>
    <w:rsid w:val="007F5CCE"/>
    <w:rsid w:val="00800275"/>
    <w:rsid w:val="00800FF4"/>
    <w:rsid w:val="00804475"/>
    <w:rsid w:val="008058EA"/>
    <w:rsid w:val="008059C8"/>
    <w:rsid w:val="0080619E"/>
    <w:rsid w:val="008069AD"/>
    <w:rsid w:val="008073BD"/>
    <w:rsid w:val="00811734"/>
    <w:rsid w:val="00813919"/>
    <w:rsid w:val="00814EAD"/>
    <w:rsid w:val="00814F43"/>
    <w:rsid w:val="008150F1"/>
    <w:rsid w:val="00820871"/>
    <w:rsid w:val="00822AE5"/>
    <w:rsid w:val="00824F60"/>
    <w:rsid w:val="0083041C"/>
    <w:rsid w:val="00830622"/>
    <w:rsid w:val="00830741"/>
    <w:rsid w:val="00830D7A"/>
    <w:rsid w:val="00832B5E"/>
    <w:rsid w:val="00834143"/>
    <w:rsid w:val="008347F0"/>
    <w:rsid w:val="00835F36"/>
    <w:rsid w:val="008360F8"/>
    <w:rsid w:val="008367AB"/>
    <w:rsid w:val="00836A34"/>
    <w:rsid w:val="00837836"/>
    <w:rsid w:val="00837855"/>
    <w:rsid w:val="00840643"/>
    <w:rsid w:val="00842BF8"/>
    <w:rsid w:val="00851056"/>
    <w:rsid w:val="00851406"/>
    <w:rsid w:val="00851AB0"/>
    <w:rsid w:val="00852E07"/>
    <w:rsid w:val="00855D2B"/>
    <w:rsid w:val="00862A0D"/>
    <w:rsid w:val="00862A39"/>
    <w:rsid w:val="00863774"/>
    <w:rsid w:val="00863DC5"/>
    <w:rsid w:val="00870597"/>
    <w:rsid w:val="00870FD0"/>
    <w:rsid w:val="00871CF4"/>
    <w:rsid w:val="008738C0"/>
    <w:rsid w:val="00874E88"/>
    <w:rsid w:val="008763A2"/>
    <w:rsid w:val="00881A63"/>
    <w:rsid w:val="00882941"/>
    <w:rsid w:val="00884431"/>
    <w:rsid w:val="008902C9"/>
    <w:rsid w:val="00890C06"/>
    <w:rsid w:val="00891712"/>
    <w:rsid w:val="008923ED"/>
    <w:rsid w:val="008937C2"/>
    <w:rsid w:val="0089797C"/>
    <w:rsid w:val="00897FF1"/>
    <w:rsid w:val="008A1B39"/>
    <w:rsid w:val="008A292C"/>
    <w:rsid w:val="008A52EF"/>
    <w:rsid w:val="008B2B63"/>
    <w:rsid w:val="008B3676"/>
    <w:rsid w:val="008B3AB2"/>
    <w:rsid w:val="008B5845"/>
    <w:rsid w:val="008C042C"/>
    <w:rsid w:val="008C108A"/>
    <w:rsid w:val="008C4C57"/>
    <w:rsid w:val="008C5945"/>
    <w:rsid w:val="008C6BF6"/>
    <w:rsid w:val="008D03EF"/>
    <w:rsid w:val="008D16D5"/>
    <w:rsid w:val="008D23F1"/>
    <w:rsid w:val="008D4CE8"/>
    <w:rsid w:val="008D706E"/>
    <w:rsid w:val="008E0C1E"/>
    <w:rsid w:val="008E0FAB"/>
    <w:rsid w:val="008E12DA"/>
    <w:rsid w:val="008E1362"/>
    <w:rsid w:val="008E2FAF"/>
    <w:rsid w:val="008E43B9"/>
    <w:rsid w:val="008F2482"/>
    <w:rsid w:val="008F24CE"/>
    <w:rsid w:val="008F281E"/>
    <w:rsid w:val="008F2EB6"/>
    <w:rsid w:val="008F3495"/>
    <w:rsid w:val="008F4FDE"/>
    <w:rsid w:val="008F6053"/>
    <w:rsid w:val="00900E98"/>
    <w:rsid w:val="00904443"/>
    <w:rsid w:val="00905E71"/>
    <w:rsid w:val="00910E4B"/>
    <w:rsid w:val="009140F1"/>
    <w:rsid w:val="0091611F"/>
    <w:rsid w:val="0091707F"/>
    <w:rsid w:val="00920D05"/>
    <w:rsid w:val="00921051"/>
    <w:rsid w:val="00923165"/>
    <w:rsid w:val="00923E2B"/>
    <w:rsid w:val="00925910"/>
    <w:rsid w:val="00926383"/>
    <w:rsid w:val="00931EC3"/>
    <w:rsid w:val="00931F4A"/>
    <w:rsid w:val="00935358"/>
    <w:rsid w:val="00937B14"/>
    <w:rsid w:val="009409C6"/>
    <w:rsid w:val="009531E4"/>
    <w:rsid w:val="00955A25"/>
    <w:rsid w:val="00955CD1"/>
    <w:rsid w:val="00960E14"/>
    <w:rsid w:val="00963E8A"/>
    <w:rsid w:val="009664A0"/>
    <w:rsid w:val="00966B9B"/>
    <w:rsid w:val="009675B8"/>
    <w:rsid w:val="00967862"/>
    <w:rsid w:val="00970150"/>
    <w:rsid w:val="00973A65"/>
    <w:rsid w:val="00974704"/>
    <w:rsid w:val="00974B0B"/>
    <w:rsid w:val="00980D64"/>
    <w:rsid w:val="00981FE8"/>
    <w:rsid w:val="00982482"/>
    <w:rsid w:val="0098342A"/>
    <w:rsid w:val="009850DC"/>
    <w:rsid w:val="00986D0E"/>
    <w:rsid w:val="00990C65"/>
    <w:rsid w:val="00991302"/>
    <w:rsid w:val="00991909"/>
    <w:rsid w:val="00991910"/>
    <w:rsid w:val="00994A7A"/>
    <w:rsid w:val="0099574F"/>
    <w:rsid w:val="009A1F67"/>
    <w:rsid w:val="009A58A5"/>
    <w:rsid w:val="009B070F"/>
    <w:rsid w:val="009B08FF"/>
    <w:rsid w:val="009B0AC7"/>
    <w:rsid w:val="009B367E"/>
    <w:rsid w:val="009B4097"/>
    <w:rsid w:val="009B4833"/>
    <w:rsid w:val="009C0027"/>
    <w:rsid w:val="009C1810"/>
    <w:rsid w:val="009C23BE"/>
    <w:rsid w:val="009C380B"/>
    <w:rsid w:val="009C52CE"/>
    <w:rsid w:val="009C583B"/>
    <w:rsid w:val="009C7086"/>
    <w:rsid w:val="009D092B"/>
    <w:rsid w:val="009D0F5E"/>
    <w:rsid w:val="009D17C8"/>
    <w:rsid w:val="009D19F3"/>
    <w:rsid w:val="009D24DE"/>
    <w:rsid w:val="009D4C07"/>
    <w:rsid w:val="009E1605"/>
    <w:rsid w:val="009E2C78"/>
    <w:rsid w:val="009E32E2"/>
    <w:rsid w:val="009E44D2"/>
    <w:rsid w:val="009E7B44"/>
    <w:rsid w:val="009F0C06"/>
    <w:rsid w:val="009F18A9"/>
    <w:rsid w:val="009F1E7B"/>
    <w:rsid w:val="009F2DE5"/>
    <w:rsid w:val="009F6D1E"/>
    <w:rsid w:val="00A00562"/>
    <w:rsid w:val="00A009C2"/>
    <w:rsid w:val="00A018A6"/>
    <w:rsid w:val="00A019AC"/>
    <w:rsid w:val="00A0244F"/>
    <w:rsid w:val="00A0303C"/>
    <w:rsid w:val="00A04E96"/>
    <w:rsid w:val="00A06D17"/>
    <w:rsid w:val="00A12A19"/>
    <w:rsid w:val="00A149F9"/>
    <w:rsid w:val="00A15271"/>
    <w:rsid w:val="00A216A7"/>
    <w:rsid w:val="00A22B24"/>
    <w:rsid w:val="00A30029"/>
    <w:rsid w:val="00A303BF"/>
    <w:rsid w:val="00A34A89"/>
    <w:rsid w:val="00A34C02"/>
    <w:rsid w:val="00A37657"/>
    <w:rsid w:val="00A4050A"/>
    <w:rsid w:val="00A41348"/>
    <w:rsid w:val="00A415C7"/>
    <w:rsid w:val="00A445DD"/>
    <w:rsid w:val="00A45F14"/>
    <w:rsid w:val="00A522BE"/>
    <w:rsid w:val="00A52300"/>
    <w:rsid w:val="00A53F74"/>
    <w:rsid w:val="00A54884"/>
    <w:rsid w:val="00A60BB6"/>
    <w:rsid w:val="00A610AD"/>
    <w:rsid w:val="00A610D0"/>
    <w:rsid w:val="00A65078"/>
    <w:rsid w:val="00A71656"/>
    <w:rsid w:val="00A729A4"/>
    <w:rsid w:val="00A81D19"/>
    <w:rsid w:val="00A82996"/>
    <w:rsid w:val="00A85590"/>
    <w:rsid w:val="00A85926"/>
    <w:rsid w:val="00A903A7"/>
    <w:rsid w:val="00A93A9C"/>
    <w:rsid w:val="00A94426"/>
    <w:rsid w:val="00A96CA4"/>
    <w:rsid w:val="00A97384"/>
    <w:rsid w:val="00AA0603"/>
    <w:rsid w:val="00AA4CC5"/>
    <w:rsid w:val="00AA7674"/>
    <w:rsid w:val="00AB47A5"/>
    <w:rsid w:val="00AB5886"/>
    <w:rsid w:val="00AC2762"/>
    <w:rsid w:val="00AC614F"/>
    <w:rsid w:val="00AD2410"/>
    <w:rsid w:val="00AD2AA9"/>
    <w:rsid w:val="00AD3BA2"/>
    <w:rsid w:val="00AD4846"/>
    <w:rsid w:val="00AD544E"/>
    <w:rsid w:val="00AD76E0"/>
    <w:rsid w:val="00AE0A20"/>
    <w:rsid w:val="00AE1078"/>
    <w:rsid w:val="00AE15C5"/>
    <w:rsid w:val="00AE3D52"/>
    <w:rsid w:val="00AE4E63"/>
    <w:rsid w:val="00AE5D68"/>
    <w:rsid w:val="00AE784E"/>
    <w:rsid w:val="00AF38CA"/>
    <w:rsid w:val="00AF3CD7"/>
    <w:rsid w:val="00B05BF1"/>
    <w:rsid w:val="00B0619F"/>
    <w:rsid w:val="00B10FA8"/>
    <w:rsid w:val="00B115A9"/>
    <w:rsid w:val="00B13498"/>
    <w:rsid w:val="00B1402E"/>
    <w:rsid w:val="00B154FE"/>
    <w:rsid w:val="00B1667F"/>
    <w:rsid w:val="00B1743D"/>
    <w:rsid w:val="00B17AE0"/>
    <w:rsid w:val="00B17BDE"/>
    <w:rsid w:val="00B205D0"/>
    <w:rsid w:val="00B22CDF"/>
    <w:rsid w:val="00B22DBB"/>
    <w:rsid w:val="00B23943"/>
    <w:rsid w:val="00B27B9B"/>
    <w:rsid w:val="00B318F3"/>
    <w:rsid w:val="00B42758"/>
    <w:rsid w:val="00B43787"/>
    <w:rsid w:val="00B45756"/>
    <w:rsid w:val="00B467BC"/>
    <w:rsid w:val="00B47D44"/>
    <w:rsid w:val="00B5086D"/>
    <w:rsid w:val="00B50D57"/>
    <w:rsid w:val="00B517F7"/>
    <w:rsid w:val="00B51AC1"/>
    <w:rsid w:val="00B53202"/>
    <w:rsid w:val="00B549ED"/>
    <w:rsid w:val="00B562EE"/>
    <w:rsid w:val="00B605D3"/>
    <w:rsid w:val="00B6083A"/>
    <w:rsid w:val="00B61018"/>
    <w:rsid w:val="00B61350"/>
    <w:rsid w:val="00B64B3E"/>
    <w:rsid w:val="00B65A9A"/>
    <w:rsid w:val="00B67290"/>
    <w:rsid w:val="00B70BFA"/>
    <w:rsid w:val="00B730A1"/>
    <w:rsid w:val="00B75CA4"/>
    <w:rsid w:val="00B80CC7"/>
    <w:rsid w:val="00B8131A"/>
    <w:rsid w:val="00B818E2"/>
    <w:rsid w:val="00B8262A"/>
    <w:rsid w:val="00B84136"/>
    <w:rsid w:val="00B84744"/>
    <w:rsid w:val="00B85873"/>
    <w:rsid w:val="00B86F67"/>
    <w:rsid w:val="00B87C86"/>
    <w:rsid w:val="00B904D2"/>
    <w:rsid w:val="00B90546"/>
    <w:rsid w:val="00B91C1C"/>
    <w:rsid w:val="00B935AA"/>
    <w:rsid w:val="00B96EC3"/>
    <w:rsid w:val="00B973E8"/>
    <w:rsid w:val="00B97C92"/>
    <w:rsid w:val="00BA0095"/>
    <w:rsid w:val="00BA3BE0"/>
    <w:rsid w:val="00BA4981"/>
    <w:rsid w:val="00BA4AA0"/>
    <w:rsid w:val="00BA6619"/>
    <w:rsid w:val="00BA6C47"/>
    <w:rsid w:val="00BB0804"/>
    <w:rsid w:val="00BB23B2"/>
    <w:rsid w:val="00BB2BCD"/>
    <w:rsid w:val="00BB551F"/>
    <w:rsid w:val="00BC1627"/>
    <w:rsid w:val="00BC20DE"/>
    <w:rsid w:val="00BC4454"/>
    <w:rsid w:val="00BC64AD"/>
    <w:rsid w:val="00BD24AA"/>
    <w:rsid w:val="00BD25CF"/>
    <w:rsid w:val="00BD5290"/>
    <w:rsid w:val="00BD538E"/>
    <w:rsid w:val="00BD76E3"/>
    <w:rsid w:val="00BE2A6B"/>
    <w:rsid w:val="00BE2F2A"/>
    <w:rsid w:val="00BE2F86"/>
    <w:rsid w:val="00BE65CE"/>
    <w:rsid w:val="00BE71F8"/>
    <w:rsid w:val="00BF082D"/>
    <w:rsid w:val="00BF5178"/>
    <w:rsid w:val="00BF66EB"/>
    <w:rsid w:val="00BF6CBC"/>
    <w:rsid w:val="00C00BCB"/>
    <w:rsid w:val="00C00EB4"/>
    <w:rsid w:val="00C01E76"/>
    <w:rsid w:val="00C0346E"/>
    <w:rsid w:val="00C04EF1"/>
    <w:rsid w:val="00C07CDD"/>
    <w:rsid w:val="00C10623"/>
    <w:rsid w:val="00C107D8"/>
    <w:rsid w:val="00C143BE"/>
    <w:rsid w:val="00C15A83"/>
    <w:rsid w:val="00C22B6F"/>
    <w:rsid w:val="00C24328"/>
    <w:rsid w:val="00C248F0"/>
    <w:rsid w:val="00C25114"/>
    <w:rsid w:val="00C253BC"/>
    <w:rsid w:val="00C317D9"/>
    <w:rsid w:val="00C36F0D"/>
    <w:rsid w:val="00C372E0"/>
    <w:rsid w:val="00C43732"/>
    <w:rsid w:val="00C43CA0"/>
    <w:rsid w:val="00C45D89"/>
    <w:rsid w:val="00C4601E"/>
    <w:rsid w:val="00C4751A"/>
    <w:rsid w:val="00C475D4"/>
    <w:rsid w:val="00C47928"/>
    <w:rsid w:val="00C52FEE"/>
    <w:rsid w:val="00C54E6B"/>
    <w:rsid w:val="00C552F1"/>
    <w:rsid w:val="00C55A80"/>
    <w:rsid w:val="00C64449"/>
    <w:rsid w:val="00C648CE"/>
    <w:rsid w:val="00C65946"/>
    <w:rsid w:val="00C70501"/>
    <w:rsid w:val="00C721B4"/>
    <w:rsid w:val="00C7535D"/>
    <w:rsid w:val="00C768C4"/>
    <w:rsid w:val="00C77827"/>
    <w:rsid w:val="00C77A60"/>
    <w:rsid w:val="00C83159"/>
    <w:rsid w:val="00C902D5"/>
    <w:rsid w:val="00C908F0"/>
    <w:rsid w:val="00C91715"/>
    <w:rsid w:val="00C9231C"/>
    <w:rsid w:val="00C925BB"/>
    <w:rsid w:val="00C952DF"/>
    <w:rsid w:val="00CA15CD"/>
    <w:rsid w:val="00CA16A5"/>
    <w:rsid w:val="00CA4080"/>
    <w:rsid w:val="00CA4F7B"/>
    <w:rsid w:val="00CA5AD4"/>
    <w:rsid w:val="00CA6430"/>
    <w:rsid w:val="00CA71BE"/>
    <w:rsid w:val="00CB344C"/>
    <w:rsid w:val="00CB5CBD"/>
    <w:rsid w:val="00CB6A16"/>
    <w:rsid w:val="00CB6B2C"/>
    <w:rsid w:val="00CB75BA"/>
    <w:rsid w:val="00CC1236"/>
    <w:rsid w:val="00CC16AE"/>
    <w:rsid w:val="00CC4158"/>
    <w:rsid w:val="00CC44AA"/>
    <w:rsid w:val="00CC63C5"/>
    <w:rsid w:val="00CC709D"/>
    <w:rsid w:val="00CD0A96"/>
    <w:rsid w:val="00CD223E"/>
    <w:rsid w:val="00CD348E"/>
    <w:rsid w:val="00CD4044"/>
    <w:rsid w:val="00CD4323"/>
    <w:rsid w:val="00CE1651"/>
    <w:rsid w:val="00CE36AA"/>
    <w:rsid w:val="00CF70AA"/>
    <w:rsid w:val="00CF7DE8"/>
    <w:rsid w:val="00CF7EAA"/>
    <w:rsid w:val="00D015A6"/>
    <w:rsid w:val="00D02191"/>
    <w:rsid w:val="00D02ACC"/>
    <w:rsid w:val="00D02CD9"/>
    <w:rsid w:val="00D032DB"/>
    <w:rsid w:val="00D0722B"/>
    <w:rsid w:val="00D10A28"/>
    <w:rsid w:val="00D10E4C"/>
    <w:rsid w:val="00D10FB7"/>
    <w:rsid w:val="00D1163F"/>
    <w:rsid w:val="00D127E1"/>
    <w:rsid w:val="00D1295D"/>
    <w:rsid w:val="00D12B21"/>
    <w:rsid w:val="00D13040"/>
    <w:rsid w:val="00D15683"/>
    <w:rsid w:val="00D17636"/>
    <w:rsid w:val="00D20637"/>
    <w:rsid w:val="00D2306B"/>
    <w:rsid w:val="00D24A4A"/>
    <w:rsid w:val="00D25C70"/>
    <w:rsid w:val="00D260FA"/>
    <w:rsid w:val="00D26147"/>
    <w:rsid w:val="00D2703F"/>
    <w:rsid w:val="00D3072A"/>
    <w:rsid w:val="00D324A8"/>
    <w:rsid w:val="00D32610"/>
    <w:rsid w:val="00D37D7D"/>
    <w:rsid w:val="00D41021"/>
    <w:rsid w:val="00D437AF"/>
    <w:rsid w:val="00D44549"/>
    <w:rsid w:val="00D45B6F"/>
    <w:rsid w:val="00D46AD5"/>
    <w:rsid w:val="00D47319"/>
    <w:rsid w:val="00D47D3F"/>
    <w:rsid w:val="00D53AB1"/>
    <w:rsid w:val="00D54954"/>
    <w:rsid w:val="00D56F82"/>
    <w:rsid w:val="00D57817"/>
    <w:rsid w:val="00D62C7B"/>
    <w:rsid w:val="00D62F3E"/>
    <w:rsid w:val="00D654E3"/>
    <w:rsid w:val="00D67299"/>
    <w:rsid w:val="00D67B9E"/>
    <w:rsid w:val="00D7162C"/>
    <w:rsid w:val="00D71B57"/>
    <w:rsid w:val="00D728F0"/>
    <w:rsid w:val="00D7300C"/>
    <w:rsid w:val="00D7336D"/>
    <w:rsid w:val="00D7448E"/>
    <w:rsid w:val="00D777FD"/>
    <w:rsid w:val="00D81787"/>
    <w:rsid w:val="00D81CC9"/>
    <w:rsid w:val="00D833C7"/>
    <w:rsid w:val="00D85D14"/>
    <w:rsid w:val="00D871F6"/>
    <w:rsid w:val="00D94881"/>
    <w:rsid w:val="00D9533D"/>
    <w:rsid w:val="00D964BA"/>
    <w:rsid w:val="00DA5967"/>
    <w:rsid w:val="00DA66F8"/>
    <w:rsid w:val="00DA7934"/>
    <w:rsid w:val="00DB0B6B"/>
    <w:rsid w:val="00DB1269"/>
    <w:rsid w:val="00DB205C"/>
    <w:rsid w:val="00DB496B"/>
    <w:rsid w:val="00DB56B0"/>
    <w:rsid w:val="00DB647E"/>
    <w:rsid w:val="00DB6CDF"/>
    <w:rsid w:val="00DB7A3B"/>
    <w:rsid w:val="00DC0774"/>
    <w:rsid w:val="00DC23B9"/>
    <w:rsid w:val="00DC29EE"/>
    <w:rsid w:val="00DC3BAB"/>
    <w:rsid w:val="00DC5836"/>
    <w:rsid w:val="00DD7486"/>
    <w:rsid w:val="00DD7FE9"/>
    <w:rsid w:val="00DE063F"/>
    <w:rsid w:val="00DE4F5D"/>
    <w:rsid w:val="00DE5634"/>
    <w:rsid w:val="00DE632C"/>
    <w:rsid w:val="00DE729D"/>
    <w:rsid w:val="00DF0505"/>
    <w:rsid w:val="00DF406C"/>
    <w:rsid w:val="00DF5E24"/>
    <w:rsid w:val="00DF75A3"/>
    <w:rsid w:val="00DF76E3"/>
    <w:rsid w:val="00E01619"/>
    <w:rsid w:val="00E03863"/>
    <w:rsid w:val="00E11A8C"/>
    <w:rsid w:val="00E12060"/>
    <w:rsid w:val="00E16252"/>
    <w:rsid w:val="00E20D7B"/>
    <w:rsid w:val="00E2520E"/>
    <w:rsid w:val="00E254FA"/>
    <w:rsid w:val="00E258B7"/>
    <w:rsid w:val="00E2701A"/>
    <w:rsid w:val="00E312F5"/>
    <w:rsid w:val="00E327D4"/>
    <w:rsid w:val="00E3383F"/>
    <w:rsid w:val="00E35ECF"/>
    <w:rsid w:val="00E36358"/>
    <w:rsid w:val="00E4184A"/>
    <w:rsid w:val="00E44A91"/>
    <w:rsid w:val="00E45211"/>
    <w:rsid w:val="00E45472"/>
    <w:rsid w:val="00E455FF"/>
    <w:rsid w:val="00E46606"/>
    <w:rsid w:val="00E4665E"/>
    <w:rsid w:val="00E51F77"/>
    <w:rsid w:val="00E5231D"/>
    <w:rsid w:val="00E5435C"/>
    <w:rsid w:val="00E555B8"/>
    <w:rsid w:val="00E55926"/>
    <w:rsid w:val="00E55CF8"/>
    <w:rsid w:val="00E56DA3"/>
    <w:rsid w:val="00E60C92"/>
    <w:rsid w:val="00E610E9"/>
    <w:rsid w:val="00E625D9"/>
    <w:rsid w:val="00E6361C"/>
    <w:rsid w:val="00E647C6"/>
    <w:rsid w:val="00E656C1"/>
    <w:rsid w:val="00E75E17"/>
    <w:rsid w:val="00E75FCB"/>
    <w:rsid w:val="00E772EE"/>
    <w:rsid w:val="00E8066E"/>
    <w:rsid w:val="00E82137"/>
    <w:rsid w:val="00E82A3C"/>
    <w:rsid w:val="00E82FB8"/>
    <w:rsid w:val="00E83633"/>
    <w:rsid w:val="00E83771"/>
    <w:rsid w:val="00E85DE0"/>
    <w:rsid w:val="00E8661F"/>
    <w:rsid w:val="00E868A4"/>
    <w:rsid w:val="00E877F5"/>
    <w:rsid w:val="00E919E8"/>
    <w:rsid w:val="00E930B2"/>
    <w:rsid w:val="00E945BC"/>
    <w:rsid w:val="00E94C41"/>
    <w:rsid w:val="00E95121"/>
    <w:rsid w:val="00E95297"/>
    <w:rsid w:val="00E95DB4"/>
    <w:rsid w:val="00EA0309"/>
    <w:rsid w:val="00EA4966"/>
    <w:rsid w:val="00EA4EF1"/>
    <w:rsid w:val="00EA6D8C"/>
    <w:rsid w:val="00EB1B4D"/>
    <w:rsid w:val="00EB331B"/>
    <w:rsid w:val="00EB4F84"/>
    <w:rsid w:val="00EB5443"/>
    <w:rsid w:val="00EB544A"/>
    <w:rsid w:val="00EB5956"/>
    <w:rsid w:val="00EC416D"/>
    <w:rsid w:val="00EC4877"/>
    <w:rsid w:val="00EC4AD4"/>
    <w:rsid w:val="00EC537A"/>
    <w:rsid w:val="00EC5814"/>
    <w:rsid w:val="00ED2246"/>
    <w:rsid w:val="00ED25EE"/>
    <w:rsid w:val="00ED4F89"/>
    <w:rsid w:val="00EE3A85"/>
    <w:rsid w:val="00EE5D3C"/>
    <w:rsid w:val="00EE7064"/>
    <w:rsid w:val="00EE713B"/>
    <w:rsid w:val="00EF0C09"/>
    <w:rsid w:val="00EF2545"/>
    <w:rsid w:val="00EF2B52"/>
    <w:rsid w:val="00EF2D06"/>
    <w:rsid w:val="00F004C0"/>
    <w:rsid w:val="00F010C5"/>
    <w:rsid w:val="00F02383"/>
    <w:rsid w:val="00F0399E"/>
    <w:rsid w:val="00F04F90"/>
    <w:rsid w:val="00F056C7"/>
    <w:rsid w:val="00F07A25"/>
    <w:rsid w:val="00F137E4"/>
    <w:rsid w:val="00F1585A"/>
    <w:rsid w:val="00F15F6B"/>
    <w:rsid w:val="00F225FA"/>
    <w:rsid w:val="00F22999"/>
    <w:rsid w:val="00F240E5"/>
    <w:rsid w:val="00F2450F"/>
    <w:rsid w:val="00F2465F"/>
    <w:rsid w:val="00F27439"/>
    <w:rsid w:val="00F27643"/>
    <w:rsid w:val="00F31FB2"/>
    <w:rsid w:val="00F3299C"/>
    <w:rsid w:val="00F33156"/>
    <w:rsid w:val="00F36C4D"/>
    <w:rsid w:val="00F37D22"/>
    <w:rsid w:val="00F37F29"/>
    <w:rsid w:val="00F410E4"/>
    <w:rsid w:val="00F43635"/>
    <w:rsid w:val="00F505DF"/>
    <w:rsid w:val="00F51849"/>
    <w:rsid w:val="00F52D40"/>
    <w:rsid w:val="00F53B9D"/>
    <w:rsid w:val="00F546E2"/>
    <w:rsid w:val="00F55112"/>
    <w:rsid w:val="00F61D6D"/>
    <w:rsid w:val="00F63399"/>
    <w:rsid w:val="00F64481"/>
    <w:rsid w:val="00F70243"/>
    <w:rsid w:val="00F71EC8"/>
    <w:rsid w:val="00F734BC"/>
    <w:rsid w:val="00F73F11"/>
    <w:rsid w:val="00F7460E"/>
    <w:rsid w:val="00F74DB4"/>
    <w:rsid w:val="00F75705"/>
    <w:rsid w:val="00F7609E"/>
    <w:rsid w:val="00F761A7"/>
    <w:rsid w:val="00F76F5D"/>
    <w:rsid w:val="00F8214E"/>
    <w:rsid w:val="00F84680"/>
    <w:rsid w:val="00F85DE7"/>
    <w:rsid w:val="00F867A2"/>
    <w:rsid w:val="00F9047E"/>
    <w:rsid w:val="00F90949"/>
    <w:rsid w:val="00F92B20"/>
    <w:rsid w:val="00F952E8"/>
    <w:rsid w:val="00F95E44"/>
    <w:rsid w:val="00F96E61"/>
    <w:rsid w:val="00FA2114"/>
    <w:rsid w:val="00FA3885"/>
    <w:rsid w:val="00FA7750"/>
    <w:rsid w:val="00FA7CE7"/>
    <w:rsid w:val="00FB5AC9"/>
    <w:rsid w:val="00FB76B3"/>
    <w:rsid w:val="00FB7BCE"/>
    <w:rsid w:val="00FC4751"/>
    <w:rsid w:val="00FC5911"/>
    <w:rsid w:val="00FC5E2C"/>
    <w:rsid w:val="00FC79E2"/>
    <w:rsid w:val="00FD24E2"/>
    <w:rsid w:val="00FD570B"/>
    <w:rsid w:val="00FD623C"/>
    <w:rsid w:val="00FD734D"/>
    <w:rsid w:val="00FD7797"/>
    <w:rsid w:val="00FE29A1"/>
    <w:rsid w:val="00FE3476"/>
    <w:rsid w:val="00FE444F"/>
    <w:rsid w:val="00FE5BE4"/>
    <w:rsid w:val="00FE65E9"/>
    <w:rsid w:val="00FF01CB"/>
    <w:rsid w:val="00FF21F4"/>
    <w:rsid w:val="00FF2CB0"/>
    <w:rsid w:val="00FF34B9"/>
    <w:rsid w:val="00FF7224"/>
  </w:rsids>
  <m:mathPr>
    <m:mathFont m:val="Cambria Math"/>
    <m:brkBin m:val="before"/>
    <m:brkBinSub m:val="--"/>
    <m:smallFrac m:val="0"/>
    <m:dispDef/>
    <m:lMargin m:val="0"/>
    <m:rMargin m:val="0"/>
    <m:defJc m:val="centerGroup"/>
    <m:wrapIndent m:val="1440"/>
    <m:intLim m:val="subSup"/>
    <m:naryLim m:val="undOvr"/>
  </m:mathPr>
  <w:themeFontLang w:val="ca-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a-ES" w:eastAsia="en-US" w:bidi="ar-SA"/>
      </w:rPr>
    </w:rPrDefault>
    <w:pPrDefault>
      <w:pPr>
        <w:spacing w:after="8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4328"/>
    <w:pPr>
      <w:spacing w:before="120"/>
      <w:jc w:val="both"/>
    </w:pPr>
    <w:rPr>
      <w:rFonts w:ascii="Arial" w:hAnsi="Arial"/>
    </w:rPr>
  </w:style>
  <w:style w:type="paragraph" w:styleId="Ttol1">
    <w:name w:val="heading 1"/>
    <w:next w:val="Normal"/>
    <w:link w:val="Ttol1Car"/>
    <w:autoRedefine/>
    <w:uiPriority w:val="9"/>
    <w:qFormat/>
    <w:rsid w:val="001356BD"/>
    <w:pPr>
      <w:keepNext/>
      <w:keepLines/>
      <w:pageBreakBefore/>
      <w:numPr>
        <w:numId w:val="29"/>
      </w:numPr>
      <w:pBdr>
        <w:bottom w:val="single" w:sz="12" w:space="1" w:color="A6A6A6" w:themeColor="background1" w:themeShade="A6"/>
      </w:pBdr>
      <w:spacing w:before="240" w:after="120"/>
      <w:ind w:left="431" w:hanging="431"/>
      <w:outlineLvl w:val="0"/>
    </w:pPr>
    <w:rPr>
      <w:rFonts w:ascii="Arial" w:eastAsiaTheme="minorEastAsia" w:hAnsi="Arial" w:cstheme="majorBidi"/>
      <w:b/>
      <w:bCs/>
      <w:caps/>
      <w:color w:val="4A442A" w:themeColor="background2" w:themeShade="40"/>
      <w:sz w:val="24"/>
      <w:szCs w:val="28"/>
    </w:rPr>
  </w:style>
  <w:style w:type="paragraph" w:styleId="Ttol2">
    <w:name w:val="heading 2"/>
    <w:basedOn w:val="Ttol1"/>
    <w:next w:val="Normal"/>
    <w:link w:val="Ttol2Car"/>
    <w:uiPriority w:val="9"/>
    <w:unhideWhenUsed/>
    <w:qFormat/>
    <w:rsid w:val="00251955"/>
    <w:pPr>
      <w:pageBreakBefore w:val="0"/>
      <w:numPr>
        <w:ilvl w:val="1"/>
      </w:numPr>
      <w:ind w:left="578" w:hanging="578"/>
      <w:outlineLvl w:val="1"/>
    </w:pPr>
    <w:rPr>
      <w:bCs w:val="0"/>
      <w:szCs w:val="26"/>
    </w:rPr>
  </w:style>
  <w:style w:type="paragraph" w:styleId="Ttol3">
    <w:name w:val="heading 3"/>
    <w:basedOn w:val="Ttol2"/>
    <w:next w:val="Normal"/>
    <w:link w:val="Ttol3Car"/>
    <w:uiPriority w:val="9"/>
    <w:unhideWhenUsed/>
    <w:qFormat/>
    <w:rsid w:val="00B43787"/>
    <w:pPr>
      <w:numPr>
        <w:ilvl w:val="2"/>
      </w:numPr>
      <w:spacing w:before="200"/>
      <w:outlineLvl w:val="2"/>
    </w:pPr>
    <w:rPr>
      <w:bCs/>
    </w:rPr>
  </w:style>
  <w:style w:type="paragraph" w:styleId="Ttol4">
    <w:name w:val="heading 4"/>
    <w:basedOn w:val="Ttol3"/>
    <w:next w:val="Normal"/>
    <w:link w:val="Ttol4Car"/>
    <w:uiPriority w:val="9"/>
    <w:unhideWhenUsed/>
    <w:qFormat/>
    <w:rsid w:val="001356BD"/>
    <w:pPr>
      <w:numPr>
        <w:ilvl w:val="3"/>
      </w:numPr>
      <w:tabs>
        <w:tab w:val="left" w:pos="284"/>
      </w:tabs>
      <w:spacing w:before="120"/>
      <w:outlineLvl w:val="3"/>
    </w:pPr>
    <w:rPr>
      <w:bCs w:val="0"/>
      <w:iCs/>
      <w:color w:val="EEECE1" w:themeColor="background2"/>
      <w14:textFill>
        <w14:solidFill>
          <w14:schemeClr w14:val="bg2">
            <w14:lumMod w14:val="50000"/>
            <w14:lumMod w14:val="25000"/>
            <w14:lumMod w14:val="25000"/>
            <w14:lumMod w14:val="25000"/>
          </w14:schemeClr>
        </w14:solidFill>
      </w14:textFill>
    </w:rPr>
  </w:style>
  <w:style w:type="paragraph" w:styleId="Ttol5">
    <w:name w:val="heading 5"/>
    <w:basedOn w:val="Normal"/>
    <w:next w:val="Normal"/>
    <w:link w:val="Ttol5Car"/>
    <w:uiPriority w:val="9"/>
    <w:unhideWhenUsed/>
    <w:qFormat/>
    <w:rsid w:val="00331D54"/>
    <w:pPr>
      <w:keepNext/>
      <w:keepLines/>
      <w:spacing w:before="200" w:after="0"/>
      <w:outlineLvl w:val="4"/>
    </w:pPr>
    <w:rPr>
      <w:rFonts w:eastAsiaTheme="majorEastAsia" w:cstheme="majorBidi"/>
      <w:b/>
      <w:color w:val="948A54" w:themeColor="background2" w:themeShade="80"/>
    </w:rPr>
  </w:style>
  <w:style w:type="paragraph" w:styleId="Ttol6">
    <w:name w:val="heading 6"/>
    <w:basedOn w:val="Normal"/>
    <w:next w:val="Normal"/>
    <w:link w:val="Ttol6Car"/>
    <w:uiPriority w:val="9"/>
    <w:semiHidden/>
    <w:unhideWhenUsed/>
    <w:qFormat/>
    <w:rsid w:val="001A68F1"/>
    <w:pPr>
      <w:keepNext/>
      <w:keepLines/>
      <w:numPr>
        <w:ilvl w:val="5"/>
        <w:numId w:val="2"/>
      </w:numPr>
      <w:spacing w:before="200" w:after="0"/>
      <w:outlineLvl w:val="5"/>
    </w:pPr>
    <w:rPr>
      <w:rFonts w:asciiTheme="majorHAnsi" w:eastAsiaTheme="majorEastAsia" w:hAnsiTheme="majorHAnsi" w:cstheme="majorBidi"/>
      <w:i/>
      <w:iCs/>
      <w:color w:val="243F60" w:themeColor="accent1" w:themeShade="7F"/>
    </w:rPr>
  </w:style>
  <w:style w:type="paragraph" w:styleId="Ttol7">
    <w:name w:val="heading 7"/>
    <w:basedOn w:val="Normal"/>
    <w:next w:val="Normal"/>
    <w:link w:val="Ttol7Car"/>
    <w:uiPriority w:val="9"/>
    <w:semiHidden/>
    <w:unhideWhenUsed/>
    <w:qFormat/>
    <w:rsid w:val="001A68F1"/>
    <w:pPr>
      <w:keepNext/>
      <w:keepLines/>
      <w:numPr>
        <w:ilvl w:val="6"/>
        <w:numId w:val="2"/>
      </w:numPr>
      <w:spacing w:before="200" w:after="0"/>
      <w:outlineLvl w:val="6"/>
    </w:pPr>
    <w:rPr>
      <w:rFonts w:asciiTheme="majorHAnsi" w:eastAsiaTheme="majorEastAsia" w:hAnsiTheme="majorHAnsi" w:cstheme="majorBidi"/>
      <w:i/>
      <w:iCs/>
      <w:color w:val="404040" w:themeColor="text1" w:themeTint="BF"/>
    </w:rPr>
  </w:style>
  <w:style w:type="paragraph" w:styleId="Ttol8">
    <w:name w:val="heading 8"/>
    <w:basedOn w:val="Normal"/>
    <w:next w:val="Normal"/>
    <w:link w:val="Ttol8Car"/>
    <w:uiPriority w:val="9"/>
    <w:semiHidden/>
    <w:unhideWhenUsed/>
    <w:qFormat/>
    <w:rsid w:val="001A68F1"/>
    <w:pPr>
      <w:keepNext/>
      <w:keepLines/>
      <w:numPr>
        <w:ilvl w:val="7"/>
        <w:numId w:val="2"/>
      </w:numPr>
      <w:spacing w:before="200" w:after="0"/>
      <w:outlineLvl w:val="7"/>
    </w:pPr>
    <w:rPr>
      <w:rFonts w:asciiTheme="majorHAnsi" w:eastAsiaTheme="majorEastAsia" w:hAnsiTheme="majorHAnsi" w:cstheme="majorBidi"/>
      <w:color w:val="404040" w:themeColor="text1" w:themeTint="BF"/>
      <w:szCs w:val="20"/>
    </w:rPr>
  </w:style>
  <w:style w:type="paragraph" w:styleId="Ttol9">
    <w:name w:val="heading 9"/>
    <w:basedOn w:val="Normal"/>
    <w:next w:val="Normal"/>
    <w:link w:val="Ttol9Car"/>
    <w:uiPriority w:val="9"/>
    <w:semiHidden/>
    <w:unhideWhenUsed/>
    <w:qFormat/>
    <w:rsid w:val="001A68F1"/>
    <w:pPr>
      <w:keepNext/>
      <w:keepLines/>
      <w:numPr>
        <w:ilvl w:val="8"/>
        <w:numId w:val="2"/>
      </w:numPr>
      <w:spacing w:before="200" w:after="0"/>
      <w:outlineLvl w:val="8"/>
    </w:pPr>
    <w:rPr>
      <w:rFonts w:asciiTheme="majorHAnsi" w:eastAsiaTheme="majorEastAsia" w:hAnsiTheme="majorHAnsi" w:cstheme="majorBidi"/>
      <w:i/>
      <w:iCs/>
      <w:color w:val="404040" w:themeColor="text1" w:themeTint="BF"/>
      <w:szCs w:val="20"/>
    </w:rPr>
  </w:style>
  <w:style w:type="character" w:default="1" w:styleId="Tipusdelletraperdefectedelpargraf">
    <w:name w:val="Default Paragraph Font"/>
    <w:uiPriority w:val="1"/>
    <w:semiHidden/>
    <w:unhideWhenUsed/>
  </w:style>
  <w:style w:type="table" w:default="1" w:styleId="Taulanormal">
    <w:name w:val="Normal Table"/>
    <w:uiPriority w:val="99"/>
    <w:semiHidden/>
    <w:unhideWhenUsed/>
    <w:tblPr>
      <w:tblInd w:w="0" w:type="dxa"/>
      <w:tblCellMar>
        <w:top w:w="0" w:type="dxa"/>
        <w:left w:w="108" w:type="dxa"/>
        <w:bottom w:w="0" w:type="dxa"/>
        <w:right w:w="108" w:type="dxa"/>
      </w:tblCellMar>
    </w:tblPr>
  </w:style>
  <w:style w:type="numbering" w:default="1" w:styleId="Sensellista">
    <w:name w:val="No List"/>
    <w:uiPriority w:val="99"/>
    <w:semiHidden/>
    <w:unhideWhenUsed/>
  </w:style>
  <w:style w:type="paragraph" w:styleId="Pargrafdellista">
    <w:name w:val="List Paragraph"/>
    <w:basedOn w:val="Normal"/>
    <w:uiPriority w:val="34"/>
    <w:qFormat/>
    <w:rsid w:val="00160DB0"/>
    <w:pPr>
      <w:contextualSpacing/>
    </w:pPr>
  </w:style>
  <w:style w:type="paragraph" w:styleId="NormalWeb">
    <w:name w:val="Normal (Web)"/>
    <w:basedOn w:val="Normal"/>
    <w:uiPriority w:val="99"/>
    <w:semiHidden/>
    <w:unhideWhenUsed/>
    <w:rsid w:val="00FF7224"/>
    <w:pPr>
      <w:spacing w:before="100" w:beforeAutospacing="1" w:after="100" w:afterAutospacing="1"/>
    </w:pPr>
    <w:rPr>
      <w:rFonts w:cs="Times New Roman"/>
      <w:color w:val="000000"/>
      <w:szCs w:val="20"/>
      <w:lang w:eastAsia="ca-ES"/>
    </w:rPr>
  </w:style>
  <w:style w:type="paragraph" w:customStyle="1" w:styleId="normaltopo">
    <w:name w:val="normal topo"/>
    <w:basedOn w:val="Normal"/>
    <w:autoRedefine/>
    <w:rsid w:val="001C5DC1"/>
    <w:pPr>
      <w:numPr>
        <w:numId w:val="1"/>
      </w:numPr>
      <w:spacing w:after="0"/>
    </w:pPr>
    <w:rPr>
      <w:rFonts w:eastAsia="Times New Roman" w:cs="Times New Roman"/>
      <w:szCs w:val="20"/>
    </w:rPr>
  </w:style>
  <w:style w:type="table" w:styleId="Taulaambquadrcula">
    <w:name w:val="Table Grid"/>
    <w:basedOn w:val="Taulanormal"/>
    <w:uiPriority w:val="59"/>
    <w:rsid w:val="00263F64"/>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alera">
    <w:name w:val="header"/>
    <w:basedOn w:val="Normal"/>
    <w:link w:val="CapaleraCar"/>
    <w:uiPriority w:val="99"/>
    <w:unhideWhenUsed/>
    <w:rsid w:val="00CB5CBD"/>
    <w:pPr>
      <w:tabs>
        <w:tab w:val="center" w:pos="4252"/>
        <w:tab w:val="right" w:pos="8504"/>
      </w:tabs>
      <w:spacing w:after="0"/>
    </w:pPr>
  </w:style>
  <w:style w:type="character" w:customStyle="1" w:styleId="CapaleraCar">
    <w:name w:val="Capçalera Car"/>
    <w:basedOn w:val="Tipusdelletraperdefectedelpargraf"/>
    <w:link w:val="Capalera"/>
    <w:uiPriority w:val="99"/>
    <w:rsid w:val="00CB5CBD"/>
  </w:style>
  <w:style w:type="paragraph" w:styleId="Peu">
    <w:name w:val="footer"/>
    <w:basedOn w:val="Normal"/>
    <w:link w:val="PeuCar"/>
    <w:uiPriority w:val="99"/>
    <w:unhideWhenUsed/>
    <w:rsid w:val="00CB5CBD"/>
    <w:pPr>
      <w:tabs>
        <w:tab w:val="center" w:pos="4252"/>
        <w:tab w:val="right" w:pos="8504"/>
      </w:tabs>
      <w:spacing w:after="0"/>
    </w:pPr>
  </w:style>
  <w:style w:type="character" w:customStyle="1" w:styleId="PeuCar">
    <w:name w:val="Peu Car"/>
    <w:basedOn w:val="Tipusdelletraperdefectedelpargraf"/>
    <w:link w:val="Peu"/>
    <w:uiPriority w:val="99"/>
    <w:rsid w:val="00CB5CBD"/>
  </w:style>
  <w:style w:type="paragraph" w:styleId="Textdeglobus">
    <w:name w:val="Balloon Text"/>
    <w:basedOn w:val="Normal"/>
    <w:link w:val="TextdeglobusCar"/>
    <w:uiPriority w:val="99"/>
    <w:semiHidden/>
    <w:unhideWhenUsed/>
    <w:rsid w:val="00024EC3"/>
    <w:pPr>
      <w:spacing w:after="0"/>
    </w:pPr>
    <w:rPr>
      <w:rFonts w:ascii="Tahoma" w:hAnsi="Tahoma" w:cs="Tahoma"/>
      <w:sz w:val="16"/>
      <w:szCs w:val="16"/>
    </w:rPr>
  </w:style>
  <w:style w:type="character" w:customStyle="1" w:styleId="TextdeglobusCar">
    <w:name w:val="Text de globus Car"/>
    <w:basedOn w:val="Tipusdelletraperdefectedelpargraf"/>
    <w:link w:val="Textdeglobus"/>
    <w:uiPriority w:val="99"/>
    <w:semiHidden/>
    <w:rsid w:val="00024EC3"/>
    <w:rPr>
      <w:rFonts w:ascii="Tahoma" w:hAnsi="Tahoma" w:cs="Tahoma"/>
      <w:sz w:val="16"/>
      <w:szCs w:val="16"/>
    </w:rPr>
  </w:style>
  <w:style w:type="character" w:customStyle="1" w:styleId="Ttol1Car">
    <w:name w:val="Títol 1 Car"/>
    <w:basedOn w:val="Tipusdelletraperdefectedelpargraf"/>
    <w:link w:val="Ttol1"/>
    <w:uiPriority w:val="9"/>
    <w:rsid w:val="001356BD"/>
    <w:rPr>
      <w:rFonts w:ascii="Arial" w:eastAsiaTheme="minorEastAsia" w:hAnsi="Arial" w:cstheme="majorBidi"/>
      <w:b/>
      <w:bCs/>
      <w:caps/>
      <w:color w:val="4A442A" w:themeColor="background2" w:themeShade="40"/>
      <w:sz w:val="24"/>
      <w:szCs w:val="28"/>
    </w:rPr>
  </w:style>
  <w:style w:type="paragraph" w:styleId="Llegenda">
    <w:name w:val="caption"/>
    <w:basedOn w:val="Normal"/>
    <w:next w:val="Normal"/>
    <w:uiPriority w:val="35"/>
    <w:unhideWhenUsed/>
    <w:qFormat/>
    <w:rsid w:val="00BA6C47"/>
    <w:rPr>
      <w:b/>
      <w:bCs/>
      <w:color w:val="948A54" w:themeColor="background2" w:themeShade="80"/>
      <w:sz w:val="18"/>
      <w:szCs w:val="18"/>
    </w:rPr>
  </w:style>
  <w:style w:type="paragraph" w:styleId="Textdenotaapeudepgina">
    <w:name w:val="footnote text"/>
    <w:basedOn w:val="Normal"/>
    <w:link w:val="TextdenotaapeudepginaCar"/>
    <w:uiPriority w:val="99"/>
    <w:semiHidden/>
    <w:unhideWhenUsed/>
    <w:rsid w:val="00C43CA0"/>
    <w:pPr>
      <w:spacing w:after="0"/>
    </w:pPr>
    <w:rPr>
      <w:szCs w:val="20"/>
    </w:rPr>
  </w:style>
  <w:style w:type="character" w:customStyle="1" w:styleId="TextdenotaapeudepginaCar">
    <w:name w:val="Text de nota a peu de pàgina Car"/>
    <w:basedOn w:val="Tipusdelletraperdefectedelpargraf"/>
    <w:link w:val="Textdenotaapeudepgina"/>
    <w:uiPriority w:val="99"/>
    <w:semiHidden/>
    <w:rsid w:val="00C43CA0"/>
    <w:rPr>
      <w:rFonts w:ascii="Verdana" w:hAnsi="Verdana"/>
      <w:sz w:val="20"/>
      <w:szCs w:val="20"/>
    </w:rPr>
  </w:style>
  <w:style w:type="character" w:styleId="Refernciadenotaapeudepgina">
    <w:name w:val="footnote reference"/>
    <w:basedOn w:val="Tipusdelletraperdefectedelpargraf"/>
    <w:uiPriority w:val="99"/>
    <w:semiHidden/>
    <w:unhideWhenUsed/>
    <w:rsid w:val="00C43CA0"/>
    <w:rPr>
      <w:vertAlign w:val="superscript"/>
    </w:rPr>
  </w:style>
  <w:style w:type="character" w:customStyle="1" w:styleId="Ttol2Car">
    <w:name w:val="Títol 2 Car"/>
    <w:basedOn w:val="Tipusdelletraperdefectedelpargraf"/>
    <w:link w:val="Ttol2"/>
    <w:uiPriority w:val="9"/>
    <w:rsid w:val="00251955"/>
    <w:rPr>
      <w:rFonts w:ascii="Arial" w:eastAsiaTheme="minorEastAsia" w:hAnsi="Arial" w:cstheme="majorBidi"/>
      <w:b/>
      <w:caps/>
      <w:color w:val="4A442A" w:themeColor="background2" w:themeShade="40"/>
      <w:sz w:val="24"/>
      <w:szCs w:val="26"/>
    </w:rPr>
  </w:style>
  <w:style w:type="paragraph" w:styleId="IDC1">
    <w:name w:val="toc 1"/>
    <w:basedOn w:val="Normal"/>
    <w:next w:val="Normal"/>
    <w:autoRedefine/>
    <w:uiPriority w:val="39"/>
    <w:unhideWhenUsed/>
    <w:qFormat/>
    <w:rsid w:val="000C1C83"/>
    <w:pPr>
      <w:spacing w:before="360" w:after="360"/>
      <w:jc w:val="left"/>
    </w:pPr>
    <w:rPr>
      <w:rFonts w:asciiTheme="minorHAnsi" w:hAnsiTheme="minorHAnsi"/>
      <w:b/>
      <w:bCs/>
      <w:caps/>
      <w:u w:val="single"/>
    </w:rPr>
  </w:style>
  <w:style w:type="paragraph" w:styleId="IDC2">
    <w:name w:val="toc 2"/>
    <w:basedOn w:val="Normal"/>
    <w:next w:val="Normal"/>
    <w:autoRedefine/>
    <w:uiPriority w:val="39"/>
    <w:unhideWhenUsed/>
    <w:qFormat/>
    <w:rsid w:val="007B1A76"/>
    <w:pPr>
      <w:spacing w:before="0" w:after="0"/>
      <w:jc w:val="left"/>
    </w:pPr>
    <w:rPr>
      <w:rFonts w:asciiTheme="minorHAnsi" w:hAnsiTheme="minorHAnsi"/>
      <w:b/>
      <w:bCs/>
      <w:smallCaps/>
    </w:rPr>
  </w:style>
  <w:style w:type="paragraph" w:styleId="IDC3">
    <w:name w:val="toc 3"/>
    <w:basedOn w:val="Normal"/>
    <w:next w:val="Normal"/>
    <w:autoRedefine/>
    <w:uiPriority w:val="39"/>
    <w:unhideWhenUsed/>
    <w:qFormat/>
    <w:rsid w:val="00B47D44"/>
    <w:pPr>
      <w:spacing w:before="0" w:after="0"/>
      <w:jc w:val="left"/>
    </w:pPr>
    <w:rPr>
      <w:rFonts w:asciiTheme="minorHAnsi" w:hAnsiTheme="minorHAnsi"/>
      <w:smallCaps/>
    </w:rPr>
  </w:style>
  <w:style w:type="paragraph" w:styleId="IDC4">
    <w:name w:val="toc 4"/>
    <w:basedOn w:val="Normal"/>
    <w:next w:val="Normal"/>
    <w:autoRedefine/>
    <w:uiPriority w:val="39"/>
    <w:unhideWhenUsed/>
    <w:rsid w:val="00B47D44"/>
    <w:pPr>
      <w:spacing w:before="0" w:after="0"/>
      <w:jc w:val="left"/>
    </w:pPr>
    <w:rPr>
      <w:rFonts w:asciiTheme="minorHAnsi" w:hAnsiTheme="minorHAnsi"/>
    </w:rPr>
  </w:style>
  <w:style w:type="paragraph" w:styleId="IDC5">
    <w:name w:val="toc 5"/>
    <w:basedOn w:val="Normal"/>
    <w:next w:val="Normal"/>
    <w:autoRedefine/>
    <w:uiPriority w:val="39"/>
    <w:unhideWhenUsed/>
    <w:rsid w:val="00B47D44"/>
    <w:pPr>
      <w:spacing w:before="0" w:after="0"/>
      <w:jc w:val="left"/>
    </w:pPr>
    <w:rPr>
      <w:rFonts w:asciiTheme="minorHAnsi" w:hAnsiTheme="minorHAnsi"/>
    </w:rPr>
  </w:style>
  <w:style w:type="paragraph" w:styleId="IDC6">
    <w:name w:val="toc 6"/>
    <w:basedOn w:val="Normal"/>
    <w:next w:val="Normal"/>
    <w:autoRedefine/>
    <w:uiPriority w:val="39"/>
    <w:unhideWhenUsed/>
    <w:rsid w:val="00B47D44"/>
    <w:pPr>
      <w:spacing w:before="0" w:after="0"/>
      <w:jc w:val="left"/>
    </w:pPr>
    <w:rPr>
      <w:rFonts w:asciiTheme="minorHAnsi" w:hAnsiTheme="minorHAnsi"/>
    </w:rPr>
  </w:style>
  <w:style w:type="paragraph" w:styleId="IDC7">
    <w:name w:val="toc 7"/>
    <w:basedOn w:val="Normal"/>
    <w:next w:val="Normal"/>
    <w:autoRedefine/>
    <w:uiPriority w:val="39"/>
    <w:unhideWhenUsed/>
    <w:rsid w:val="00B47D44"/>
    <w:pPr>
      <w:spacing w:before="0" w:after="0"/>
      <w:jc w:val="left"/>
    </w:pPr>
    <w:rPr>
      <w:rFonts w:asciiTheme="minorHAnsi" w:hAnsiTheme="minorHAnsi"/>
    </w:rPr>
  </w:style>
  <w:style w:type="paragraph" w:styleId="IDC8">
    <w:name w:val="toc 8"/>
    <w:basedOn w:val="Normal"/>
    <w:next w:val="Normal"/>
    <w:autoRedefine/>
    <w:uiPriority w:val="39"/>
    <w:unhideWhenUsed/>
    <w:rsid w:val="00B47D44"/>
    <w:pPr>
      <w:spacing w:before="0" w:after="0"/>
      <w:jc w:val="left"/>
    </w:pPr>
    <w:rPr>
      <w:rFonts w:asciiTheme="minorHAnsi" w:hAnsiTheme="minorHAnsi"/>
    </w:rPr>
  </w:style>
  <w:style w:type="paragraph" w:styleId="IDC9">
    <w:name w:val="toc 9"/>
    <w:basedOn w:val="Normal"/>
    <w:next w:val="Normal"/>
    <w:autoRedefine/>
    <w:uiPriority w:val="39"/>
    <w:unhideWhenUsed/>
    <w:rsid w:val="00B47D44"/>
    <w:pPr>
      <w:spacing w:before="0" w:after="0"/>
      <w:jc w:val="left"/>
    </w:pPr>
    <w:rPr>
      <w:rFonts w:asciiTheme="minorHAnsi" w:hAnsiTheme="minorHAnsi"/>
    </w:rPr>
  </w:style>
  <w:style w:type="character" w:styleId="Enlla">
    <w:name w:val="Hyperlink"/>
    <w:basedOn w:val="Tipusdelletraperdefectedelpargraf"/>
    <w:uiPriority w:val="99"/>
    <w:unhideWhenUsed/>
    <w:rsid w:val="00B47D44"/>
    <w:rPr>
      <w:color w:val="0000FF" w:themeColor="hyperlink"/>
      <w:u w:val="single"/>
    </w:rPr>
  </w:style>
  <w:style w:type="character" w:customStyle="1" w:styleId="unknown">
    <w:name w:val="unknown"/>
    <w:basedOn w:val="Tipusdelletraperdefectedelpargraf"/>
    <w:rsid w:val="00DB6CDF"/>
    <w:rPr>
      <w:color w:val="FF0000"/>
    </w:rPr>
  </w:style>
  <w:style w:type="character" w:customStyle="1" w:styleId="tranfield1">
    <w:name w:val="tran_field1"/>
    <w:basedOn w:val="Tipusdelletraperdefectedelpargraf"/>
    <w:rsid w:val="00DB6CDF"/>
  </w:style>
  <w:style w:type="paragraph" w:styleId="z-Principidelformulari">
    <w:name w:val="HTML Top of Form"/>
    <w:basedOn w:val="Normal"/>
    <w:next w:val="Normal"/>
    <w:link w:val="z-PrincipidelformulariCar"/>
    <w:hidden/>
    <w:uiPriority w:val="99"/>
    <w:semiHidden/>
    <w:unhideWhenUsed/>
    <w:rsid w:val="00DB6CDF"/>
    <w:pPr>
      <w:pBdr>
        <w:bottom w:val="single" w:sz="6" w:space="1" w:color="auto"/>
      </w:pBdr>
      <w:spacing w:after="0"/>
      <w:jc w:val="center"/>
    </w:pPr>
    <w:rPr>
      <w:rFonts w:eastAsia="Times New Roman" w:cs="Arial"/>
      <w:vanish/>
      <w:sz w:val="16"/>
      <w:szCs w:val="16"/>
      <w:lang w:eastAsia="ca-ES"/>
    </w:rPr>
  </w:style>
  <w:style w:type="character" w:customStyle="1" w:styleId="z-PrincipidelformulariCar">
    <w:name w:val="z-Principi del formulari Car"/>
    <w:basedOn w:val="Tipusdelletraperdefectedelpargraf"/>
    <w:link w:val="z-Principidelformulari"/>
    <w:uiPriority w:val="99"/>
    <w:semiHidden/>
    <w:rsid w:val="00DB6CDF"/>
    <w:rPr>
      <w:rFonts w:ascii="Arial" w:eastAsia="Times New Roman" w:hAnsi="Arial" w:cs="Arial"/>
      <w:vanish/>
      <w:sz w:val="16"/>
      <w:szCs w:val="16"/>
      <w:lang w:eastAsia="ca-ES"/>
    </w:rPr>
  </w:style>
  <w:style w:type="paragraph" w:styleId="z-Finaldelformulari">
    <w:name w:val="HTML Bottom of Form"/>
    <w:basedOn w:val="Normal"/>
    <w:next w:val="Normal"/>
    <w:link w:val="z-FinaldelformulariCar"/>
    <w:hidden/>
    <w:uiPriority w:val="99"/>
    <w:semiHidden/>
    <w:unhideWhenUsed/>
    <w:rsid w:val="00DB6CDF"/>
    <w:pPr>
      <w:pBdr>
        <w:top w:val="single" w:sz="6" w:space="1" w:color="auto"/>
      </w:pBdr>
      <w:spacing w:after="0"/>
      <w:jc w:val="center"/>
    </w:pPr>
    <w:rPr>
      <w:rFonts w:eastAsia="Times New Roman" w:cs="Arial"/>
      <w:vanish/>
      <w:sz w:val="16"/>
      <w:szCs w:val="16"/>
      <w:lang w:eastAsia="ca-ES"/>
    </w:rPr>
  </w:style>
  <w:style w:type="character" w:customStyle="1" w:styleId="z-FinaldelformulariCar">
    <w:name w:val="z-Final del formulari Car"/>
    <w:basedOn w:val="Tipusdelletraperdefectedelpargraf"/>
    <w:link w:val="z-Finaldelformulari"/>
    <w:uiPriority w:val="99"/>
    <w:semiHidden/>
    <w:rsid w:val="00DB6CDF"/>
    <w:rPr>
      <w:rFonts w:ascii="Arial" w:eastAsia="Times New Roman" w:hAnsi="Arial" w:cs="Arial"/>
      <w:vanish/>
      <w:sz w:val="16"/>
      <w:szCs w:val="16"/>
      <w:lang w:eastAsia="ca-ES"/>
    </w:rPr>
  </w:style>
  <w:style w:type="paragraph" w:styleId="Textdenotaalfinal">
    <w:name w:val="endnote text"/>
    <w:basedOn w:val="Normal"/>
    <w:link w:val="TextdenotaalfinalCar"/>
    <w:uiPriority w:val="99"/>
    <w:semiHidden/>
    <w:unhideWhenUsed/>
    <w:rsid w:val="00A216A7"/>
    <w:pPr>
      <w:spacing w:after="0"/>
    </w:pPr>
    <w:rPr>
      <w:szCs w:val="20"/>
    </w:rPr>
  </w:style>
  <w:style w:type="character" w:customStyle="1" w:styleId="TextdenotaalfinalCar">
    <w:name w:val="Text de nota al final Car"/>
    <w:basedOn w:val="Tipusdelletraperdefectedelpargraf"/>
    <w:link w:val="Textdenotaalfinal"/>
    <w:uiPriority w:val="99"/>
    <w:semiHidden/>
    <w:rsid w:val="00A216A7"/>
    <w:rPr>
      <w:rFonts w:ascii="Verdana" w:hAnsi="Verdana"/>
      <w:sz w:val="20"/>
      <w:szCs w:val="20"/>
    </w:rPr>
  </w:style>
  <w:style w:type="character" w:styleId="Refernciadenotaalfinal">
    <w:name w:val="endnote reference"/>
    <w:basedOn w:val="Tipusdelletraperdefectedelpargraf"/>
    <w:uiPriority w:val="99"/>
    <w:semiHidden/>
    <w:unhideWhenUsed/>
    <w:rsid w:val="00A216A7"/>
    <w:rPr>
      <w:vertAlign w:val="superscript"/>
    </w:rPr>
  </w:style>
  <w:style w:type="paragraph" w:styleId="Ttol">
    <w:name w:val="Title"/>
    <w:basedOn w:val="Normal"/>
    <w:next w:val="Normal"/>
    <w:link w:val="TtolCar"/>
    <w:uiPriority w:val="10"/>
    <w:qFormat/>
    <w:rsid w:val="002D3163"/>
    <w:pPr>
      <w:pBdr>
        <w:bottom w:val="single" w:sz="8" w:space="4" w:color="1F497D" w:themeColor="text2"/>
      </w:pBdr>
      <w:spacing w:after="300"/>
      <w:contextualSpacing/>
      <w:jc w:val="center"/>
    </w:pPr>
    <w:rPr>
      <w:rFonts w:asciiTheme="majorHAnsi" w:eastAsiaTheme="majorEastAsia" w:hAnsiTheme="majorHAnsi" w:cstheme="majorBidi"/>
      <w:b/>
      <w:color w:val="4A442A" w:themeColor="background2" w:themeShade="40"/>
      <w:spacing w:val="5"/>
      <w:kern w:val="28"/>
      <w:sz w:val="52"/>
      <w:szCs w:val="52"/>
    </w:rPr>
  </w:style>
  <w:style w:type="character" w:customStyle="1" w:styleId="TtolCar">
    <w:name w:val="Títol Car"/>
    <w:basedOn w:val="Tipusdelletraperdefectedelpargraf"/>
    <w:link w:val="Ttol"/>
    <w:uiPriority w:val="10"/>
    <w:rsid w:val="002D3163"/>
    <w:rPr>
      <w:rFonts w:asciiTheme="majorHAnsi" w:eastAsiaTheme="majorEastAsia" w:hAnsiTheme="majorHAnsi" w:cstheme="majorBidi"/>
      <w:b/>
      <w:color w:val="4A442A" w:themeColor="background2" w:themeShade="40"/>
      <w:spacing w:val="5"/>
      <w:kern w:val="28"/>
      <w:sz w:val="52"/>
      <w:szCs w:val="52"/>
    </w:rPr>
  </w:style>
  <w:style w:type="character" w:styleId="Textennegreta">
    <w:name w:val="Strong"/>
    <w:basedOn w:val="Tipusdelletraperdefectedelpargraf"/>
    <w:uiPriority w:val="22"/>
    <w:qFormat/>
    <w:rsid w:val="00905E71"/>
    <w:rPr>
      <w:rFonts w:ascii="Arial Narrow" w:hAnsi="Arial Narrow"/>
      <w:b w:val="0"/>
      <w:bCs/>
      <w:sz w:val="20"/>
    </w:rPr>
  </w:style>
  <w:style w:type="character" w:styleId="mfasi">
    <w:name w:val="Emphasis"/>
    <w:basedOn w:val="Tipusdelletraperdefectedelpargraf"/>
    <w:uiPriority w:val="20"/>
    <w:qFormat/>
    <w:rsid w:val="00D02191"/>
    <w:rPr>
      <w:i/>
      <w:iCs/>
    </w:rPr>
  </w:style>
  <w:style w:type="paragraph" w:styleId="TtoldelIDC">
    <w:name w:val="TOC Heading"/>
    <w:basedOn w:val="Ttol1"/>
    <w:next w:val="Normal"/>
    <w:uiPriority w:val="39"/>
    <w:unhideWhenUsed/>
    <w:qFormat/>
    <w:rsid w:val="00270AF5"/>
    <w:pPr>
      <w:pageBreakBefore w:val="0"/>
      <w:numPr>
        <w:numId w:val="0"/>
      </w:numPr>
      <w:spacing w:after="0" w:line="276" w:lineRule="auto"/>
      <w:outlineLvl w:val="9"/>
    </w:pPr>
    <w:rPr>
      <w:rFonts w:asciiTheme="majorHAnsi" w:hAnsiTheme="majorHAnsi"/>
      <w:lang w:eastAsia="ca-ES"/>
    </w:rPr>
  </w:style>
  <w:style w:type="character" w:customStyle="1" w:styleId="Ttol3Car">
    <w:name w:val="Títol 3 Car"/>
    <w:basedOn w:val="Tipusdelletraperdefectedelpargraf"/>
    <w:link w:val="Ttol3"/>
    <w:uiPriority w:val="9"/>
    <w:rsid w:val="00B43787"/>
    <w:rPr>
      <w:rFonts w:ascii="Arial" w:eastAsiaTheme="minorEastAsia" w:hAnsi="Arial" w:cstheme="majorBidi"/>
      <w:b/>
      <w:bCs/>
      <w:caps/>
      <w:color w:val="4A442A" w:themeColor="background2" w:themeShade="40"/>
      <w:sz w:val="24"/>
      <w:szCs w:val="26"/>
    </w:rPr>
  </w:style>
  <w:style w:type="character" w:customStyle="1" w:styleId="Ttol4Car">
    <w:name w:val="Títol 4 Car"/>
    <w:basedOn w:val="Tipusdelletraperdefectedelpargraf"/>
    <w:link w:val="Ttol4"/>
    <w:uiPriority w:val="9"/>
    <w:rsid w:val="001356BD"/>
    <w:rPr>
      <w:rFonts w:ascii="Arial" w:eastAsiaTheme="minorEastAsia" w:hAnsi="Arial" w:cstheme="majorBidi"/>
      <w:b/>
      <w:iCs/>
      <w:caps/>
      <w:color w:val="EEECE1" w:themeColor="background2"/>
      <w:sz w:val="24"/>
      <w:szCs w:val="26"/>
      <w14:textFill>
        <w14:solidFill>
          <w14:schemeClr w14:val="bg2">
            <w14:lumMod w14:val="50000"/>
            <w14:lumMod w14:val="25000"/>
            <w14:lumMod w14:val="25000"/>
            <w14:lumMod w14:val="25000"/>
          </w14:schemeClr>
        </w14:solidFill>
      </w14:textFill>
    </w:rPr>
  </w:style>
  <w:style w:type="character" w:customStyle="1" w:styleId="Ttol5Car">
    <w:name w:val="Títol 5 Car"/>
    <w:basedOn w:val="Tipusdelletraperdefectedelpargraf"/>
    <w:link w:val="Ttol5"/>
    <w:uiPriority w:val="9"/>
    <w:rsid w:val="00331D54"/>
    <w:rPr>
      <w:rFonts w:ascii="Arial" w:eastAsiaTheme="majorEastAsia" w:hAnsi="Arial" w:cstheme="majorBidi"/>
      <w:b/>
      <w:color w:val="948A54" w:themeColor="background2" w:themeShade="80"/>
    </w:rPr>
  </w:style>
  <w:style w:type="character" w:customStyle="1" w:styleId="Ttol6Car">
    <w:name w:val="Títol 6 Car"/>
    <w:basedOn w:val="Tipusdelletraperdefectedelpargraf"/>
    <w:link w:val="Ttol6"/>
    <w:uiPriority w:val="9"/>
    <w:semiHidden/>
    <w:rsid w:val="001A68F1"/>
    <w:rPr>
      <w:rFonts w:asciiTheme="majorHAnsi" w:eastAsiaTheme="majorEastAsia" w:hAnsiTheme="majorHAnsi" w:cstheme="majorBidi"/>
      <w:i/>
      <w:iCs/>
      <w:color w:val="243F60" w:themeColor="accent1" w:themeShade="7F"/>
    </w:rPr>
  </w:style>
  <w:style w:type="character" w:customStyle="1" w:styleId="Ttol7Car">
    <w:name w:val="Títol 7 Car"/>
    <w:basedOn w:val="Tipusdelletraperdefectedelpargraf"/>
    <w:link w:val="Ttol7"/>
    <w:uiPriority w:val="9"/>
    <w:semiHidden/>
    <w:rsid w:val="001A68F1"/>
    <w:rPr>
      <w:rFonts w:asciiTheme="majorHAnsi" w:eastAsiaTheme="majorEastAsia" w:hAnsiTheme="majorHAnsi" w:cstheme="majorBidi"/>
      <w:i/>
      <w:iCs/>
      <w:color w:val="404040" w:themeColor="text1" w:themeTint="BF"/>
    </w:rPr>
  </w:style>
  <w:style w:type="character" w:customStyle="1" w:styleId="Ttol8Car">
    <w:name w:val="Títol 8 Car"/>
    <w:basedOn w:val="Tipusdelletraperdefectedelpargraf"/>
    <w:link w:val="Ttol8"/>
    <w:uiPriority w:val="9"/>
    <w:semiHidden/>
    <w:rsid w:val="001A68F1"/>
    <w:rPr>
      <w:rFonts w:asciiTheme="majorHAnsi" w:eastAsiaTheme="majorEastAsia" w:hAnsiTheme="majorHAnsi" w:cstheme="majorBidi"/>
      <w:color w:val="404040" w:themeColor="text1" w:themeTint="BF"/>
      <w:szCs w:val="20"/>
    </w:rPr>
  </w:style>
  <w:style w:type="character" w:customStyle="1" w:styleId="Ttol9Car">
    <w:name w:val="Títol 9 Car"/>
    <w:basedOn w:val="Tipusdelletraperdefectedelpargraf"/>
    <w:link w:val="Ttol9"/>
    <w:uiPriority w:val="9"/>
    <w:semiHidden/>
    <w:rsid w:val="001A68F1"/>
    <w:rPr>
      <w:rFonts w:asciiTheme="majorHAnsi" w:eastAsiaTheme="majorEastAsia" w:hAnsiTheme="majorHAnsi" w:cstheme="majorBidi"/>
      <w:i/>
      <w:iCs/>
      <w:color w:val="404040" w:themeColor="text1" w:themeTint="BF"/>
      <w:szCs w:val="20"/>
    </w:rPr>
  </w:style>
  <w:style w:type="character" w:styleId="Refernciadecomentari">
    <w:name w:val="annotation reference"/>
    <w:basedOn w:val="Tipusdelletraperdefectedelpargraf"/>
    <w:uiPriority w:val="99"/>
    <w:semiHidden/>
    <w:unhideWhenUsed/>
    <w:rsid w:val="002D1F3D"/>
    <w:rPr>
      <w:sz w:val="16"/>
      <w:szCs w:val="16"/>
    </w:rPr>
  </w:style>
  <w:style w:type="paragraph" w:styleId="Textdecomentari">
    <w:name w:val="annotation text"/>
    <w:basedOn w:val="Normal"/>
    <w:link w:val="TextdecomentariCar"/>
    <w:uiPriority w:val="99"/>
    <w:semiHidden/>
    <w:unhideWhenUsed/>
    <w:rsid w:val="002D1F3D"/>
    <w:rPr>
      <w:szCs w:val="20"/>
    </w:rPr>
  </w:style>
  <w:style w:type="character" w:customStyle="1" w:styleId="TextdecomentariCar">
    <w:name w:val="Text de comentari Car"/>
    <w:basedOn w:val="Tipusdelletraperdefectedelpargraf"/>
    <w:link w:val="Textdecomentari"/>
    <w:uiPriority w:val="99"/>
    <w:semiHidden/>
    <w:rsid w:val="002D1F3D"/>
    <w:rPr>
      <w:rFonts w:ascii="Verdana" w:hAnsi="Verdana"/>
      <w:sz w:val="20"/>
      <w:szCs w:val="20"/>
    </w:rPr>
  </w:style>
  <w:style w:type="paragraph" w:styleId="Temadelcomentari">
    <w:name w:val="annotation subject"/>
    <w:basedOn w:val="Textdecomentari"/>
    <w:next w:val="Textdecomentari"/>
    <w:link w:val="TemadelcomentariCar"/>
    <w:uiPriority w:val="99"/>
    <w:semiHidden/>
    <w:unhideWhenUsed/>
    <w:rsid w:val="002D1F3D"/>
    <w:rPr>
      <w:b/>
      <w:bCs/>
    </w:rPr>
  </w:style>
  <w:style w:type="character" w:customStyle="1" w:styleId="TemadelcomentariCar">
    <w:name w:val="Tema del comentari Car"/>
    <w:basedOn w:val="TextdecomentariCar"/>
    <w:link w:val="Temadelcomentari"/>
    <w:uiPriority w:val="99"/>
    <w:semiHidden/>
    <w:rsid w:val="002D1F3D"/>
    <w:rPr>
      <w:rFonts w:ascii="Verdana" w:hAnsi="Verdana"/>
      <w:b/>
      <w:bCs/>
      <w:sz w:val="20"/>
      <w:szCs w:val="20"/>
    </w:rPr>
  </w:style>
  <w:style w:type="paragraph" w:styleId="Revisi">
    <w:name w:val="Revision"/>
    <w:hidden/>
    <w:uiPriority w:val="99"/>
    <w:semiHidden/>
    <w:rsid w:val="002D1F3D"/>
    <w:pPr>
      <w:spacing w:after="0"/>
    </w:pPr>
    <w:rPr>
      <w:rFonts w:ascii="Verdana" w:hAnsi="Verdana"/>
      <w:sz w:val="20"/>
    </w:rPr>
  </w:style>
  <w:style w:type="character" w:styleId="Enllavisitat">
    <w:name w:val="FollowedHyperlink"/>
    <w:basedOn w:val="Tipusdelletraperdefectedelpargraf"/>
    <w:uiPriority w:val="99"/>
    <w:semiHidden/>
    <w:unhideWhenUsed/>
    <w:rsid w:val="001B17D1"/>
    <w:rPr>
      <w:color w:val="800080" w:themeColor="followedHyperlink"/>
      <w:u w:val="single"/>
    </w:rPr>
  </w:style>
  <w:style w:type="character" w:styleId="Nmerodepgina">
    <w:name w:val="page number"/>
    <w:basedOn w:val="Tipusdelletraperdefectedelpargraf"/>
    <w:semiHidden/>
    <w:rsid w:val="006C6489"/>
  </w:style>
  <w:style w:type="character" w:customStyle="1" w:styleId="apple-tab-span">
    <w:name w:val="apple-tab-span"/>
    <w:basedOn w:val="Tipusdelletraperdefectedelpargraf"/>
    <w:rsid w:val="007A6D65"/>
  </w:style>
  <w:style w:type="numbering" w:customStyle="1" w:styleId="Sensellista1">
    <w:name w:val="Sense llista1"/>
    <w:next w:val="Sensellista"/>
    <w:uiPriority w:val="99"/>
    <w:semiHidden/>
    <w:unhideWhenUsed/>
    <w:rsid w:val="006A4109"/>
  </w:style>
  <w:style w:type="table" w:customStyle="1" w:styleId="Taulaambquadrcula1">
    <w:name w:val="Taula amb quadrícula1"/>
    <w:basedOn w:val="Taulanormal"/>
    <w:next w:val="Taulaambquadrcula"/>
    <w:uiPriority w:val="59"/>
    <w:rsid w:val="006A4109"/>
    <w:pPr>
      <w:spacing w:after="0" w:line="264" w:lineRule="auto"/>
    </w:pPr>
    <w:rPr>
      <w:rFonts w:eastAsiaTheme="minorEastAs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ubttol">
    <w:name w:val="Subtitle"/>
    <w:basedOn w:val="Normal"/>
    <w:next w:val="Normal"/>
    <w:link w:val="SubttolCar"/>
    <w:uiPriority w:val="11"/>
    <w:qFormat/>
    <w:rsid w:val="006A4109"/>
    <w:pPr>
      <w:numPr>
        <w:ilvl w:val="1"/>
      </w:numPr>
      <w:spacing w:before="0" w:after="120"/>
      <w:jc w:val="left"/>
    </w:pPr>
    <w:rPr>
      <w:rFonts w:asciiTheme="majorHAnsi" w:eastAsiaTheme="majorEastAsia" w:hAnsiTheme="majorHAnsi" w:cstheme="majorBidi"/>
      <w:sz w:val="24"/>
      <w:szCs w:val="24"/>
    </w:rPr>
  </w:style>
  <w:style w:type="character" w:customStyle="1" w:styleId="SubttolCar">
    <w:name w:val="Subtítol Car"/>
    <w:basedOn w:val="Tipusdelletraperdefectedelpargraf"/>
    <w:link w:val="Subttol"/>
    <w:uiPriority w:val="11"/>
    <w:rsid w:val="006A4109"/>
    <w:rPr>
      <w:rFonts w:asciiTheme="majorHAnsi" w:eastAsiaTheme="majorEastAsia" w:hAnsiTheme="majorHAnsi" w:cstheme="majorBidi"/>
      <w:sz w:val="24"/>
      <w:szCs w:val="24"/>
    </w:rPr>
  </w:style>
  <w:style w:type="paragraph" w:styleId="Senseespaiat">
    <w:name w:val="No Spacing"/>
    <w:uiPriority w:val="1"/>
    <w:qFormat/>
    <w:rsid w:val="006A4109"/>
    <w:pPr>
      <w:spacing w:after="0"/>
    </w:pPr>
    <w:rPr>
      <w:rFonts w:eastAsiaTheme="minorEastAsia"/>
      <w:sz w:val="20"/>
      <w:szCs w:val="20"/>
    </w:rPr>
  </w:style>
  <w:style w:type="paragraph" w:styleId="Cita">
    <w:name w:val="Quote"/>
    <w:basedOn w:val="Normal"/>
    <w:next w:val="Normal"/>
    <w:link w:val="CitaCar"/>
    <w:uiPriority w:val="29"/>
    <w:qFormat/>
    <w:rsid w:val="006A4109"/>
    <w:pPr>
      <w:spacing w:before="160" w:after="120" w:line="264" w:lineRule="auto"/>
      <w:ind w:left="720" w:right="720"/>
      <w:jc w:val="left"/>
    </w:pPr>
    <w:rPr>
      <w:rFonts w:asciiTheme="minorHAnsi" w:eastAsiaTheme="minorEastAsia" w:hAnsiTheme="minorHAnsi"/>
      <w:i/>
      <w:iCs/>
      <w:color w:val="404040" w:themeColor="text1" w:themeTint="BF"/>
      <w:sz w:val="20"/>
      <w:szCs w:val="20"/>
    </w:rPr>
  </w:style>
  <w:style w:type="character" w:customStyle="1" w:styleId="CitaCar">
    <w:name w:val="Cita Car"/>
    <w:basedOn w:val="Tipusdelletraperdefectedelpargraf"/>
    <w:link w:val="Cita"/>
    <w:uiPriority w:val="29"/>
    <w:rsid w:val="006A4109"/>
    <w:rPr>
      <w:rFonts w:eastAsiaTheme="minorEastAsia"/>
      <w:i/>
      <w:iCs/>
      <w:color w:val="404040" w:themeColor="text1" w:themeTint="BF"/>
      <w:sz w:val="20"/>
      <w:szCs w:val="20"/>
    </w:rPr>
  </w:style>
  <w:style w:type="paragraph" w:styleId="Citaintensa">
    <w:name w:val="Intense Quote"/>
    <w:basedOn w:val="Normal"/>
    <w:next w:val="Normal"/>
    <w:link w:val="CitaintensaCar"/>
    <w:uiPriority w:val="30"/>
    <w:qFormat/>
    <w:rsid w:val="006A4109"/>
    <w:pPr>
      <w:pBdr>
        <w:left w:val="single" w:sz="18" w:space="12" w:color="4F81BD" w:themeColor="accent1"/>
      </w:pBdr>
      <w:spacing w:before="100" w:beforeAutospacing="1" w:after="120" w:line="300" w:lineRule="auto"/>
      <w:ind w:left="1224" w:right="1224"/>
      <w:jc w:val="left"/>
    </w:pPr>
    <w:rPr>
      <w:rFonts w:asciiTheme="majorHAnsi" w:eastAsiaTheme="majorEastAsia" w:hAnsiTheme="majorHAnsi" w:cstheme="majorBidi"/>
      <w:color w:val="4F81BD" w:themeColor="accent1"/>
      <w:sz w:val="28"/>
      <w:szCs w:val="28"/>
    </w:rPr>
  </w:style>
  <w:style w:type="character" w:customStyle="1" w:styleId="CitaintensaCar">
    <w:name w:val="Cita intensa Car"/>
    <w:basedOn w:val="Tipusdelletraperdefectedelpargraf"/>
    <w:link w:val="Citaintensa"/>
    <w:uiPriority w:val="30"/>
    <w:rsid w:val="006A4109"/>
    <w:rPr>
      <w:rFonts w:asciiTheme="majorHAnsi" w:eastAsiaTheme="majorEastAsia" w:hAnsiTheme="majorHAnsi" w:cstheme="majorBidi"/>
      <w:color w:val="4F81BD" w:themeColor="accent1"/>
      <w:sz w:val="28"/>
      <w:szCs w:val="28"/>
    </w:rPr>
  </w:style>
  <w:style w:type="character" w:styleId="mfasisubtil">
    <w:name w:val="Subtle Emphasis"/>
    <w:basedOn w:val="Tipusdelletraperdefectedelpargraf"/>
    <w:uiPriority w:val="19"/>
    <w:qFormat/>
    <w:rsid w:val="006A4109"/>
    <w:rPr>
      <w:i/>
      <w:iCs/>
      <w:color w:val="404040" w:themeColor="text1" w:themeTint="BF"/>
    </w:rPr>
  </w:style>
  <w:style w:type="character" w:styleId="mfasiintens">
    <w:name w:val="Intense Emphasis"/>
    <w:basedOn w:val="Tipusdelletraperdefectedelpargraf"/>
    <w:uiPriority w:val="21"/>
    <w:qFormat/>
    <w:rsid w:val="006A4109"/>
    <w:rPr>
      <w:b/>
      <w:bCs/>
      <w:i/>
      <w:iCs/>
    </w:rPr>
  </w:style>
  <w:style w:type="character" w:styleId="Refernciasubtil">
    <w:name w:val="Subtle Reference"/>
    <w:basedOn w:val="Tipusdelletraperdefectedelpargraf"/>
    <w:uiPriority w:val="31"/>
    <w:qFormat/>
    <w:rsid w:val="006A4109"/>
    <w:rPr>
      <w:smallCaps/>
      <w:color w:val="404040" w:themeColor="text1" w:themeTint="BF"/>
      <w:u w:val="single" w:color="7F7F7F" w:themeColor="text1" w:themeTint="80"/>
    </w:rPr>
  </w:style>
  <w:style w:type="character" w:styleId="Refernciaintensa">
    <w:name w:val="Intense Reference"/>
    <w:basedOn w:val="Tipusdelletraperdefectedelpargraf"/>
    <w:uiPriority w:val="32"/>
    <w:qFormat/>
    <w:rsid w:val="006A4109"/>
    <w:rPr>
      <w:b/>
      <w:bCs/>
      <w:smallCaps/>
      <w:spacing w:val="5"/>
      <w:u w:val="single"/>
    </w:rPr>
  </w:style>
  <w:style w:type="character" w:styleId="Ttoldelllibre">
    <w:name w:val="Book Title"/>
    <w:basedOn w:val="Tipusdelletraperdefectedelpargraf"/>
    <w:uiPriority w:val="33"/>
    <w:qFormat/>
    <w:rsid w:val="006A4109"/>
    <w:rPr>
      <w:b/>
      <w:bCs/>
      <w:smallCaps/>
    </w:rPr>
  </w:style>
  <w:style w:type="paragraph" w:customStyle="1" w:styleId="Sagnatdelcosdeltext">
    <w:name w:val="Sagnat del cos del text"/>
    <w:basedOn w:val="Normal"/>
    <w:rsid w:val="006A4109"/>
    <w:pPr>
      <w:suppressAutoHyphens/>
      <w:spacing w:before="0" w:after="120" w:line="100" w:lineRule="atLeast"/>
      <w:jc w:val="left"/>
    </w:pPr>
    <w:rPr>
      <w:rFonts w:eastAsia="Arial" w:cs="Arial"/>
      <w:color w:val="00000A"/>
      <w:sz w:val="19"/>
      <w:szCs w:val="19"/>
    </w:rPr>
  </w:style>
  <w:style w:type="paragraph" w:styleId="Sagniadetextindependent3">
    <w:name w:val="Body Text Indent 3"/>
    <w:basedOn w:val="Normal"/>
    <w:link w:val="Sagniadetextindependent3Car"/>
    <w:uiPriority w:val="99"/>
    <w:semiHidden/>
    <w:unhideWhenUsed/>
    <w:rsid w:val="006A4109"/>
    <w:pPr>
      <w:spacing w:before="0" w:after="120" w:line="264" w:lineRule="auto"/>
      <w:ind w:left="283"/>
      <w:jc w:val="left"/>
    </w:pPr>
    <w:rPr>
      <w:rFonts w:asciiTheme="minorHAnsi" w:eastAsiaTheme="minorEastAsia" w:hAnsiTheme="minorHAnsi"/>
      <w:sz w:val="16"/>
      <w:szCs w:val="16"/>
    </w:rPr>
  </w:style>
  <w:style w:type="character" w:customStyle="1" w:styleId="Sagniadetextindependent3Car">
    <w:name w:val="Sagnia de text independent 3 Car"/>
    <w:basedOn w:val="Tipusdelletraperdefectedelpargraf"/>
    <w:link w:val="Sagniadetextindependent3"/>
    <w:uiPriority w:val="99"/>
    <w:semiHidden/>
    <w:rsid w:val="006A4109"/>
    <w:rPr>
      <w:rFonts w:eastAsiaTheme="minorEastAsia"/>
      <w:sz w:val="16"/>
      <w:szCs w:val="16"/>
    </w:rPr>
  </w:style>
  <w:style w:type="paragraph" w:customStyle="1" w:styleId="Tabla">
    <w:name w:val="Tabla"/>
    <w:rsid w:val="006A4109"/>
    <w:pPr>
      <w:spacing w:after="0"/>
      <w:jc w:val="both"/>
    </w:pPr>
    <w:rPr>
      <w:rFonts w:ascii="Arial" w:eastAsia="Times New Roman" w:hAnsi="Arial" w:cs="Times New Roman"/>
      <w:snapToGrid w:val="0"/>
      <w:color w:val="000000"/>
      <w:sz w:val="24"/>
      <w:szCs w:val="20"/>
      <w:lang w:val="es-ES" w:eastAsia="es-ES"/>
    </w:rPr>
  </w:style>
  <w:style w:type="table" w:customStyle="1" w:styleId="Taulaambquadrcula2">
    <w:name w:val="Taula amb quadrícula2"/>
    <w:basedOn w:val="Taulanormal"/>
    <w:next w:val="Taulaambquadrcula"/>
    <w:uiPriority w:val="59"/>
    <w:rsid w:val="006A4109"/>
    <w:pPr>
      <w:spacing w:after="0" w:line="264" w:lineRule="auto"/>
    </w:pPr>
    <w:rPr>
      <w:rFonts w:eastAsiaTheme="minorEastAs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Ombrejatsuau">
    <w:name w:val="Light Shading"/>
    <w:basedOn w:val="Taulanormal"/>
    <w:uiPriority w:val="60"/>
    <w:rsid w:val="006A4109"/>
    <w:pPr>
      <w:spacing w:after="0"/>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apple-converted-space">
    <w:name w:val="apple-converted-space"/>
    <w:basedOn w:val="Tipusdelletraperdefectedelpargraf"/>
    <w:rsid w:val="006A4109"/>
  </w:style>
  <w:style w:type="table" w:styleId="Llistamitjana2mfasi1">
    <w:name w:val="Medium List 2 Accent 1"/>
    <w:basedOn w:val="Taulanormal"/>
    <w:uiPriority w:val="66"/>
    <w:rsid w:val="00055E6C"/>
    <w:pPr>
      <w:spacing w:after="0"/>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Ombrejatsuaumfasi1">
    <w:name w:val="Light Shading Accent 1"/>
    <w:basedOn w:val="Taulanormal"/>
    <w:uiPriority w:val="60"/>
    <w:rsid w:val="00055E6C"/>
    <w:pPr>
      <w:spacing w:after="0"/>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Ombrejatmitj2mfasi1">
    <w:name w:val="Medium Shading 2 Accent 1"/>
    <w:basedOn w:val="Taulanormal"/>
    <w:uiPriority w:val="64"/>
    <w:rsid w:val="00055E6C"/>
    <w:pPr>
      <w:spacing w:after="0"/>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Quadrculamitjana3mfasi5">
    <w:name w:val="Medium Grid 3 Accent 5"/>
    <w:basedOn w:val="Taulanormal"/>
    <w:uiPriority w:val="69"/>
    <w:rsid w:val="00055E6C"/>
    <w:pPr>
      <w:spacing w:after="0"/>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Quadrculamitjana3mfasi1">
    <w:name w:val="Medium Grid 3 Accent 1"/>
    <w:basedOn w:val="Taulanormal"/>
    <w:uiPriority w:val="69"/>
    <w:rsid w:val="00055E6C"/>
    <w:pPr>
      <w:spacing w:after="0"/>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paragraph" w:styleId="Mapadeldocument">
    <w:name w:val="Document Map"/>
    <w:basedOn w:val="Normal"/>
    <w:link w:val="MapadeldocumentCar"/>
    <w:uiPriority w:val="99"/>
    <w:semiHidden/>
    <w:unhideWhenUsed/>
    <w:rsid w:val="00F33156"/>
    <w:pPr>
      <w:spacing w:before="0" w:after="0"/>
    </w:pPr>
    <w:rPr>
      <w:rFonts w:ascii="Tahoma" w:hAnsi="Tahoma" w:cs="Tahoma"/>
      <w:sz w:val="16"/>
      <w:szCs w:val="16"/>
    </w:rPr>
  </w:style>
  <w:style w:type="character" w:customStyle="1" w:styleId="MapadeldocumentCar">
    <w:name w:val="Mapa del document Car"/>
    <w:basedOn w:val="Tipusdelletraperdefectedelpargraf"/>
    <w:link w:val="Mapadeldocument"/>
    <w:uiPriority w:val="99"/>
    <w:semiHidden/>
    <w:rsid w:val="00F33156"/>
    <w:rPr>
      <w:rFonts w:ascii="Tahoma" w:hAnsi="Tahoma" w:cs="Tahoma"/>
      <w:sz w:val="16"/>
      <w:szCs w:val="16"/>
    </w:rPr>
  </w:style>
  <w:style w:type="paragraph" w:customStyle="1" w:styleId="Default">
    <w:name w:val="Default"/>
    <w:rsid w:val="00507FE7"/>
    <w:pPr>
      <w:autoSpaceDE w:val="0"/>
      <w:autoSpaceDN w:val="0"/>
      <w:adjustRightInd w:val="0"/>
      <w:spacing w:after="0"/>
    </w:pPr>
    <w:rPr>
      <w:rFonts w:ascii="Arial" w:hAnsi="Arial" w:cs="Arial"/>
      <w:color w:val="000000"/>
      <w:sz w:val="24"/>
      <w:szCs w:val="24"/>
    </w:rPr>
  </w:style>
  <w:style w:type="paragraph" w:styleId="ndex1">
    <w:name w:val="index 1"/>
    <w:basedOn w:val="Normal"/>
    <w:next w:val="Normal"/>
    <w:autoRedefine/>
    <w:uiPriority w:val="99"/>
    <w:semiHidden/>
    <w:unhideWhenUsed/>
    <w:rsid w:val="00331D54"/>
    <w:pPr>
      <w:spacing w:before="0" w:after="0"/>
      <w:ind w:left="220" w:hanging="220"/>
    </w:pPr>
  </w:style>
  <w:style w:type="table" w:styleId="Llistaclaramfasi1">
    <w:name w:val="Light List Accent 1"/>
    <w:basedOn w:val="Taulanormal"/>
    <w:uiPriority w:val="61"/>
    <w:rsid w:val="002A4649"/>
    <w:pPr>
      <w:spacing w:after="0"/>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listaclaramfasi11">
    <w:name w:val="Llista clara: èmfasi 11"/>
    <w:basedOn w:val="Taulanormal"/>
    <w:uiPriority w:val="61"/>
    <w:rsid w:val="002A4649"/>
    <w:pPr>
      <w:spacing w:after="0"/>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ndexdillustracions">
    <w:name w:val="table of figures"/>
    <w:basedOn w:val="Normal"/>
    <w:next w:val="Normal"/>
    <w:uiPriority w:val="99"/>
    <w:unhideWhenUsed/>
    <w:rsid w:val="0068128C"/>
    <w:pPr>
      <w:spacing w:after="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a-ES" w:eastAsia="en-US" w:bidi="ar-SA"/>
      </w:rPr>
    </w:rPrDefault>
    <w:pPrDefault>
      <w:pPr>
        <w:spacing w:after="8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4328"/>
    <w:pPr>
      <w:spacing w:before="120"/>
      <w:jc w:val="both"/>
    </w:pPr>
    <w:rPr>
      <w:rFonts w:ascii="Arial" w:hAnsi="Arial"/>
    </w:rPr>
  </w:style>
  <w:style w:type="paragraph" w:styleId="Ttol1">
    <w:name w:val="heading 1"/>
    <w:next w:val="Normal"/>
    <w:link w:val="Ttol1Car"/>
    <w:autoRedefine/>
    <w:uiPriority w:val="9"/>
    <w:qFormat/>
    <w:rsid w:val="001356BD"/>
    <w:pPr>
      <w:keepNext/>
      <w:keepLines/>
      <w:pageBreakBefore/>
      <w:numPr>
        <w:numId w:val="29"/>
      </w:numPr>
      <w:pBdr>
        <w:bottom w:val="single" w:sz="12" w:space="1" w:color="A6A6A6" w:themeColor="background1" w:themeShade="A6"/>
      </w:pBdr>
      <w:spacing w:before="240" w:after="120"/>
      <w:ind w:left="431" w:hanging="431"/>
      <w:outlineLvl w:val="0"/>
    </w:pPr>
    <w:rPr>
      <w:rFonts w:ascii="Arial" w:eastAsiaTheme="minorEastAsia" w:hAnsi="Arial" w:cstheme="majorBidi"/>
      <w:b/>
      <w:bCs/>
      <w:caps/>
      <w:color w:val="4A442A" w:themeColor="background2" w:themeShade="40"/>
      <w:sz w:val="24"/>
      <w:szCs w:val="28"/>
    </w:rPr>
  </w:style>
  <w:style w:type="paragraph" w:styleId="Ttol2">
    <w:name w:val="heading 2"/>
    <w:basedOn w:val="Ttol1"/>
    <w:next w:val="Normal"/>
    <w:link w:val="Ttol2Car"/>
    <w:uiPriority w:val="9"/>
    <w:unhideWhenUsed/>
    <w:qFormat/>
    <w:rsid w:val="00251955"/>
    <w:pPr>
      <w:pageBreakBefore w:val="0"/>
      <w:numPr>
        <w:ilvl w:val="1"/>
      </w:numPr>
      <w:ind w:left="578" w:hanging="578"/>
      <w:outlineLvl w:val="1"/>
    </w:pPr>
    <w:rPr>
      <w:bCs w:val="0"/>
      <w:szCs w:val="26"/>
    </w:rPr>
  </w:style>
  <w:style w:type="paragraph" w:styleId="Ttol3">
    <w:name w:val="heading 3"/>
    <w:basedOn w:val="Ttol2"/>
    <w:next w:val="Normal"/>
    <w:link w:val="Ttol3Car"/>
    <w:uiPriority w:val="9"/>
    <w:unhideWhenUsed/>
    <w:qFormat/>
    <w:rsid w:val="00B43787"/>
    <w:pPr>
      <w:numPr>
        <w:ilvl w:val="2"/>
      </w:numPr>
      <w:spacing w:before="200"/>
      <w:outlineLvl w:val="2"/>
    </w:pPr>
    <w:rPr>
      <w:bCs/>
    </w:rPr>
  </w:style>
  <w:style w:type="paragraph" w:styleId="Ttol4">
    <w:name w:val="heading 4"/>
    <w:basedOn w:val="Ttol3"/>
    <w:next w:val="Normal"/>
    <w:link w:val="Ttol4Car"/>
    <w:uiPriority w:val="9"/>
    <w:unhideWhenUsed/>
    <w:qFormat/>
    <w:rsid w:val="001356BD"/>
    <w:pPr>
      <w:numPr>
        <w:ilvl w:val="3"/>
      </w:numPr>
      <w:tabs>
        <w:tab w:val="left" w:pos="284"/>
      </w:tabs>
      <w:spacing w:before="120"/>
      <w:outlineLvl w:val="3"/>
    </w:pPr>
    <w:rPr>
      <w:bCs w:val="0"/>
      <w:iCs/>
      <w:color w:val="EEECE1" w:themeColor="background2"/>
      <w14:textFill>
        <w14:solidFill>
          <w14:schemeClr w14:val="bg2">
            <w14:lumMod w14:val="50000"/>
            <w14:lumMod w14:val="25000"/>
            <w14:lumMod w14:val="25000"/>
            <w14:lumMod w14:val="25000"/>
          </w14:schemeClr>
        </w14:solidFill>
      </w14:textFill>
    </w:rPr>
  </w:style>
  <w:style w:type="paragraph" w:styleId="Ttol5">
    <w:name w:val="heading 5"/>
    <w:basedOn w:val="Normal"/>
    <w:next w:val="Normal"/>
    <w:link w:val="Ttol5Car"/>
    <w:uiPriority w:val="9"/>
    <w:unhideWhenUsed/>
    <w:qFormat/>
    <w:rsid w:val="00331D54"/>
    <w:pPr>
      <w:keepNext/>
      <w:keepLines/>
      <w:spacing w:before="200" w:after="0"/>
      <w:outlineLvl w:val="4"/>
    </w:pPr>
    <w:rPr>
      <w:rFonts w:eastAsiaTheme="majorEastAsia" w:cstheme="majorBidi"/>
      <w:b/>
      <w:color w:val="948A54" w:themeColor="background2" w:themeShade="80"/>
    </w:rPr>
  </w:style>
  <w:style w:type="paragraph" w:styleId="Ttol6">
    <w:name w:val="heading 6"/>
    <w:basedOn w:val="Normal"/>
    <w:next w:val="Normal"/>
    <w:link w:val="Ttol6Car"/>
    <w:uiPriority w:val="9"/>
    <w:semiHidden/>
    <w:unhideWhenUsed/>
    <w:qFormat/>
    <w:rsid w:val="001A68F1"/>
    <w:pPr>
      <w:keepNext/>
      <w:keepLines/>
      <w:numPr>
        <w:ilvl w:val="5"/>
        <w:numId w:val="2"/>
      </w:numPr>
      <w:spacing w:before="200" w:after="0"/>
      <w:outlineLvl w:val="5"/>
    </w:pPr>
    <w:rPr>
      <w:rFonts w:asciiTheme="majorHAnsi" w:eastAsiaTheme="majorEastAsia" w:hAnsiTheme="majorHAnsi" w:cstheme="majorBidi"/>
      <w:i/>
      <w:iCs/>
      <w:color w:val="243F60" w:themeColor="accent1" w:themeShade="7F"/>
    </w:rPr>
  </w:style>
  <w:style w:type="paragraph" w:styleId="Ttol7">
    <w:name w:val="heading 7"/>
    <w:basedOn w:val="Normal"/>
    <w:next w:val="Normal"/>
    <w:link w:val="Ttol7Car"/>
    <w:uiPriority w:val="9"/>
    <w:semiHidden/>
    <w:unhideWhenUsed/>
    <w:qFormat/>
    <w:rsid w:val="001A68F1"/>
    <w:pPr>
      <w:keepNext/>
      <w:keepLines/>
      <w:numPr>
        <w:ilvl w:val="6"/>
        <w:numId w:val="2"/>
      </w:numPr>
      <w:spacing w:before="200" w:after="0"/>
      <w:outlineLvl w:val="6"/>
    </w:pPr>
    <w:rPr>
      <w:rFonts w:asciiTheme="majorHAnsi" w:eastAsiaTheme="majorEastAsia" w:hAnsiTheme="majorHAnsi" w:cstheme="majorBidi"/>
      <w:i/>
      <w:iCs/>
      <w:color w:val="404040" w:themeColor="text1" w:themeTint="BF"/>
    </w:rPr>
  </w:style>
  <w:style w:type="paragraph" w:styleId="Ttol8">
    <w:name w:val="heading 8"/>
    <w:basedOn w:val="Normal"/>
    <w:next w:val="Normal"/>
    <w:link w:val="Ttol8Car"/>
    <w:uiPriority w:val="9"/>
    <w:semiHidden/>
    <w:unhideWhenUsed/>
    <w:qFormat/>
    <w:rsid w:val="001A68F1"/>
    <w:pPr>
      <w:keepNext/>
      <w:keepLines/>
      <w:numPr>
        <w:ilvl w:val="7"/>
        <w:numId w:val="2"/>
      </w:numPr>
      <w:spacing w:before="200" w:after="0"/>
      <w:outlineLvl w:val="7"/>
    </w:pPr>
    <w:rPr>
      <w:rFonts w:asciiTheme="majorHAnsi" w:eastAsiaTheme="majorEastAsia" w:hAnsiTheme="majorHAnsi" w:cstheme="majorBidi"/>
      <w:color w:val="404040" w:themeColor="text1" w:themeTint="BF"/>
      <w:szCs w:val="20"/>
    </w:rPr>
  </w:style>
  <w:style w:type="paragraph" w:styleId="Ttol9">
    <w:name w:val="heading 9"/>
    <w:basedOn w:val="Normal"/>
    <w:next w:val="Normal"/>
    <w:link w:val="Ttol9Car"/>
    <w:uiPriority w:val="9"/>
    <w:semiHidden/>
    <w:unhideWhenUsed/>
    <w:qFormat/>
    <w:rsid w:val="001A68F1"/>
    <w:pPr>
      <w:keepNext/>
      <w:keepLines/>
      <w:numPr>
        <w:ilvl w:val="8"/>
        <w:numId w:val="2"/>
      </w:numPr>
      <w:spacing w:before="200" w:after="0"/>
      <w:outlineLvl w:val="8"/>
    </w:pPr>
    <w:rPr>
      <w:rFonts w:asciiTheme="majorHAnsi" w:eastAsiaTheme="majorEastAsia" w:hAnsiTheme="majorHAnsi" w:cstheme="majorBidi"/>
      <w:i/>
      <w:iCs/>
      <w:color w:val="404040" w:themeColor="text1" w:themeTint="BF"/>
      <w:szCs w:val="20"/>
    </w:rPr>
  </w:style>
  <w:style w:type="character" w:default="1" w:styleId="Tipusdelletraperdefectedelpargraf">
    <w:name w:val="Default Paragraph Font"/>
    <w:uiPriority w:val="1"/>
    <w:semiHidden/>
    <w:unhideWhenUsed/>
  </w:style>
  <w:style w:type="table" w:default="1" w:styleId="Taulanormal">
    <w:name w:val="Normal Table"/>
    <w:uiPriority w:val="99"/>
    <w:semiHidden/>
    <w:unhideWhenUsed/>
    <w:tblPr>
      <w:tblInd w:w="0" w:type="dxa"/>
      <w:tblCellMar>
        <w:top w:w="0" w:type="dxa"/>
        <w:left w:w="108" w:type="dxa"/>
        <w:bottom w:w="0" w:type="dxa"/>
        <w:right w:w="108" w:type="dxa"/>
      </w:tblCellMar>
    </w:tblPr>
  </w:style>
  <w:style w:type="numbering" w:default="1" w:styleId="Sensellista">
    <w:name w:val="No List"/>
    <w:uiPriority w:val="99"/>
    <w:semiHidden/>
    <w:unhideWhenUsed/>
  </w:style>
  <w:style w:type="paragraph" w:styleId="Pargrafdellista">
    <w:name w:val="List Paragraph"/>
    <w:basedOn w:val="Normal"/>
    <w:uiPriority w:val="34"/>
    <w:qFormat/>
    <w:rsid w:val="00160DB0"/>
    <w:pPr>
      <w:contextualSpacing/>
    </w:pPr>
  </w:style>
  <w:style w:type="paragraph" w:styleId="NormalWeb">
    <w:name w:val="Normal (Web)"/>
    <w:basedOn w:val="Normal"/>
    <w:uiPriority w:val="99"/>
    <w:semiHidden/>
    <w:unhideWhenUsed/>
    <w:rsid w:val="00FF7224"/>
    <w:pPr>
      <w:spacing w:before="100" w:beforeAutospacing="1" w:after="100" w:afterAutospacing="1"/>
    </w:pPr>
    <w:rPr>
      <w:rFonts w:cs="Times New Roman"/>
      <w:color w:val="000000"/>
      <w:szCs w:val="20"/>
      <w:lang w:eastAsia="ca-ES"/>
    </w:rPr>
  </w:style>
  <w:style w:type="paragraph" w:customStyle="1" w:styleId="normaltopo">
    <w:name w:val="normal topo"/>
    <w:basedOn w:val="Normal"/>
    <w:autoRedefine/>
    <w:rsid w:val="001C5DC1"/>
    <w:pPr>
      <w:numPr>
        <w:numId w:val="1"/>
      </w:numPr>
      <w:spacing w:after="0"/>
    </w:pPr>
    <w:rPr>
      <w:rFonts w:eastAsia="Times New Roman" w:cs="Times New Roman"/>
      <w:szCs w:val="20"/>
    </w:rPr>
  </w:style>
  <w:style w:type="table" w:styleId="Taulaambquadrcula">
    <w:name w:val="Table Grid"/>
    <w:basedOn w:val="Taulanormal"/>
    <w:uiPriority w:val="59"/>
    <w:rsid w:val="00263F64"/>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alera">
    <w:name w:val="header"/>
    <w:basedOn w:val="Normal"/>
    <w:link w:val="CapaleraCar"/>
    <w:uiPriority w:val="99"/>
    <w:unhideWhenUsed/>
    <w:rsid w:val="00CB5CBD"/>
    <w:pPr>
      <w:tabs>
        <w:tab w:val="center" w:pos="4252"/>
        <w:tab w:val="right" w:pos="8504"/>
      </w:tabs>
      <w:spacing w:after="0"/>
    </w:pPr>
  </w:style>
  <w:style w:type="character" w:customStyle="1" w:styleId="CapaleraCar">
    <w:name w:val="Capçalera Car"/>
    <w:basedOn w:val="Tipusdelletraperdefectedelpargraf"/>
    <w:link w:val="Capalera"/>
    <w:uiPriority w:val="99"/>
    <w:rsid w:val="00CB5CBD"/>
  </w:style>
  <w:style w:type="paragraph" w:styleId="Peu">
    <w:name w:val="footer"/>
    <w:basedOn w:val="Normal"/>
    <w:link w:val="PeuCar"/>
    <w:uiPriority w:val="99"/>
    <w:unhideWhenUsed/>
    <w:rsid w:val="00CB5CBD"/>
    <w:pPr>
      <w:tabs>
        <w:tab w:val="center" w:pos="4252"/>
        <w:tab w:val="right" w:pos="8504"/>
      </w:tabs>
      <w:spacing w:after="0"/>
    </w:pPr>
  </w:style>
  <w:style w:type="character" w:customStyle="1" w:styleId="PeuCar">
    <w:name w:val="Peu Car"/>
    <w:basedOn w:val="Tipusdelletraperdefectedelpargraf"/>
    <w:link w:val="Peu"/>
    <w:uiPriority w:val="99"/>
    <w:rsid w:val="00CB5CBD"/>
  </w:style>
  <w:style w:type="paragraph" w:styleId="Textdeglobus">
    <w:name w:val="Balloon Text"/>
    <w:basedOn w:val="Normal"/>
    <w:link w:val="TextdeglobusCar"/>
    <w:uiPriority w:val="99"/>
    <w:semiHidden/>
    <w:unhideWhenUsed/>
    <w:rsid w:val="00024EC3"/>
    <w:pPr>
      <w:spacing w:after="0"/>
    </w:pPr>
    <w:rPr>
      <w:rFonts w:ascii="Tahoma" w:hAnsi="Tahoma" w:cs="Tahoma"/>
      <w:sz w:val="16"/>
      <w:szCs w:val="16"/>
    </w:rPr>
  </w:style>
  <w:style w:type="character" w:customStyle="1" w:styleId="TextdeglobusCar">
    <w:name w:val="Text de globus Car"/>
    <w:basedOn w:val="Tipusdelletraperdefectedelpargraf"/>
    <w:link w:val="Textdeglobus"/>
    <w:uiPriority w:val="99"/>
    <w:semiHidden/>
    <w:rsid w:val="00024EC3"/>
    <w:rPr>
      <w:rFonts w:ascii="Tahoma" w:hAnsi="Tahoma" w:cs="Tahoma"/>
      <w:sz w:val="16"/>
      <w:szCs w:val="16"/>
    </w:rPr>
  </w:style>
  <w:style w:type="character" w:customStyle="1" w:styleId="Ttol1Car">
    <w:name w:val="Títol 1 Car"/>
    <w:basedOn w:val="Tipusdelletraperdefectedelpargraf"/>
    <w:link w:val="Ttol1"/>
    <w:uiPriority w:val="9"/>
    <w:rsid w:val="001356BD"/>
    <w:rPr>
      <w:rFonts w:ascii="Arial" w:eastAsiaTheme="minorEastAsia" w:hAnsi="Arial" w:cstheme="majorBidi"/>
      <w:b/>
      <w:bCs/>
      <w:caps/>
      <w:color w:val="4A442A" w:themeColor="background2" w:themeShade="40"/>
      <w:sz w:val="24"/>
      <w:szCs w:val="28"/>
    </w:rPr>
  </w:style>
  <w:style w:type="paragraph" w:styleId="Llegenda">
    <w:name w:val="caption"/>
    <w:basedOn w:val="Normal"/>
    <w:next w:val="Normal"/>
    <w:uiPriority w:val="35"/>
    <w:unhideWhenUsed/>
    <w:qFormat/>
    <w:rsid w:val="00BA6C47"/>
    <w:rPr>
      <w:b/>
      <w:bCs/>
      <w:color w:val="948A54" w:themeColor="background2" w:themeShade="80"/>
      <w:sz w:val="18"/>
      <w:szCs w:val="18"/>
    </w:rPr>
  </w:style>
  <w:style w:type="paragraph" w:styleId="Textdenotaapeudepgina">
    <w:name w:val="footnote text"/>
    <w:basedOn w:val="Normal"/>
    <w:link w:val="TextdenotaapeudepginaCar"/>
    <w:uiPriority w:val="99"/>
    <w:semiHidden/>
    <w:unhideWhenUsed/>
    <w:rsid w:val="00C43CA0"/>
    <w:pPr>
      <w:spacing w:after="0"/>
    </w:pPr>
    <w:rPr>
      <w:szCs w:val="20"/>
    </w:rPr>
  </w:style>
  <w:style w:type="character" w:customStyle="1" w:styleId="TextdenotaapeudepginaCar">
    <w:name w:val="Text de nota a peu de pàgina Car"/>
    <w:basedOn w:val="Tipusdelletraperdefectedelpargraf"/>
    <w:link w:val="Textdenotaapeudepgina"/>
    <w:uiPriority w:val="99"/>
    <w:semiHidden/>
    <w:rsid w:val="00C43CA0"/>
    <w:rPr>
      <w:rFonts w:ascii="Verdana" w:hAnsi="Verdana"/>
      <w:sz w:val="20"/>
      <w:szCs w:val="20"/>
    </w:rPr>
  </w:style>
  <w:style w:type="character" w:styleId="Refernciadenotaapeudepgina">
    <w:name w:val="footnote reference"/>
    <w:basedOn w:val="Tipusdelletraperdefectedelpargraf"/>
    <w:uiPriority w:val="99"/>
    <w:semiHidden/>
    <w:unhideWhenUsed/>
    <w:rsid w:val="00C43CA0"/>
    <w:rPr>
      <w:vertAlign w:val="superscript"/>
    </w:rPr>
  </w:style>
  <w:style w:type="character" w:customStyle="1" w:styleId="Ttol2Car">
    <w:name w:val="Títol 2 Car"/>
    <w:basedOn w:val="Tipusdelletraperdefectedelpargraf"/>
    <w:link w:val="Ttol2"/>
    <w:uiPriority w:val="9"/>
    <w:rsid w:val="00251955"/>
    <w:rPr>
      <w:rFonts w:ascii="Arial" w:eastAsiaTheme="minorEastAsia" w:hAnsi="Arial" w:cstheme="majorBidi"/>
      <w:b/>
      <w:caps/>
      <w:color w:val="4A442A" w:themeColor="background2" w:themeShade="40"/>
      <w:sz w:val="24"/>
      <w:szCs w:val="26"/>
    </w:rPr>
  </w:style>
  <w:style w:type="paragraph" w:styleId="IDC1">
    <w:name w:val="toc 1"/>
    <w:basedOn w:val="Normal"/>
    <w:next w:val="Normal"/>
    <w:autoRedefine/>
    <w:uiPriority w:val="39"/>
    <w:unhideWhenUsed/>
    <w:qFormat/>
    <w:rsid w:val="000C1C83"/>
    <w:pPr>
      <w:spacing w:before="360" w:after="360"/>
      <w:jc w:val="left"/>
    </w:pPr>
    <w:rPr>
      <w:rFonts w:asciiTheme="minorHAnsi" w:hAnsiTheme="minorHAnsi"/>
      <w:b/>
      <w:bCs/>
      <w:caps/>
      <w:u w:val="single"/>
    </w:rPr>
  </w:style>
  <w:style w:type="paragraph" w:styleId="IDC2">
    <w:name w:val="toc 2"/>
    <w:basedOn w:val="Normal"/>
    <w:next w:val="Normal"/>
    <w:autoRedefine/>
    <w:uiPriority w:val="39"/>
    <w:unhideWhenUsed/>
    <w:qFormat/>
    <w:rsid w:val="007B1A76"/>
    <w:pPr>
      <w:spacing w:before="0" w:after="0"/>
      <w:jc w:val="left"/>
    </w:pPr>
    <w:rPr>
      <w:rFonts w:asciiTheme="minorHAnsi" w:hAnsiTheme="minorHAnsi"/>
      <w:b/>
      <w:bCs/>
      <w:smallCaps/>
    </w:rPr>
  </w:style>
  <w:style w:type="paragraph" w:styleId="IDC3">
    <w:name w:val="toc 3"/>
    <w:basedOn w:val="Normal"/>
    <w:next w:val="Normal"/>
    <w:autoRedefine/>
    <w:uiPriority w:val="39"/>
    <w:unhideWhenUsed/>
    <w:qFormat/>
    <w:rsid w:val="00B47D44"/>
    <w:pPr>
      <w:spacing w:before="0" w:after="0"/>
      <w:jc w:val="left"/>
    </w:pPr>
    <w:rPr>
      <w:rFonts w:asciiTheme="minorHAnsi" w:hAnsiTheme="minorHAnsi"/>
      <w:smallCaps/>
    </w:rPr>
  </w:style>
  <w:style w:type="paragraph" w:styleId="IDC4">
    <w:name w:val="toc 4"/>
    <w:basedOn w:val="Normal"/>
    <w:next w:val="Normal"/>
    <w:autoRedefine/>
    <w:uiPriority w:val="39"/>
    <w:unhideWhenUsed/>
    <w:rsid w:val="00B47D44"/>
    <w:pPr>
      <w:spacing w:before="0" w:after="0"/>
      <w:jc w:val="left"/>
    </w:pPr>
    <w:rPr>
      <w:rFonts w:asciiTheme="minorHAnsi" w:hAnsiTheme="minorHAnsi"/>
    </w:rPr>
  </w:style>
  <w:style w:type="paragraph" w:styleId="IDC5">
    <w:name w:val="toc 5"/>
    <w:basedOn w:val="Normal"/>
    <w:next w:val="Normal"/>
    <w:autoRedefine/>
    <w:uiPriority w:val="39"/>
    <w:unhideWhenUsed/>
    <w:rsid w:val="00B47D44"/>
    <w:pPr>
      <w:spacing w:before="0" w:after="0"/>
      <w:jc w:val="left"/>
    </w:pPr>
    <w:rPr>
      <w:rFonts w:asciiTheme="minorHAnsi" w:hAnsiTheme="minorHAnsi"/>
    </w:rPr>
  </w:style>
  <w:style w:type="paragraph" w:styleId="IDC6">
    <w:name w:val="toc 6"/>
    <w:basedOn w:val="Normal"/>
    <w:next w:val="Normal"/>
    <w:autoRedefine/>
    <w:uiPriority w:val="39"/>
    <w:unhideWhenUsed/>
    <w:rsid w:val="00B47D44"/>
    <w:pPr>
      <w:spacing w:before="0" w:after="0"/>
      <w:jc w:val="left"/>
    </w:pPr>
    <w:rPr>
      <w:rFonts w:asciiTheme="minorHAnsi" w:hAnsiTheme="minorHAnsi"/>
    </w:rPr>
  </w:style>
  <w:style w:type="paragraph" w:styleId="IDC7">
    <w:name w:val="toc 7"/>
    <w:basedOn w:val="Normal"/>
    <w:next w:val="Normal"/>
    <w:autoRedefine/>
    <w:uiPriority w:val="39"/>
    <w:unhideWhenUsed/>
    <w:rsid w:val="00B47D44"/>
    <w:pPr>
      <w:spacing w:before="0" w:after="0"/>
      <w:jc w:val="left"/>
    </w:pPr>
    <w:rPr>
      <w:rFonts w:asciiTheme="minorHAnsi" w:hAnsiTheme="minorHAnsi"/>
    </w:rPr>
  </w:style>
  <w:style w:type="paragraph" w:styleId="IDC8">
    <w:name w:val="toc 8"/>
    <w:basedOn w:val="Normal"/>
    <w:next w:val="Normal"/>
    <w:autoRedefine/>
    <w:uiPriority w:val="39"/>
    <w:unhideWhenUsed/>
    <w:rsid w:val="00B47D44"/>
    <w:pPr>
      <w:spacing w:before="0" w:after="0"/>
      <w:jc w:val="left"/>
    </w:pPr>
    <w:rPr>
      <w:rFonts w:asciiTheme="minorHAnsi" w:hAnsiTheme="minorHAnsi"/>
    </w:rPr>
  </w:style>
  <w:style w:type="paragraph" w:styleId="IDC9">
    <w:name w:val="toc 9"/>
    <w:basedOn w:val="Normal"/>
    <w:next w:val="Normal"/>
    <w:autoRedefine/>
    <w:uiPriority w:val="39"/>
    <w:unhideWhenUsed/>
    <w:rsid w:val="00B47D44"/>
    <w:pPr>
      <w:spacing w:before="0" w:after="0"/>
      <w:jc w:val="left"/>
    </w:pPr>
    <w:rPr>
      <w:rFonts w:asciiTheme="minorHAnsi" w:hAnsiTheme="minorHAnsi"/>
    </w:rPr>
  </w:style>
  <w:style w:type="character" w:styleId="Enlla">
    <w:name w:val="Hyperlink"/>
    <w:basedOn w:val="Tipusdelletraperdefectedelpargraf"/>
    <w:uiPriority w:val="99"/>
    <w:unhideWhenUsed/>
    <w:rsid w:val="00B47D44"/>
    <w:rPr>
      <w:color w:val="0000FF" w:themeColor="hyperlink"/>
      <w:u w:val="single"/>
    </w:rPr>
  </w:style>
  <w:style w:type="character" w:customStyle="1" w:styleId="unknown">
    <w:name w:val="unknown"/>
    <w:basedOn w:val="Tipusdelletraperdefectedelpargraf"/>
    <w:rsid w:val="00DB6CDF"/>
    <w:rPr>
      <w:color w:val="FF0000"/>
    </w:rPr>
  </w:style>
  <w:style w:type="character" w:customStyle="1" w:styleId="tranfield1">
    <w:name w:val="tran_field1"/>
    <w:basedOn w:val="Tipusdelletraperdefectedelpargraf"/>
    <w:rsid w:val="00DB6CDF"/>
  </w:style>
  <w:style w:type="paragraph" w:styleId="z-Principidelformulari">
    <w:name w:val="HTML Top of Form"/>
    <w:basedOn w:val="Normal"/>
    <w:next w:val="Normal"/>
    <w:link w:val="z-PrincipidelformulariCar"/>
    <w:hidden/>
    <w:uiPriority w:val="99"/>
    <w:semiHidden/>
    <w:unhideWhenUsed/>
    <w:rsid w:val="00DB6CDF"/>
    <w:pPr>
      <w:pBdr>
        <w:bottom w:val="single" w:sz="6" w:space="1" w:color="auto"/>
      </w:pBdr>
      <w:spacing w:after="0"/>
      <w:jc w:val="center"/>
    </w:pPr>
    <w:rPr>
      <w:rFonts w:eastAsia="Times New Roman" w:cs="Arial"/>
      <w:vanish/>
      <w:sz w:val="16"/>
      <w:szCs w:val="16"/>
      <w:lang w:eastAsia="ca-ES"/>
    </w:rPr>
  </w:style>
  <w:style w:type="character" w:customStyle="1" w:styleId="z-PrincipidelformulariCar">
    <w:name w:val="z-Principi del formulari Car"/>
    <w:basedOn w:val="Tipusdelletraperdefectedelpargraf"/>
    <w:link w:val="z-Principidelformulari"/>
    <w:uiPriority w:val="99"/>
    <w:semiHidden/>
    <w:rsid w:val="00DB6CDF"/>
    <w:rPr>
      <w:rFonts w:ascii="Arial" w:eastAsia="Times New Roman" w:hAnsi="Arial" w:cs="Arial"/>
      <w:vanish/>
      <w:sz w:val="16"/>
      <w:szCs w:val="16"/>
      <w:lang w:eastAsia="ca-ES"/>
    </w:rPr>
  </w:style>
  <w:style w:type="paragraph" w:styleId="z-Finaldelformulari">
    <w:name w:val="HTML Bottom of Form"/>
    <w:basedOn w:val="Normal"/>
    <w:next w:val="Normal"/>
    <w:link w:val="z-FinaldelformulariCar"/>
    <w:hidden/>
    <w:uiPriority w:val="99"/>
    <w:semiHidden/>
    <w:unhideWhenUsed/>
    <w:rsid w:val="00DB6CDF"/>
    <w:pPr>
      <w:pBdr>
        <w:top w:val="single" w:sz="6" w:space="1" w:color="auto"/>
      </w:pBdr>
      <w:spacing w:after="0"/>
      <w:jc w:val="center"/>
    </w:pPr>
    <w:rPr>
      <w:rFonts w:eastAsia="Times New Roman" w:cs="Arial"/>
      <w:vanish/>
      <w:sz w:val="16"/>
      <w:szCs w:val="16"/>
      <w:lang w:eastAsia="ca-ES"/>
    </w:rPr>
  </w:style>
  <w:style w:type="character" w:customStyle="1" w:styleId="z-FinaldelformulariCar">
    <w:name w:val="z-Final del formulari Car"/>
    <w:basedOn w:val="Tipusdelletraperdefectedelpargraf"/>
    <w:link w:val="z-Finaldelformulari"/>
    <w:uiPriority w:val="99"/>
    <w:semiHidden/>
    <w:rsid w:val="00DB6CDF"/>
    <w:rPr>
      <w:rFonts w:ascii="Arial" w:eastAsia="Times New Roman" w:hAnsi="Arial" w:cs="Arial"/>
      <w:vanish/>
      <w:sz w:val="16"/>
      <w:szCs w:val="16"/>
      <w:lang w:eastAsia="ca-ES"/>
    </w:rPr>
  </w:style>
  <w:style w:type="paragraph" w:styleId="Textdenotaalfinal">
    <w:name w:val="endnote text"/>
    <w:basedOn w:val="Normal"/>
    <w:link w:val="TextdenotaalfinalCar"/>
    <w:uiPriority w:val="99"/>
    <w:semiHidden/>
    <w:unhideWhenUsed/>
    <w:rsid w:val="00A216A7"/>
    <w:pPr>
      <w:spacing w:after="0"/>
    </w:pPr>
    <w:rPr>
      <w:szCs w:val="20"/>
    </w:rPr>
  </w:style>
  <w:style w:type="character" w:customStyle="1" w:styleId="TextdenotaalfinalCar">
    <w:name w:val="Text de nota al final Car"/>
    <w:basedOn w:val="Tipusdelletraperdefectedelpargraf"/>
    <w:link w:val="Textdenotaalfinal"/>
    <w:uiPriority w:val="99"/>
    <w:semiHidden/>
    <w:rsid w:val="00A216A7"/>
    <w:rPr>
      <w:rFonts w:ascii="Verdana" w:hAnsi="Verdana"/>
      <w:sz w:val="20"/>
      <w:szCs w:val="20"/>
    </w:rPr>
  </w:style>
  <w:style w:type="character" w:styleId="Refernciadenotaalfinal">
    <w:name w:val="endnote reference"/>
    <w:basedOn w:val="Tipusdelletraperdefectedelpargraf"/>
    <w:uiPriority w:val="99"/>
    <w:semiHidden/>
    <w:unhideWhenUsed/>
    <w:rsid w:val="00A216A7"/>
    <w:rPr>
      <w:vertAlign w:val="superscript"/>
    </w:rPr>
  </w:style>
  <w:style w:type="paragraph" w:styleId="Ttol">
    <w:name w:val="Title"/>
    <w:basedOn w:val="Normal"/>
    <w:next w:val="Normal"/>
    <w:link w:val="TtolCar"/>
    <w:uiPriority w:val="10"/>
    <w:qFormat/>
    <w:rsid w:val="002D3163"/>
    <w:pPr>
      <w:pBdr>
        <w:bottom w:val="single" w:sz="8" w:space="4" w:color="1F497D" w:themeColor="text2"/>
      </w:pBdr>
      <w:spacing w:after="300"/>
      <w:contextualSpacing/>
      <w:jc w:val="center"/>
    </w:pPr>
    <w:rPr>
      <w:rFonts w:asciiTheme="majorHAnsi" w:eastAsiaTheme="majorEastAsia" w:hAnsiTheme="majorHAnsi" w:cstheme="majorBidi"/>
      <w:b/>
      <w:color w:val="4A442A" w:themeColor="background2" w:themeShade="40"/>
      <w:spacing w:val="5"/>
      <w:kern w:val="28"/>
      <w:sz w:val="52"/>
      <w:szCs w:val="52"/>
    </w:rPr>
  </w:style>
  <w:style w:type="character" w:customStyle="1" w:styleId="TtolCar">
    <w:name w:val="Títol Car"/>
    <w:basedOn w:val="Tipusdelletraperdefectedelpargraf"/>
    <w:link w:val="Ttol"/>
    <w:uiPriority w:val="10"/>
    <w:rsid w:val="002D3163"/>
    <w:rPr>
      <w:rFonts w:asciiTheme="majorHAnsi" w:eastAsiaTheme="majorEastAsia" w:hAnsiTheme="majorHAnsi" w:cstheme="majorBidi"/>
      <w:b/>
      <w:color w:val="4A442A" w:themeColor="background2" w:themeShade="40"/>
      <w:spacing w:val="5"/>
      <w:kern w:val="28"/>
      <w:sz w:val="52"/>
      <w:szCs w:val="52"/>
    </w:rPr>
  </w:style>
  <w:style w:type="character" w:styleId="Textennegreta">
    <w:name w:val="Strong"/>
    <w:basedOn w:val="Tipusdelletraperdefectedelpargraf"/>
    <w:uiPriority w:val="22"/>
    <w:qFormat/>
    <w:rsid w:val="00905E71"/>
    <w:rPr>
      <w:rFonts w:ascii="Arial Narrow" w:hAnsi="Arial Narrow"/>
      <w:b w:val="0"/>
      <w:bCs/>
      <w:sz w:val="20"/>
    </w:rPr>
  </w:style>
  <w:style w:type="character" w:styleId="mfasi">
    <w:name w:val="Emphasis"/>
    <w:basedOn w:val="Tipusdelletraperdefectedelpargraf"/>
    <w:uiPriority w:val="20"/>
    <w:qFormat/>
    <w:rsid w:val="00D02191"/>
    <w:rPr>
      <w:i/>
      <w:iCs/>
    </w:rPr>
  </w:style>
  <w:style w:type="paragraph" w:styleId="TtoldelIDC">
    <w:name w:val="TOC Heading"/>
    <w:basedOn w:val="Ttol1"/>
    <w:next w:val="Normal"/>
    <w:uiPriority w:val="39"/>
    <w:unhideWhenUsed/>
    <w:qFormat/>
    <w:rsid w:val="00270AF5"/>
    <w:pPr>
      <w:pageBreakBefore w:val="0"/>
      <w:numPr>
        <w:numId w:val="0"/>
      </w:numPr>
      <w:spacing w:after="0" w:line="276" w:lineRule="auto"/>
      <w:outlineLvl w:val="9"/>
    </w:pPr>
    <w:rPr>
      <w:rFonts w:asciiTheme="majorHAnsi" w:hAnsiTheme="majorHAnsi"/>
      <w:lang w:eastAsia="ca-ES"/>
    </w:rPr>
  </w:style>
  <w:style w:type="character" w:customStyle="1" w:styleId="Ttol3Car">
    <w:name w:val="Títol 3 Car"/>
    <w:basedOn w:val="Tipusdelletraperdefectedelpargraf"/>
    <w:link w:val="Ttol3"/>
    <w:uiPriority w:val="9"/>
    <w:rsid w:val="00B43787"/>
    <w:rPr>
      <w:rFonts w:ascii="Arial" w:eastAsiaTheme="minorEastAsia" w:hAnsi="Arial" w:cstheme="majorBidi"/>
      <w:b/>
      <w:bCs/>
      <w:caps/>
      <w:color w:val="4A442A" w:themeColor="background2" w:themeShade="40"/>
      <w:sz w:val="24"/>
      <w:szCs w:val="26"/>
    </w:rPr>
  </w:style>
  <w:style w:type="character" w:customStyle="1" w:styleId="Ttol4Car">
    <w:name w:val="Títol 4 Car"/>
    <w:basedOn w:val="Tipusdelletraperdefectedelpargraf"/>
    <w:link w:val="Ttol4"/>
    <w:uiPriority w:val="9"/>
    <w:rsid w:val="001356BD"/>
    <w:rPr>
      <w:rFonts w:ascii="Arial" w:eastAsiaTheme="minorEastAsia" w:hAnsi="Arial" w:cstheme="majorBidi"/>
      <w:b/>
      <w:iCs/>
      <w:caps/>
      <w:color w:val="EEECE1" w:themeColor="background2"/>
      <w:sz w:val="24"/>
      <w:szCs w:val="26"/>
      <w14:textFill>
        <w14:solidFill>
          <w14:schemeClr w14:val="bg2">
            <w14:lumMod w14:val="50000"/>
            <w14:lumMod w14:val="25000"/>
            <w14:lumMod w14:val="25000"/>
            <w14:lumMod w14:val="25000"/>
          </w14:schemeClr>
        </w14:solidFill>
      </w14:textFill>
    </w:rPr>
  </w:style>
  <w:style w:type="character" w:customStyle="1" w:styleId="Ttol5Car">
    <w:name w:val="Títol 5 Car"/>
    <w:basedOn w:val="Tipusdelletraperdefectedelpargraf"/>
    <w:link w:val="Ttol5"/>
    <w:uiPriority w:val="9"/>
    <w:rsid w:val="00331D54"/>
    <w:rPr>
      <w:rFonts w:ascii="Arial" w:eastAsiaTheme="majorEastAsia" w:hAnsi="Arial" w:cstheme="majorBidi"/>
      <w:b/>
      <w:color w:val="948A54" w:themeColor="background2" w:themeShade="80"/>
    </w:rPr>
  </w:style>
  <w:style w:type="character" w:customStyle="1" w:styleId="Ttol6Car">
    <w:name w:val="Títol 6 Car"/>
    <w:basedOn w:val="Tipusdelletraperdefectedelpargraf"/>
    <w:link w:val="Ttol6"/>
    <w:uiPriority w:val="9"/>
    <w:semiHidden/>
    <w:rsid w:val="001A68F1"/>
    <w:rPr>
      <w:rFonts w:asciiTheme="majorHAnsi" w:eastAsiaTheme="majorEastAsia" w:hAnsiTheme="majorHAnsi" w:cstheme="majorBidi"/>
      <w:i/>
      <w:iCs/>
      <w:color w:val="243F60" w:themeColor="accent1" w:themeShade="7F"/>
    </w:rPr>
  </w:style>
  <w:style w:type="character" w:customStyle="1" w:styleId="Ttol7Car">
    <w:name w:val="Títol 7 Car"/>
    <w:basedOn w:val="Tipusdelletraperdefectedelpargraf"/>
    <w:link w:val="Ttol7"/>
    <w:uiPriority w:val="9"/>
    <w:semiHidden/>
    <w:rsid w:val="001A68F1"/>
    <w:rPr>
      <w:rFonts w:asciiTheme="majorHAnsi" w:eastAsiaTheme="majorEastAsia" w:hAnsiTheme="majorHAnsi" w:cstheme="majorBidi"/>
      <w:i/>
      <w:iCs/>
      <w:color w:val="404040" w:themeColor="text1" w:themeTint="BF"/>
    </w:rPr>
  </w:style>
  <w:style w:type="character" w:customStyle="1" w:styleId="Ttol8Car">
    <w:name w:val="Títol 8 Car"/>
    <w:basedOn w:val="Tipusdelletraperdefectedelpargraf"/>
    <w:link w:val="Ttol8"/>
    <w:uiPriority w:val="9"/>
    <w:semiHidden/>
    <w:rsid w:val="001A68F1"/>
    <w:rPr>
      <w:rFonts w:asciiTheme="majorHAnsi" w:eastAsiaTheme="majorEastAsia" w:hAnsiTheme="majorHAnsi" w:cstheme="majorBidi"/>
      <w:color w:val="404040" w:themeColor="text1" w:themeTint="BF"/>
      <w:szCs w:val="20"/>
    </w:rPr>
  </w:style>
  <w:style w:type="character" w:customStyle="1" w:styleId="Ttol9Car">
    <w:name w:val="Títol 9 Car"/>
    <w:basedOn w:val="Tipusdelletraperdefectedelpargraf"/>
    <w:link w:val="Ttol9"/>
    <w:uiPriority w:val="9"/>
    <w:semiHidden/>
    <w:rsid w:val="001A68F1"/>
    <w:rPr>
      <w:rFonts w:asciiTheme="majorHAnsi" w:eastAsiaTheme="majorEastAsia" w:hAnsiTheme="majorHAnsi" w:cstheme="majorBidi"/>
      <w:i/>
      <w:iCs/>
      <w:color w:val="404040" w:themeColor="text1" w:themeTint="BF"/>
      <w:szCs w:val="20"/>
    </w:rPr>
  </w:style>
  <w:style w:type="character" w:styleId="Refernciadecomentari">
    <w:name w:val="annotation reference"/>
    <w:basedOn w:val="Tipusdelletraperdefectedelpargraf"/>
    <w:uiPriority w:val="99"/>
    <w:semiHidden/>
    <w:unhideWhenUsed/>
    <w:rsid w:val="002D1F3D"/>
    <w:rPr>
      <w:sz w:val="16"/>
      <w:szCs w:val="16"/>
    </w:rPr>
  </w:style>
  <w:style w:type="paragraph" w:styleId="Textdecomentari">
    <w:name w:val="annotation text"/>
    <w:basedOn w:val="Normal"/>
    <w:link w:val="TextdecomentariCar"/>
    <w:uiPriority w:val="99"/>
    <w:semiHidden/>
    <w:unhideWhenUsed/>
    <w:rsid w:val="002D1F3D"/>
    <w:rPr>
      <w:szCs w:val="20"/>
    </w:rPr>
  </w:style>
  <w:style w:type="character" w:customStyle="1" w:styleId="TextdecomentariCar">
    <w:name w:val="Text de comentari Car"/>
    <w:basedOn w:val="Tipusdelletraperdefectedelpargraf"/>
    <w:link w:val="Textdecomentari"/>
    <w:uiPriority w:val="99"/>
    <w:semiHidden/>
    <w:rsid w:val="002D1F3D"/>
    <w:rPr>
      <w:rFonts w:ascii="Verdana" w:hAnsi="Verdana"/>
      <w:sz w:val="20"/>
      <w:szCs w:val="20"/>
    </w:rPr>
  </w:style>
  <w:style w:type="paragraph" w:styleId="Temadelcomentari">
    <w:name w:val="annotation subject"/>
    <w:basedOn w:val="Textdecomentari"/>
    <w:next w:val="Textdecomentari"/>
    <w:link w:val="TemadelcomentariCar"/>
    <w:uiPriority w:val="99"/>
    <w:semiHidden/>
    <w:unhideWhenUsed/>
    <w:rsid w:val="002D1F3D"/>
    <w:rPr>
      <w:b/>
      <w:bCs/>
    </w:rPr>
  </w:style>
  <w:style w:type="character" w:customStyle="1" w:styleId="TemadelcomentariCar">
    <w:name w:val="Tema del comentari Car"/>
    <w:basedOn w:val="TextdecomentariCar"/>
    <w:link w:val="Temadelcomentari"/>
    <w:uiPriority w:val="99"/>
    <w:semiHidden/>
    <w:rsid w:val="002D1F3D"/>
    <w:rPr>
      <w:rFonts w:ascii="Verdana" w:hAnsi="Verdana"/>
      <w:b/>
      <w:bCs/>
      <w:sz w:val="20"/>
      <w:szCs w:val="20"/>
    </w:rPr>
  </w:style>
  <w:style w:type="paragraph" w:styleId="Revisi">
    <w:name w:val="Revision"/>
    <w:hidden/>
    <w:uiPriority w:val="99"/>
    <w:semiHidden/>
    <w:rsid w:val="002D1F3D"/>
    <w:pPr>
      <w:spacing w:after="0"/>
    </w:pPr>
    <w:rPr>
      <w:rFonts w:ascii="Verdana" w:hAnsi="Verdana"/>
      <w:sz w:val="20"/>
    </w:rPr>
  </w:style>
  <w:style w:type="character" w:styleId="Enllavisitat">
    <w:name w:val="FollowedHyperlink"/>
    <w:basedOn w:val="Tipusdelletraperdefectedelpargraf"/>
    <w:uiPriority w:val="99"/>
    <w:semiHidden/>
    <w:unhideWhenUsed/>
    <w:rsid w:val="001B17D1"/>
    <w:rPr>
      <w:color w:val="800080" w:themeColor="followedHyperlink"/>
      <w:u w:val="single"/>
    </w:rPr>
  </w:style>
  <w:style w:type="character" w:styleId="Nmerodepgina">
    <w:name w:val="page number"/>
    <w:basedOn w:val="Tipusdelletraperdefectedelpargraf"/>
    <w:semiHidden/>
    <w:rsid w:val="006C6489"/>
  </w:style>
  <w:style w:type="character" w:customStyle="1" w:styleId="apple-tab-span">
    <w:name w:val="apple-tab-span"/>
    <w:basedOn w:val="Tipusdelletraperdefectedelpargraf"/>
    <w:rsid w:val="007A6D65"/>
  </w:style>
  <w:style w:type="numbering" w:customStyle="1" w:styleId="Sensellista1">
    <w:name w:val="Sense llista1"/>
    <w:next w:val="Sensellista"/>
    <w:uiPriority w:val="99"/>
    <w:semiHidden/>
    <w:unhideWhenUsed/>
    <w:rsid w:val="006A4109"/>
  </w:style>
  <w:style w:type="table" w:customStyle="1" w:styleId="Taulaambquadrcula1">
    <w:name w:val="Taula amb quadrícula1"/>
    <w:basedOn w:val="Taulanormal"/>
    <w:next w:val="Taulaambquadrcula"/>
    <w:uiPriority w:val="59"/>
    <w:rsid w:val="006A4109"/>
    <w:pPr>
      <w:spacing w:after="0" w:line="264" w:lineRule="auto"/>
    </w:pPr>
    <w:rPr>
      <w:rFonts w:eastAsiaTheme="minorEastAs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ubttol">
    <w:name w:val="Subtitle"/>
    <w:basedOn w:val="Normal"/>
    <w:next w:val="Normal"/>
    <w:link w:val="SubttolCar"/>
    <w:uiPriority w:val="11"/>
    <w:qFormat/>
    <w:rsid w:val="006A4109"/>
    <w:pPr>
      <w:numPr>
        <w:ilvl w:val="1"/>
      </w:numPr>
      <w:spacing w:before="0" w:after="120"/>
      <w:jc w:val="left"/>
    </w:pPr>
    <w:rPr>
      <w:rFonts w:asciiTheme="majorHAnsi" w:eastAsiaTheme="majorEastAsia" w:hAnsiTheme="majorHAnsi" w:cstheme="majorBidi"/>
      <w:sz w:val="24"/>
      <w:szCs w:val="24"/>
    </w:rPr>
  </w:style>
  <w:style w:type="character" w:customStyle="1" w:styleId="SubttolCar">
    <w:name w:val="Subtítol Car"/>
    <w:basedOn w:val="Tipusdelletraperdefectedelpargraf"/>
    <w:link w:val="Subttol"/>
    <w:uiPriority w:val="11"/>
    <w:rsid w:val="006A4109"/>
    <w:rPr>
      <w:rFonts w:asciiTheme="majorHAnsi" w:eastAsiaTheme="majorEastAsia" w:hAnsiTheme="majorHAnsi" w:cstheme="majorBidi"/>
      <w:sz w:val="24"/>
      <w:szCs w:val="24"/>
    </w:rPr>
  </w:style>
  <w:style w:type="paragraph" w:styleId="Senseespaiat">
    <w:name w:val="No Spacing"/>
    <w:uiPriority w:val="1"/>
    <w:qFormat/>
    <w:rsid w:val="006A4109"/>
    <w:pPr>
      <w:spacing w:after="0"/>
    </w:pPr>
    <w:rPr>
      <w:rFonts w:eastAsiaTheme="minorEastAsia"/>
      <w:sz w:val="20"/>
      <w:szCs w:val="20"/>
    </w:rPr>
  </w:style>
  <w:style w:type="paragraph" w:styleId="Cita">
    <w:name w:val="Quote"/>
    <w:basedOn w:val="Normal"/>
    <w:next w:val="Normal"/>
    <w:link w:val="CitaCar"/>
    <w:uiPriority w:val="29"/>
    <w:qFormat/>
    <w:rsid w:val="006A4109"/>
    <w:pPr>
      <w:spacing w:before="160" w:after="120" w:line="264" w:lineRule="auto"/>
      <w:ind w:left="720" w:right="720"/>
      <w:jc w:val="left"/>
    </w:pPr>
    <w:rPr>
      <w:rFonts w:asciiTheme="minorHAnsi" w:eastAsiaTheme="minorEastAsia" w:hAnsiTheme="minorHAnsi"/>
      <w:i/>
      <w:iCs/>
      <w:color w:val="404040" w:themeColor="text1" w:themeTint="BF"/>
      <w:sz w:val="20"/>
      <w:szCs w:val="20"/>
    </w:rPr>
  </w:style>
  <w:style w:type="character" w:customStyle="1" w:styleId="CitaCar">
    <w:name w:val="Cita Car"/>
    <w:basedOn w:val="Tipusdelletraperdefectedelpargraf"/>
    <w:link w:val="Cita"/>
    <w:uiPriority w:val="29"/>
    <w:rsid w:val="006A4109"/>
    <w:rPr>
      <w:rFonts w:eastAsiaTheme="minorEastAsia"/>
      <w:i/>
      <w:iCs/>
      <w:color w:val="404040" w:themeColor="text1" w:themeTint="BF"/>
      <w:sz w:val="20"/>
      <w:szCs w:val="20"/>
    </w:rPr>
  </w:style>
  <w:style w:type="paragraph" w:styleId="Citaintensa">
    <w:name w:val="Intense Quote"/>
    <w:basedOn w:val="Normal"/>
    <w:next w:val="Normal"/>
    <w:link w:val="CitaintensaCar"/>
    <w:uiPriority w:val="30"/>
    <w:qFormat/>
    <w:rsid w:val="006A4109"/>
    <w:pPr>
      <w:pBdr>
        <w:left w:val="single" w:sz="18" w:space="12" w:color="4F81BD" w:themeColor="accent1"/>
      </w:pBdr>
      <w:spacing w:before="100" w:beforeAutospacing="1" w:after="120" w:line="300" w:lineRule="auto"/>
      <w:ind w:left="1224" w:right="1224"/>
      <w:jc w:val="left"/>
    </w:pPr>
    <w:rPr>
      <w:rFonts w:asciiTheme="majorHAnsi" w:eastAsiaTheme="majorEastAsia" w:hAnsiTheme="majorHAnsi" w:cstheme="majorBidi"/>
      <w:color w:val="4F81BD" w:themeColor="accent1"/>
      <w:sz w:val="28"/>
      <w:szCs w:val="28"/>
    </w:rPr>
  </w:style>
  <w:style w:type="character" w:customStyle="1" w:styleId="CitaintensaCar">
    <w:name w:val="Cita intensa Car"/>
    <w:basedOn w:val="Tipusdelletraperdefectedelpargraf"/>
    <w:link w:val="Citaintensa"/>
    <w:uiPriority w:val="30"/>
    <w:rsid w:val="006A4109"/>
    <w:rPr>
      <w:rFonts w:asciiTheme="majorHAnsi" w:eastAsiaTheme="majorEastAsia" w:hAnsiTheme="majorHAnsi" w:cstheme="majorBidi"/>
      <w:color w:val="4F81BD" w:themeColor="accent1"/>
      <w:sz w:val="28"/>
      <w:szCs w:val="28"/>
    </w:rPr>
  </w:style>
  <w:style w:type="character" w:styleId="mfasisubtil">
    <w:name w:val="Subtle Emphasis"/>
    <w:basedOn w:val="Tipusdelletraperdefectedelpargraf"/>
    <w:uiPriority w:val="19"/>
    <w:qFormat/>
    <w:rsid w:val="006A4109"/>
    <w:rPr>
      <w:i/>
      <w:iCs/>
      <w:color w:val="404040" w:themeColor="text1" w:themeTint="BF"/>
    </w:rPr>
  </w:style>
  <w:style w:type="character" w:styleId="mfasiintens">
    <w:name w:val="Intense Emphasis"/>
    <w:basedOn w:val="Tipusdelletraperdefectedelpargraf"/>
    <w:uiPriority w:val="21"/>
    <w:qFormat/>
    <w:rsid w:val="006A4109"/>
    <w:rPr>
      <w:b/>
      <w:bCs/>
      <w:i/>
      <w:iCs/>
    </w:rPr>
  </w:style>
  <w:style w:type="character" w:styleId="Refernciasubtil">
    <w:name w:val="Subtle Reference"/>
    <w:basedOn w:val="Tipusdelletraperdefectedelpargraf"/>
    <w:uiPriority w:val="31"/>
    <w:qFormat/>
    <w:rsid w:val="006A4109"/>
    <w:rPr>
      <w:smallCaps/>
      <w:color w:val="404040" w:themeColor="text1" w:themeTint="BF"/>
      <w:u w:val="single" w:color="7F7F7F" w:themeColor="text1" w:themeTint="80"/>
    </w:rPr>
  </w:style>
  <w:style w:type="character" w:styleId="Refernciaintensa">
    <w:name w:val="Intense Reference"/>
    <w:basedOn w:val="Tipusdelletraperdefectedelpargraf"/>
    <w:uiPriority w:val="32"/>
    <w:qFormat/>
    <w:rsid w:val="006A4109"/>
    <w:rPr>
      <w:b/>
      <w:bCs/>
      <w:smallCaps/>
      <w:spacing w:val="5"/>
      <w:u w:val="single"/>
    </w:rPr>
  </w:style>
  <w:style w:type="character" w:styleId="Ttoldelllibre">
    <w:name w:val="Book Title"/>
    <w:basedOn w:val="Tipusdelletraperdefectedelpargraf"/>
    <w:uiPriority w:val="33"/>
    <w:qFormat/>
    <w:rsid w:val="006A4109"/>
    <w:rPr>
      <w:b/>
      <w:bCs/>
      <w:smallCaps/>
    </w:rPr>
  </w:style>
  <w:style w:type="paragraph" w:customStyle="1" w:styleId="Sagnatdelcosdeltext">
    <w:name w:val="Sagnat del cos del text"/>
    <w:basedOn w:val="Normal"/>
    <w:rsid w:val="006A4109"/>
    <w:pPr>
      <w:suppressAutoHyphens/>
      <w:spacing w:before="0" w:after="120" w:line="100" w:lineRule="atLeast"/>
      <w:jc w:val="left"/>
    </w:pPr>
    <w:rPr>
      <w:rFonts w:eastAsia="Arial" w:cs="Arial"/>
      <w:color w:val="00000A"/>
      <w:sz w:val="19"/>
      <w:szCs w:val="19"/>
    </w:rPr>
  </w:style>
  <w:style w:type="paragraph" w:styleId="Sagniadetextindependent3">
    <w:name w:val="Body Text Indent 3"/>
    <w:basedOn w:val="Normal"/>
    <w:link w:val="Sagniadetextindependent3Car"/>
    <w:uiPriority w:val="99"/>
    <w:semiHidden/>
    <w:unhideWhenUsed/>
    <w:rsid w:val="006A4109"/>
    <w:pPr>
      <w:spacing w:before="0" w:after="120" w:line="264" w:lineRule="auto"/>
      <w:ind w:left="283"/>
      <w:jc w:val="left"/>
    </w:pPr>
    <w:rPr>
      <w:rFonts w:asciiTheme="minorHAnsi" w:eastAsiaTheme="minorEastAsia" w:hAnsiTheme="minorHAnsi"/>
      <w:sz w:val="16"/>
      <w:szCs w:val="16"/>
    </w:rPr>
  </w:style>
  <w:style w:type="character" w:customStyle="1" w:styleId="Sagniadetextindependent3Car">
    <w:name w:val="Sagnia de text independent 3 Car"/>
    <w:basedOn w:val="Tipusdelletraperdefectedelpargraf"/>
    <w:link w:val="Sagniadetextindependent3"/>
    <w:uiPriority w:val="99"/>
    <w:semiHidden/>
    <w:rsid w:val="006A4109"/>
    <w:rPr>
      <w:rFonts w:eastAsiaTheme="minorEastAsia"/>
      <w:sz w:val="16"/>
      <w:szCs w:val="16"/>
    </w:rPr>
  </w:style>
  <w:style w:type="paragraph" w:customStyle="1" w:styleId="Tabla">
    <w:name w:val="Tabla"/>
    <w:rsid w:val="006A4109"/>
    <w:pPr>
      <w:spacing w:after="0"/>
      <w:jc w:val="both"/>
    </w:pPr>
    <w:rPr>
      <w:rFonts w:ascii="Arial" w:eastAsia="Times New Roman" w:hAnsi="Arial" w:cs="Times New Roman"/>
      <w:snapToGrid w:val="0"/>
      <w:color w:val="000000"/>
      <w:sz w:val="24"/>
      <w:szCs w:val="20"/>
      <w:lang w:val="es-ES" w:eastAsia="es-ES"/>
    </w:rPr>
  </w:style>
  <w:style w:type="table" w:customStyle="1" w:styleId="Taulaambquadrcula2">
    <w:name w:val="Taula amb quadrícula2"/>
    <w:basedOn w:val="Taulanormal"/>
    <w:next w:val="Taulaambquadrcula"/>
    <w:uiPriority w:val="59"/>
    <w:rsid w:val="006A4109"/>
    <w:pPr>
      <w:spacing w:after="0" w:line="264" w:lineRule="auto"/>
    </w:pPr>
    <w:rPr>
      <w:rFonts w:eastAsiaTheme="minorEastAs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Ombrejatsuau">
    <w:name w:val="Light Shading"/>
    <w:basedOn w:val="Taulanormal"/>
    <w:uiPriority w:val="60"/>
    <w:rsid w:val="006A4109"/>
    <w:pPr>
      <w:spacing w:after="0"/>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apple-converted-space">
    <w:name w:val="apple-converted-space"/>
    <w:basedOn w:val="Tipusdelletraperdefectedelpargraf"/>
    <w:rsid w:val="006A4109"/>
  </w:style>
  <w:style w:type="table" w:styleId="Llistamitjana2mfasi1">
    <w:name w:val="Medium List 2 Accent 1"/>
    <w:basedOn w:val="Taulanormal"/>
    <w:uiPriority w:val="66"/>
    <w:rsid w:val="00055E6C"/>
    <w:pPr>
      <w:spacing w:after="0"/>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Ombrejatsuaumfasi1">
    <w:name w:val="Light Shading Accent 1"/>
    <w:basedOn w:val="Taulanormal"/>
    <w:uiPriority w:val="60"/>
    <w:rsid w:val="00055E6C"/>
    <w:pPr>
      <w:spacing w:after="0"/>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Ombrejatmitj2mfasi1">
    <w:name w:val="Medium Shading 2 Accent 1"/>
    <w:basedOn w:val="Taulanormal"/>
    <w:uiPriority w:val="64"/>
    <w:rsid w:val="00055E6C"/>
    <w:pPr>
      <w:spacing w:after="0"/>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Quadrculamitjana3mfasi5">
    <w:name w:val="Medium Grid 3 Accent 5"/>
    <w:basedOn w:val="Taulanormal"/>
    <w:uiPriority w:val="69"/>
    <w:rsid w:val="00055E6C"/>
    <w:pPr>
      <w:spacing w:after="0"/>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Quadrculamitjana3mfasi1">
    <w:name w:val="Medium Grid 3 Accent 1"/>
    <w:basedOn w:val="Taulanormal"/>
    <w:uiPriority w:val="69"/>
    <w:rsid w:val="00055E6C"/>
    <w:pPr>
      <w:spacing w:after="0"/>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paragraph" w:styleId="Mapadeldocument">
    <w:name w:val="Document Map"/>
    <w:basedOn w:val="Normal"/>
    <w:link w:val="MapadeldocumentCar"/>
    <w:uiPriority w:val="99"/>
    <w:semiHidden/>
    <w:unhideWhenUsed/>
    <w:rsid w:val="00F33156"/>
    <w:pPr>
      <w:spacing w:before="0" w:after="0"/>
    </w:pPr>
    <w:rPr>
      <w:rFonts w:ascii="Tahoma" w:hAnsi="Tahoma" w:cs="Tahoma"/>
      <w:sz w:val="16"/>
      <w:szCs w:val="16"/>
    </w:rPr>
  </w:style>
  <w:style w:type="character" w:customStyle="1" w:styleId="MapadeldocumentCar">
    <w:name w:val="Mapa del document Car"/>
    <w:basedOn w:val="Tipusdelletraperdefectedelpargraf"/>
    <w:link w:val="Mapadeldocument"/>
    <w:uiPriority w:val="99"/>
    <w:semiHidden/>
    <w:rsid w:val="00F33156"/>
    <w:rPr>
      <w:rFonts w:ascii="Tahoma" w:hAnsi="Tahoma" w:cs="Tahoma"/>
      <w:sz w:val="16"/>
      <w:szCs w:val="16"/>
    </w:rPr>
  </w:style>
  <w:style w:type="paragraph" w:customStyle="1" w:styleId="Default">
    <w:name w:val="Default"/>
    <w:rsid w:val="00507FE7"/>
    <w:pPr>
      <w:autoSpaceDE w:val="0"/>
      <w:autoSpaceDN w:val="0"/>
      <w:adjustRightInd w:val="0"/>
      <w:spacing w:after="0"/>
    </w:pPr>
    <w:rPr>
      <w:rFonts w:ascii="Arial" w:hAnsi="Arial" w:cs="Arial"/>
      <w:color w:val="000000"/>
      <w:sz w:val="24"/>
      <w:szCs w:val="24"/>
    </w:rPr>
  </w:style>
  <w:style w:type="paragraph" w:styleId="ndex1">
    <w:name w:val="index 1"/>
    <w:basedOn w:val="Normal"/>
    <w:next w:val="Normal"/>
    <w:autoRedefine/>
    <w:uiPriority w:val="99"/>
    <w:semiHidden/>
    <w:unhideWhenUsed/>
    <w:rsid w:val="00331D54"/>
    <w:pPr>
      <w:spacing w:before="0" w:after="0"/>
      <w:ind w:left="220" w:hanging="220"/>
    </w:pPr>
  </w:style>
  <w:style w:type="table" w:styleId="Llistaclaramfasi1">
    <w:name w:val="Light List Accent 1"/>
    <w:basedOn w:val="Taulanormal"/>
    <w:uiPriority w:val="61"/>
    <w:rsid w:val="002A4649"/>
    <w:pPr>
      <w:spacing w:after="0"/>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listaclaramfasi11">
    <w:name w:val="Llista clara: èmfasi 11"/>
    <w:basedOn w:val="Taulanormal"/>
    <w:uiPriority w:val="61"/>
    <w:rsid w:val="002A4649"/>
    <w:pPr>
      <w:spacing w:after="0"/>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ndexdillustracions">
    <w:name w:val="table of figures"/>
    <w:basedOn w:val="Normal"/>
    <w:next w:val="Normal"/>
    <w:uiPriority w:val="99"/>
    <w:unhideWhenUsed/>
    <w:rsid w:val="0068128C"/>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3110727">
      <w:bodyDiv w:val="1"/>
      <w:marLeft w:val="0"/>
      <w:marRight w:val="0"/>
      <w:marTop w:val="0"/>
      <w:marBottom w:val="0"/>
      <w:divBdr>
        <w:top w:val="none" w:sz="0" w:space="0" w:color="auto"/>
        <w:left w:val="none" w:sz="0" w:space="0" w:color="auto"/>
        <w:bottom w:val="none" w:sz="0" w:space="0" w:color="auto"/>
        <w:right w:val="none" w:sz="0" w:space="0" w:color="auto"/>
      </w:divBdr>
    </w:div>
    <w:div w:id="304548224">
      <w:bodyDiv w:val="1"/>
      <w:marLeft w:val="0"/>
      <w:marRight w:val="0"/>
      <w:marTop w:val="0"/>
      <w:marBottom w:val="0"/>
      <w:divBdr>
        <w:top w:val="none" w:sz="0" w:space="0" w:color="auto"/>
        <w:left w:val="none" w:sz="0" w:space="0" w:color="auto"/>
        <w:bottom w:val="none" w:sz="0" w:space="0" w:color="auto"/>
        <w:right w:val="none" w:sz="0" w:space="0" w:color="auto"/>
      </w:divBdr>
    </w:div>
    <w:div w:id="309404577">
      <w:bodyDiv w:val="1"/>
      <w:marLeft w:val="0"/>
      <w:marRight w:val="0"/>
      <w:marTop w:val="0"/>
      <w:marBottom w:val="0"/>
      <w:divBdr>
        <w:top w:val="none" w:sz="0" w:space="0" w:color="auto"/>
        <w:left w:val="none" w:sz="0" w:space="0" w:color="auto"/>
        <w:bottom w:val="none" w:sz="0" w:space="0" w:color="auto"/>
        <w:right w:val="none" w:sz="0" w:space="0" w:color="auto"/>
      </w:divBdr>
      <w:divsChild>
        <w:div w:id="2003072809">
          <w:marLeft w:val="0"/>
          <w:marRight w:val="0"/>
          <w:marTop w:val="77"/>
          <w:marBottom w:val="0"/>
          <w:divBdr>
            <w:top w:val="none" w:sz="0" w:space="0" w:color="auto"/>
            <w:left w:val="none" w:sz="0" w:space="0" w:color="auto"/>
            <w:bottom w:val="none" w:sz="0" w:space="0" w:color="auto"/>
            <w:right w:val="none" w:sz="0" w:space="0" w:color="auto"/>
          </w:divBdr>
        </w:div>
        <w:div w:id="727384924">
          <w:marLeft w:val="0"/>
          <w:marRight w:val="0"/>
          <w:marTop w:val="77"/>
          <w:marBottom w:val="0"/>
          <w:divBdr>
            <w:top w:val="none" w:sz="0" w:space="0" w:color="auto"/>
            <w:left w:val="none" w:sz="0" w:space="0" w:color="auto"/>
            <w:bottom w:val="none" w:sz="0" w:space="0" w:color="auto"/>
            <w:right w:val="none" w:sz="0" w:space="0" w:color="auto"/>
          </w:divBdr>
        </w:div>
        <w:div w:id="820390969">
          <w:marLeft w:val="0"/>
          <w:marRight w:val="0"/>
          <w:marTop w:val="77"/>
          <w:marBottom w:val="0"/>
          <w:divBdr>
            <w:top w:val="none" w:sz="0" w:space="0" w:color="auto"/>
            <w:left w:val="none" w:sz="0" w:space="0" w:color="auto"/>
            <w:bottom w:val="none" w:sz="0" w:space="0" w:color="auto"/>
            <w:right w:val="none" w:sz="0" w:space="0" w:color="auto"/>
          </w:divBdr>
        </w:div>
        <w:div w:id="1322000424">
          <w:marLeft w:val="0"/>
          <w:marRight w:val="0"/>
          <w:marTop w:val="77"/>
          <w:marBottom w:val="0"/>
          <w:divBdr>
            <w:top w:val="none" w:sz="0" w:space="0" w:color="auto"/>
            <w:left w:val="none" w:sz="0" w:space="0" w:color="auto"/>
            <w:bottom w:val="none" w:sz="0" w:space="0" w:color="auto"/>
            <w:right w:val="none" w:sz="0" w:space="0" w:color="auto"/>
          </w:divBdr>
        </w:div>
        <w:div w:id="2059932084">
          <w:marLeft w:val="0"/>
          <w:marRight w:val="0"/>
          <w:marTop w:val="77"/>
          <w:marBottom w:val="0"/>
          <w:divBdr>
            <w:top w:val="none" w:sz="0" w:space="0" w:color="auto"/>
            <w:left w:val="none" w:sz="0" w:space="0" w:color="auto"/>
            <w:bottom w:val="none" w:sz="0" w:space="0" w:color="auto"/>
            <w:right w:val="none" w:sz="0" w:space="0" w:color="auto"/>
          </w:divBdr>
        </w:div>
        <w:div w:id="833842714">
          <w:marLeft w:val="0"/>
          <w:marRight w:val="0"/>
          <w:marTop w:val="77"/>
          <w:marBottom w:val="0"/>
          <w:divBdr>
            <w:top w:val="none" w:sz="0" w:space="0" w:color="auto"/>
            <w:left w:val="none" w:sz="0" w:space="0" w:color="auto"/>
            <w:bottom w:val="none" w:sz="0" w:space="0" w:color="auto"/>
            <w:right w:val="none" w:sz="0" w:space="0" w:color="auto"/>
          </w:divBdr>
        </w:div>
      </w:divsChild>
    </w:div>
    <w:div w:id="377511120">
      <w:bodyDiv w:val="1"/>
      <w:marLeft w:val="0"/>
      <w:marRight w:val="0"/>
      <w:marTop w:val="0"/>
      <w:marBottom w:val="0"/>
      <w:divBdr>
        <w:top w:val="none" w:sz="0" w:space="0" w:color="auto"/>
        <w:left w:val="none" w:sz="0" w:space="0" w:color="auto"/>
        <w:bottom w:val="none" w:sz="0" w:space="0" w:color="auto"/>
        <w:right w:val="none" w:sz="0" w:space="0" w:color="auto"/>
      </w:divBdr>
    </w:div>
    <w:div w:id="604583964">
      <w:bodyDiv w:val="1"/>
      <w:marLeft w:val="0"/>
      <w:marRight w:val="0"/>
      <w:marTop w:val="0"/>
      <w:marBottom w:val="0"/>
      <w:divBdr>
        <w:top w:val="none" w:sz="0" w:space="0" w:color="auto"/>
        <w:left w:val="none" w:sz="0" w:space="0" w:color="auto"/>
        <w:bottom w:val="none" w:sz="0" w:space="0" w:color="auto"/>
        <w:right w:val="none" w:sz="0" w:space="0" w:color="auto"/>
      </w:divBdr>
    </w:div>
    <w:div w:id="613101241">
      <w:bodyDiv w:val="1"/>
      <w:marLeft w:val="0"/>
      <w:marRight w:val="0"/>
      <w:marTop w:val="0"/>
      <w:marBottom w:val="0"/>
      <w:divBdr>
        <w:top w:val="none" w:sz="0" w:space="0" w:color="auto"/>
        <w:left w:val="none" w:sz="0" w:space="0" w:color="auto"/>
        <w:bottom w:val="none" w:sz="0" w:space="0" w:color="auto"/>
        <w:right w:val="none" w:sz="0" w:space="0" w:color="auto"/>
      </w:divBdr>
    </w:div>
    <w:div w:id="907806394">
      <w:bodyDiv w:val="1"/>
      <w:marLeft w:val="0"/>
      <w:marRight w:val="0"/>
      <w:marTop w:val="0"/>
      <w:marBottom w:val="0"/>
      <w:divBdr>
        <w:top w:val="none" w:sz="0" w:space="0" w:color="auto"/>
        <w:left w:val="none" w:sz="0" w:space="0" w:color="auto"/>
        <w:bottom w:val="none" w:sz="0" w:space="0" w:color="auto"/>
        <w:right w:val="none" w:sz="0" w:space="0" w:color="auto"/>
      </w:divBdr>
    </w:div>
    <w:div w:id="919607917">
      <w:bodyDiv w:val="1"/>
      <w:marLeft w:val="0"/>
      <w:marRight w:val="0"/>
      <w:marTop w:val="0"/>
      <w:marBottom w:val="0"/>
      <w:divBdr>
        <w:top w:val="none" w:sz="0" w:space="0" w:color="auto"/>
        <w:left w:val="none" w:sz="0" w:space="0" w:color="auto"/>
        <w:bottom w:val="none" w:sz="0" w:space="0" w:color="auto"/>
        <w:right w:val="none" w:sz="0" w:space="0" w:color="auto"/>
      </w:divBdr>
    </w:div>
    <w:div w:id="948899360">
      <w:bodyDiv w:val="1"/>
      <w:marLeft w:val="0"/>
      <w:marRight w:val="0"/>
      <w:marTop w:val="0"/>
      <w:marBottom w:val="0"/>
      <w:divBdr>
        <w:top w:val="none" w:sz="0" w:space="0" w:color="auto"/>
        <w:left w:val="none" w:sz="0" w:space="0" w:color="auto"/>
        <w:bottom w:val="none" w:sz="0" w:space="0" w:color="auto"/>
        <w:right w:val="none" w:sz="0" w:space="0" w:color="auto"/>
      </w:divBdr>
    </w:div>
    <w:div w:id="985863436">
      <w:bodyDiv w:val="1"/>
      <w:marLeft w:val="0"/>
      <w:marRight w:val="0"/>
      <w:marTop w:val="0"/>
      <w:marBottom w:val="0"/>
      <w:divBdr>
        <w:top w:val="none" w:sz="0" w:space="0" w:color="auto"/>
        <w:left w:val="none" w:sz="0" w:space="0" w:color="auto"/>
        <w:bottom w:val="none" w:sz="0" w:space="0" w:color="auto"/>
        <w:right w:val="none" w:sz="0" w:space="0" w:color="auto"/>
      </w:divBdr>
    </w:div>
    <w:div w:id="1068696163">
      <w:bodyDiv w:val="1"/>
      <w:marLeft w:val="0"/>
      <w:marRight w:val="0"/>
      <w:marTop w:val="0"/>
      <w:marBottom w:val="0"/>
      <w:divBdr>
        <w:top w:val="none" w:sz="0" w:space="0" w:color="auto"/>
        <w:left w:val="none" w:sz="0" w:space="0" w:color="auto"/>
        <w:bottom w:val="none" w:sz="0" w:space="0" w:color="auto"/>
        <w:right w:val="none" w:sz="0" w:space="0" w:color="auto"/>
      </w:divBdr>
    </w:div>
    <w:div w:id="1097751556">
      <w:bodyDiv w:val="1"/>
      <w:marLeft w:val="0"/>
      <w:marRight w:val="0"/>
      <w:marTop w:val="0"/>
      <w:marBottom w:val="0"/>
      <w:divBdr>
        <w:top w:val="none" w:sz="0" w:space="0" w:color="auto"/>
        <w:left w:val="none" w:sz="0" w:space="0" w:color="auto"/>
        <w:bottom w:val="none" w:sz="0" w:space="0" w:color="auto"/>
        <w:right w:val="none" w:sz="0" w:space="0" w:color="auto"/>
      </w:divBdr>
      <w:divsChild>
        <w:div w:id="146433826">
          <w:marLeft w:val="1166"/>
          <w:marRight w:val="0"/>
          <w:marTop w:val="40"/>
          <w:marBottom w:val="40"/>
          <w:divBdr>
            <w:top w:val="none" w:sz="0" w:space="0" w:color="auto"/>
            <w:left w:val="none" w:sz="0" w:space="0" w:color="auto"/>
            <w:bottom w:val="none" w:sz="0" w:space="0" w:color="auto"/>
            <w:right w:val="none" w:sz="0" w:space="0" w:color="auto"/>
          </w:divBdr>
        </w:div>
        <w:div w:id="1385835170">
          <w:marLeft w:val="1166"/>
          <w:marRight w:val="0"/>
          <w:marTop w:val="40"/>
          <w:marBottom w:val="40"/>
          <w:divBdr>
            <w:top w:val="none" w:sz="0" w:space="0" w:color="auto"/>
            <w:left w:val="none" w:sz="0" w:space="0" w:color="auto"/>
            <w:bottom w:val="none" w:sz="0" w:space="0" w:color="auto"/>
            <w:right w:val="none" w:sz="0" w:space="0" w:color="auto"/>
          </w:divBdr>
        </w:div>
        <w:div w:id="221329563">
          <w:marLeft w:val="1166"/>
          <w:marRight w:val="0"/>
          <w:marTop w:val="40"/>
          <w:marBottom w:val="40"/>
          <w:divBdr>
            <w:top w:val="none" w:sz="0" w:space="0" w:color="auto"/>
            <w:left w:val="none" w:sz="0" w:space="0" w:color="auto"/>
            <w:bottom w:val="none" w:sz="0" w:space="0" w:color="auto"/>
            <w:right w:val="none" w:sz="0" w:space="0" w:color="auto"/>
          </w:divBdr>
        </w:div>
        <w:div w:id="757870992">
          <w:marLeft w:val="1166"/>
          <w:marRight w:val="0"/>
          <w:marTop w:val="40"/>
          <w:marBottom w:val="40"/>
          <w:divBdr>
            <w:top w:val="none" w:sz="0" w:space="0" w:color="auto"/>
            <w:left w:val="none" w:sz="0" w:space="0" w:color="auto"/>
            <w:bottom w:val="none" w:sz="0" w:space="0" w:color="auto"/>
            <w:right w:val="none" w:sz="0" w:space="0" w:color="auto"/>
          </w:divBdr>
        </w:div>
        <w:div w:id="1034506090">
          <w:marLeft w:val="1166"/>
          <w:marRight w:val="0"/>
          <w:marTop w:val="40"/>
          <w:marBottom w:val="40"/>
          <w:divBdr>
            <w:top w:val="none" w:sz="0" w:space="0" w:color="auto"/>
            <w:left w:val="none" w:sz="0" w:space="0" w:color="auto"/>
            <w:bottom w:val="none" w:sz="0" w:space="0" w:color="auto"/>
            <w:right w:val="none" w:sz="0" w:space="0" w:color="auto"/>
          </w:divBdr>
        </w:div>
      </w:divsChild>
    </w:div>
    <w:div w:id="1178808451">
      <w:bodyDiv w:val="1"/>
      <w:marLeft w:val="0"/>
      <w:marRight w:val="0"/>
      <w:marTop w:val="0"/>
      <w:marBottom w:val="0"/>
      <w:divBdr>
        <w:top w:val="none" w:sz="0" w:space="0" w:color="auto"/>
        <w:left w:val="none" w:sz="0" w:space="0" w:color="auto"/>
        <w:bottom w:val="none" w:sz="0" w:space="0" w:color="auto"/>
        <w:right w:val="none" w:sz="0" w:space="0" w:color="auto"/>
      </w:divBdr>
      <w:divsChild>
        <w:div w:id="1617641309">
          <w:marLeft w:val="547"/>
          <w:marRight w:val="0"/>
          <w:marTop w:val="0"/>
          <w:marBottom w:val="0"/>
          <w:divBdr>
            <w:top w:val="none" w:sz="0" w:space="0" w:color="auto"/>
            <w:left w:val="none" w:sz="0" w:space="0" w:color="auto"/>
            <w:bottom w:val="none" w:sz="0" w:space="0" w:color="auto"/>
            <w:right w:val="none" w:sz="0" w:space="0" w:color="auto"/>
          </w:divBdr>
        </w:div>
        <w:div w:id="1424762669">
          <w:marLeft w:val="547"/>
          <w:marRight w:val="0"/>
          <w:marTop w:val="0"/>
          <w:marBottom w:val="0"/>
          <w:divBdr>
            <w:top w:val="none" w:sz="0" w:space="0" w:color="auto"/>
            <w:left w:val="none" w:sz="0" w:space="0" w:color="auto"/>
            <w:bottom w:val="none" w:sz="0" w:space="0" w:color="auto"/>
            <w:right w:val="none" w:sz="0" w:space="0" w:color="auto"/>
          </w:divBdr>
        </w:div>
        <w:div w:id="2054695301">
          <w:marLeft w:val="547"/>
          <w:marRight w:val="0"/>
          <w:marTop w:val="0"/>
          <w:marBottom w:val="0"/>
          <w:divBdr>
            <w:top w:val="none" w:sz="0" w:space="0" w:color="auto"/>
            <w:left w:val="none" w:sz="0" w:space="0" w:color="auto"/>
            <w:bottom w:val="none" w:sz="0" w:space="0" w:color="auto"/>
            <w:right w:val="none" w:sz="0" w:space="0" w:color="auto"/>
          </w:divBdr>
        </w:div>
        <w:div w:id="146015954">
          <w:marLeft w:val="547"/>
          <w:marRight w:val="0"/>
          <w:marTop w:val="0"/>
          <w:marBottom w:val="0"/>
          <w:divBdr>
            <w:top w:val="none" w:sz="0" w:space="0" w:color="auto"/>
            <w:left w:val="none" w:sz="0" w:space="0" w:color="auto"/>
            <w:bottom w:val="none" w:sz="0" w:space="0" w:color="auto"/>
            <w:right w:val="none" w:sz="0" w:space="0" w:color="auto"/>
          </w:divBdr>
        </w:div>
        <w:div w:id="129372055">
          <w:marLeft w:val="547"/>
          <w:marRight w:val="0"/>
          <w:marTop w:val="0"/>
          <w:marBottom w:val="0"/>
          <w:divBdr>
            <w:top w:val="none" w:sz="0" w:space="0" w:color="auto"/>
            <w:left w:val="none" w:sz="0" w:space="0" w:color="auto"/>
            <w:bottom w:val="none" w:sz="0" w:space="0" w:color="auto"/>
            <w:right w:val="none" w:sz="0" w:space="0" w:color="auto"/>
          </w:divBdr>
        </w:div>
        <w:div w:id="1214121425">
          <w:marLeft w:val="547"/>
          <w:marRight w:val="0"/>
          <w:marTop w:val="0"/>
          <w:marBottom w:val="0"/>
          <w:divBdr>
            <w:top w:val="none" w:sz="0" w:space="0" w:color="auto"/>
            <w:left w:val="none" w:sz="0" w:space="0" w:color="auto"/>
            <w:bottom w:val="none" w:sz="0" w:space="0" w:color="auto"/>
            <w:right w:val="none" w:sz="0" w:space="0" w:color="auto"/>
          </w:divBdr>
        </w:div>
        <w:div w:id="261258686">
          <w:marLeft w:val="547"/>
          <w:marRight w:val="0"/>
          <w:marTop w:val="0"/>
          <w:marBottom w:val="0"/>
          <w:divBdr>
            <w:top w:val="none" w:sz="0" w:space="0" w:color="auto"/>
            <w:left w:val="none" w:sz="0" w:space="0" w:color="auto"/>
            <w:bottom w:val="none" w:sz="0" w:space="0" w:color="auto"/>
            <w:right w:val="none" w:sz="0" w:space="0" w:color="auto"/>
          </w:divBdr>
        </w:div>
        <w:div w:id="1009603318">
          <w:marLeft w:val="547"/>
          <w:marRight w:val="0"/>
          <w:marTop w:val="0"/>
          <w:marBottom w:val="0"/>
          <w:divBdr>
            <w:top w:val="none" w:sz="0" w:space="0" w:color="auto"/>
            <w:left w:val="none" w:sz="0" w:space="0" w:color="auto"/>
            <w:bottom w:val="none" w:sz="0" w:space="0" w:color="auto"/>
            <w:right w:val="none" w:sz="0" w:space="0" w:color="auto"/>
          </w:divBdr>
        </w:div>
        <w:div w:id="1374303529">
          <w:marLeft w:val="547"/>
          <w:marRight w:val="0"/>
          <w:marTop w:val="0"/>
          <w:marBottom w:val="0"/>
          <w:divBdr>
            <w:top w:val="none" w:sz="0" w:space="0" w:color="auto"/>
            <w:left w:val="none" w:sz="0" w:space="0" w:color="auto"/>
            <w:bottom w:val="none" w:sz="0" w:space="0" w:color="auto"/>
            <w:right w:val="none" w:sz="0" w:space="0" w:color="auto"/>
          </w:divBdr>
        </w:div>
        <w:div w:id="713233994">
          <w:marLeft w:val="547"/>
          <w:marRight w:val="0"/>
          <w:marTop w:val="0"/>
          <w:marBottom w:val="0"/>
          <w:divBdr>
            <w:top w:val="none" w:sz="0" w:space="0" w:color="auto"/>
            <w:left w:val="none" w:sz="0" w:space="0" w:color="auto"/>
            <w:bottom w:val="none" w:sz="0" w:space="0" w:color="auto"/>
            <w:right w:val="none" w:sz="0" w:space="0" w:color="auto"/>
          </w:divBdr>
        </w:div>
        <w:div w:id="272247359">
          <w:marLeft w:val="547"/>
          <w:marRight w:val="0"/>
          <w:marTop w:val="0"/>
          <w:marBottom w:val="0"/>
          <w:divBdr>
            <w:top w:val="none" w:sz="0" w:space="0" w:color="auto"/>
            <w:left w:val="none" w:sz="0" w:space="0" w:color="auto"/>
            <w:bottom w:val="none" w:sz="0" w:space="0" w:color="auto"/>
            <w:right w:val="none" w:sz="0" w:space="0" w:color="auto"/>
          </w:divBdr>
        </w:div>
        <w:div w:id="437913293">
          <w:marLeft w:val="547"/>
          <w:marRight w:val="0"/>
          <w:marTop w:val="0"/>
          <w:marBottom w:val="0"/>
          <w:divBdr>
            <w:top w:val="none" w:sz="0" w:space="0" w:color="auto"/>
            <w:left w:val="none" w:sz="0" w:space="0" w:color="auto"/>
            <w:bottom w:val="none" w:sz="0" w:space="0" w:color="auto"/>
            <w:right w:val="none" w:sz="0" w:space="0" w:color="auto"/>
          </w:divBdr>
        </w:div>
        <w:div w:id="1001933955">
          <w:marLeft w:val="547"/>
          <w:marRight w:val="0"/>
          <w:marTop w:val="0"/>
          <w:marBottom w:val="0"/>
          <w:divBdr>
            <w:top w:val="none" w:sz="0" w:space="0" w:color="auto"/>
            <w:left w:val="none" w:sz="0" w:space="0" w:color="auto"/>
            <w:bottom w:val="none" w:sz="0" w:space="0" w:color="auto"/>
            <w:right w:val="none" w:sz="0" w:space="0" w:color="auto"/>
          </w:divBdr>
        </w:div>
        <w:div w:id="1956054142">
          <w:marLeft w:val="547"/>
          <w:marRight w:val="0"/>
          <w:marTop w:val="0"/>
          <w:marBottom w:val="0"/>
          <w:divBdr>
            <w:top w:val="none" w:sz="0" w:space="0" w:color="auto"/>
            <w:left w:val="none" w:sz="0" w:space="0" w:color="auto"/>
            <w:bottom w:val="none" w:sz="0" w:space="0" w:color="auto"/>
            <w:right w:val="none" w:sz="0" w:space="0" w:color="auto"/>
          </w:divBdr>
        </w:div>
        <w:div w:id="940534185">
          <w:marLeft w:val="547"/>
          <w:marRight w:val="0"/>
          <w:marTop w:val="0"/>
          <w:marBottom w:val="0"/>
          <w:divBdr>
            <w:top w:val="none" w:sz="0" w:space="0" w:color="auto"/>
            <w:left w:val="none" w:sz="0" w:space="0" w:color="auto"/>
            <w:bottom w:val="none" w:sz="0" w:space="0" w:color="auto"/>
            <w:right w:val="none" w:sz="0" w:space="0" w:color="auto"/>
          </w:divBdr>
        </w:div>
        <w:div w:id="1434982606">
          <w:marLeft w:val="547"/>
          <w:marRight w:val="0"/>
          <w:marTop w:val="0"/>
          <w:marBottom w:val="0"/>
          <w:divBdr>
            <w:top w:val="none" w:sz="0" w:space="0" w:color="auto"/>
            <w:left w:val="none" w:sz="0" w:space="0" w:color="auto"/>
            <w:bottom w:val="none" w:sz="0" w:space="0" w:color="auto"/>
            <w:right w:val="none" w:sz="0" w:space="0" w:color="auto"/>
          </w:divBdr>
        </w:div>
        <w:div w:id="1667709866">
          <w:marLeft w:val="547"/>
          <w:marRight w:val="0"/>
          <w:marTop w:val="0"/>
          <w:marBottom w:val="0"/>
          <w:divBdr>
            <w:top w:val="none" w:sz="0" w:space="0" w:color="auto"/>
            <w:left w:val="none" w:sz="0" w:space="0" w:color="auto"/>
            <w:bottom w:val="none" w:sz="0" w:space="0" w:color="auto"/>
            <w:right w:val="none" w:sz="0" w:space="0" w:color="auto"/>
          </w:divBdr>
        </w:div>
        <w:div w:id="1032879461">
          <w:marLeft w:val="547"/>
          <w:marRight w:val="0"/>
          <w:marTop w:val="0"/>
          <w:marBottom w:val="0"/>
          <w:divBdr>
            <w:top w:val="none" w:sz="0" w:space="0" w:color="auto"/>
            <w:left w:val="none" w:sz="0" w:space="0" w:color="auto"/>
            <w:bottom w:val="none" w:sz="0" w:space="0" w:color="auto"/>
            <w:right w:val="none" w:sz="0" w:space="0" w:color="auto"/>
          </w:divBdr>
        </w:div>
      </w:divsChild>
    </w:div>
    <w:div w:id="1218202666">
      <w:bodyDiv w:val="1"/>
      <w:marLeft w:val="0"/>
      <w:marRight w:val="0"/>
      <w:marTop w:val="0"/>
      <w:marBottom w:val="0"/>
      <w:divBdr>
        <w:top w:val="none" w:sz="0" w:space="0" w:color="auto"/>
        <w:left w:val="none" w:sz="0" w:space="0" w:color="auto"/>
        <w:bottom w:val="none" w:sz="0" w:space="0" w:color="auto"/>
        <w:right w:val="none" w:sz="0" w:space="0" w:color="auto"/>
      </w:divBdr>
    </w:div>
    <w:div w:id="1274938300">
      <w:bodyDiv w:val="1"/>
      <w:marLeft w:val="0"/>
      <w:marRight w:val="0"/>
      <w:marTop w:val="0"/>
      <w:marBottom w:val="0"/>
      <w:divBdr>
        <w:top w:val="none" w:sz="0" w:space="0" w:color="auto"/>
        <w:left w:val="none" w:sz="0" w:space="0" w:color="auto"/>
        <w:bottom w:val="none" w:sz="0" w:space="0" w:color="auto"/>
        <w:right w:val="none" w:sz="0" w:space="0" w:color="auto"/>
      </w:divBdr>
      <w:divsChild>
        <w:div w:id="2058235815">
          <w:marLeft w:val="1166"/>
          <w:marRight w:val="0"/>
          <w:marTop w:val="40"/>
          <w:marBottom w:val="40"/>
          <w:divBdr>
            <w:top w:val="none" w:sz="0" w:space="0" w:color="auto"/>
            <w:left w:val="none" w:sz="0" w:space="0" w:color="auto"/>
            <w:bottom w:val="none" w:sz="0" w:space="0" w:color="auto"/>
            <w:right w:val="none" w:sz="0" w:space="0" w:color="auto"/>
          </w:divBdr>
        </w:div>
        <w:div w:id="2013407512">
          <w:marLeft w:val="1166"/>
          <w:marRight w:val="0"/>
          <w:marTop w:val="40"/>
          <w:marBottom w:val="40"/>
          <w:divBdr>
            <w:top w:val="none" w:sz="0" w:space="0" w:color="auto"/>
            <w:left w:val="none" w:sz="0" w:space="0" w:color="auto"/>
            <w:bottom w:val="none" w:sz="0" w:space="0" w:color="auto"/>
            <w:right w:val="none" w:sz="0" w:space="0" w:color="auto"/>
          </w:divBdr>
        </w:div>
        <w:div w:id="1186406196">
          <w:marLeft w:val="1166"/>
          <w:marRight w:val="0"/>
          <w:marTop w:val="40"/>
          <w:marBottom w:val="40"/>
          <w:divBdr>
            <w:top w:val="none" w:sz="0" w:space="0" w:color="auto"/>
            <w:left w:val="none" w:sz="0" w:space="0" w:color="auto"/>
            <w:bottom w:val="none" w:sz="0" w:space="0" w:color="auto"/>
            <w:right w:val="none" w:sz="0" w:space="0" w:color="auto"/>
          </w:divBdr>
        </w:div>
        <w:div w:id="1238591647">
          <w:marLeft w:val="1166"/>
          <w:marRight w:val="0"/>
          <w:marTop w:val="40"/>
          <w:marBottom w:val="40"/>
          <w:divBdr>
            <w:top w:val="none" w:sz="0" w:space="0" w:color="auto"/>
            <w:left w:val="none" w:sz="0" w:space="0" w:color="auto"/>
            <w:bottom w:val="none" w:sz="0" w:space="0" w:color="auto"/>
            <w:right w:val="none" w:sz="0" w:space="0" w:color="auto"/>
          </w:divBdr>
        </w:div>
        <w:div w:id="1858733307">
          <w:marLeft w:val="1166"/>
          <w:marRight w:val="0"/>
          <w:marTop w:val="40"/>
          <w:marBottom w:val="40"/>
          <w:divBdr>
            <w:top w:val="none" w:sz="0" w:space="0" w:color="auto"/>
            <w:left w:val="none" w:sz="0" w:space="0" w:color="auto"/>
            <w:bottom w:val="none" w:sz="0" w:space="0" w:color="auto"/>
            <w:right w:val="none" w:sz="0" w:space="0" w:color="auto"/>
          </w:divBdr>
        </w:div>
        <w:div w:id="129830735">
          <w:marLeft w:val="1166"/>
          <w:marRight w:val="0"/>
          <w:marTop w:val="40"/>
          <w:marBottom w:val="40"/>
          <w:divBdr>
            <w:top w:val="none" w:sz="0" w:space="0" w:color="auto"/>
            <w:left w:val="none" w:sz="0" w:space="0" w:color="auto"/>
            <w:bottom w:val="none" w:sz="0" w:space="0" w:color="auto"/>
            <w:right w:val="none" w:sz="0" w:space="0" w:color="auto"/>
          </w:divBdr>
        </w:div>
        <w:div w:id="1320231520">
          <w:marLeft w:val="1166"/>
          <w:marRight w:val="0"/>
          <w:marTop w:val="40"/>
          <w:marBottom w:val="40"/>
          <w:divBdr>
            <w:top w:val="none" w:sz="0" w:space="0" w:color="auto"/>
            <w:left w:val="none" w:sz="0" w:space="0" w:color="auto"/>
            <w:bottom w:val="none" w:sz="0" w:space="0" w:color="auto"/>
            <w:right w:val="none" w:sz="0" w:space="0" w:color="auto"/>
          </w:divBdr>
        </w:div>
      </w:divsChild>
    </w:div>
    <w:div w:id="1406419685">
      <w:bodyDiv w:val="1"/>
      <w:marLeft w:val="0"/>
      <w:marRight w:val="0"/>
      <w:marTop w:val="0"/>
      <w:marBottom w:val="0"/>
      <w:divBdr>
        <w:top w:val="none" w:sz="0" w:space="0" w:color="auto"/>
        <w:left w:val="none" w:sz="0" w:space="0" w:color="auto"/>
        <w:bottom w:val="none" w:sz="0" w:space="0" w:color="auto"/>
        <w:right w:val="none" w:sz="0" w:space="0" w:color="auto"/>
      </w:divBdr>
    </w:div>
    <w:div w:id="1530412315">
      <w:bodyDiv w:val="1"/>
      <w:marLeft w:val="0"/>
      <w:marRight w:val="0"/>
      <w:marTop w:val="0"/>
      <w:marBottom w:val="0"/>
      <w:divBdr>
        <w:top w:val="none" w:sz="0" w:space="0" w:color="auto"/>
        <w:left w:val="none" w:sz="0" w:space="0" w:color="auto"/>
        <w:bottom w:val="none" w:sz="0" w:space="0" w:color="auto"/>
        <w:right w:val="none" w:sz="0" w:space="0" w:color="auto"/>
      </w:divBdr>
      <w:divsChild>
        <w:div w:id="2031367804">
          <w:marLeft w:val="0"/>
          <w:marRight w:val="0"/>
          <w:marTop w:val="0"/>
          <w:marBottom w:val="0"/>
          <w:divBdr>
            <w:top w:val="none" w:sz="0" w:space="0" w:color="auto"/>
            <w:left w:val="none" w:sz="0" w:space="0" w:color="auto"/>
            <w:bottom w:val="none" w:sz="0" w:space="0" w:color="auto"/>
            <w:right w:val="none" w:sz="0" w:space="0" w:color="auto"/>
          </w:divBdr>
          <w:divsChild>
            <w:div w:id="1893760779">
              <w:marLeft w:val="0"/>
              <w:marRight w:val="0"/>
              <w:marTop w:val="0"/>
              <w:marBottom w:val="0"/>
              <w:divBdr>
                <w:top w:val="none" w:sz="0" w:space="0" w:color="auto"/>
                <w:left w:val="none" w:sz="0" w:space="0" w:color="auto"/>
                <w:bottom w:val="none" w:sz="0" w:space="0" w:color="auto"/>
                <w:right w:val="none" w:sz="0" w:space="0" w:color="auto"/>
              </w:divBdr>
              <w:divsChild>
                <w:div w:id="721834363">
                  <w:marLeft w:val="0"/>
                  <w:marRight w:val="0"/>
                  <w:marTop w:val="0"/>
                  <w:marBottom w:val="0"/>
                  <w:divBdr>
                    <w:top w:val="none" w:sz="0" w:space="0" w:color="auto"/>
                    <w:left w:val="none" w:sz="0" w:space="0" w:color="auto"/>
                    <w:bottom w:val="none" w:sz="0" w:space="0" w:color="auto"/>
                    <w:right w:val="none" w:sz="0" w:space="0" w:color="auto"/>
                  </w:divBdr>
                  <w:divsChild>
                    <w:div w:id="1870139641">
                      <w:marLeft w:val="0"/>
                      <w:marRight w:val="0"/>
                      <w:marTop w:val="0"/>
                      <w:marBottom w:val="0"/>
                      <w:divBdr>
                        <w:top w:val="none" w:sz="0" w:space="0" w:color="auto"/>
                        <w:left w:val="none" w:sz="0" w:space="0" w:color="auto"/>
                        <w:bottom w:val="none" w:sz="0" w:space="0" w:color="auto"/>
                        <w:right w:val="none" w:sz="0" w:space="0" w:color="auto"/>
                      </w:divBdr>
                      <w:divsChild>
                        <w:div w:id="1466000824">
                          <w:marLeft w:val="0"/>
                          <w:marRight w:val="0"/>
                          <w:marTop w:val="0"/>
                          <w:marBottom w:val="0"/>
                          <w:divBdr>
                            <w:top w:val="none" w:sz="0" w:space="0" w:color="auto"/>
                            <w:left w:val="none" w:sz="0" w:space="0" w:color="auto"/>
                            <w:bottom w:val="none" w:sz="0" w:space="0" w:color="auto"/>
                            <w:right w:val="none" w:sz="0" w:space="0" w:color="auto"/>
                          </w:divBdr>
                          <w:divsChild>
                            <w:div w:id="379087468">
                              <w:marLeft w:val="0"/>
                              <w:marRight w:val="0"/>
                              <w:marTop w:val="0"/>
                              <w:marBottom w:val="0"/>
                              <w:divBdr>
                                <w:top w:val="none" w:sz="0" w:space="0" w:color="auto"/>
                                <w:left w:val="none" w:sz="0" w:space="0" w:color="auto"/>
                                <w:bottom w:val="none" w:sz="0" w:space="0" w:color="auto"/>
                                <w:right w:val="none" w:sz="0" w:space="0" w:color="auto"/>
                              </w:divBdr>
                              <w:divsChild>
                                <w:div w:id="559101186">
                                  <w:marLeft w:val="0"/>
                                  <w:marRight w:val="0"/>
                                  <w:marTop w:val="0"/>
                                  <w:marBottom w:val="0"/>
                                  <w:divBdr>
                                    <w:top w:val="none" w:sz="0" w:space="0" w:color="auto"/>
                                    <w:left w:val="none" w:sz="0" w:space="0" w:color="auto"/>
                                    <w:bottom w:val="none" w:sz="0" w:space="0" w:color="auto"/>
                                    <w:right w:val="none" w:sz="0" w:space="0" w:color="auto"/>
                                  </w:divBdr>
                                  <w:divsChild>
                                    <w:div w:id="532888244">
                                      <w:marLeft w:val="0"/>
                                      <w:marRight w:val="0"/>
                                      <w:marTop w:val="225"/>
                                      <w:marBottom w:val="0"/>
                                      <w:divBdr>
                                        <w:top w:val="none" w:sz="0" w:space="0" w:color="auto"/>
                                        <w:left w:val="none" w:sz="0" w:space="0" w:color="auto"/>
                                        <w:bottom w:val="none" w:sz="0" w:space="0" w:color="auto"/>
                                        <w:right w:val="none" w:sz="0" w:space="0" w:color="auto"/>
                                      </w:divBdr>
                                      <w:divsChild>
                                        <w:div w:id="437062367">
                                          <w:marLeft w:val="0"/>
                                          <w:marRight w:val="0"/>
                                          <w:marTop w:val="0"/>
                                          <w:marBottom w:val="0"/>
                                          <w:divBdr>
                                            <w:top w:val="single" w:sz="6" w:space="0" w:color="8D8D8D"/>
                                            <w:left w:val="single" w:sz="6" w:space="0" w:color="8D8D8D"/>
                                            <w:bottom w:val="single" w:sz="6" w:space="0" w:color="8D8D8D"/>
                                            <w:right w:val="single" w:sz="6" w:space="0" w:color="8D8D8D"/>
                                          </w:divBdr>
                                          <w:divsChild>
                                            <w:div w:id="711152543">
                                              <w:marLeft w:val="0"/>
                                              <w:marRight w:val="0"/>
                                              <w:marTop w:val="0"/>
                                              <w:marBottom w:val="0"/>
                                              <w:divBdr>
                                                <w:top w:val="none" w:sz="0" w:space="0" w:color="auto"/>
                                                <w:left w:val="none" w:sz="0" w:space="0" w:color="auto"/>
                                                <w:bottom w:val="none" w:sz="0" w:space="0" w:color="auto"/>
                                                <w:right w:val="none" w:sz="0" w:space="0" w:color="auto"/>
                                              </w:divBdr>
                                              <w:divsChild>
                                                <w:div w:id="1864854553">
                                                  <w:marLeft w:val="0"/>
                                                  <w:marRight w:val="0"/>
                                                  <w:marTop w:val="0"/>
                                                  <w:marBottom w:val="0"/>
                                                  <w:divBdr>
                                                    <w:top w:val="none" w:sz="0" w:space="0" w:color="auto"/>
                                                    <w:left w:val="none" w:sz="0" w:space="0" w:color="auto"/>
                                                    <w:bottom w:val="none" w:sz="0" w:space="0" w:color="auto"/>
                                                    <w:right w:val="none" w:sz="0" w:space="0" w:color="auto"/>
                                                  </w:divBdr>
                                                  <w:divsChild>
                                                    <w:div w:id="412701381">
                                                      <w:marLeft w:val="15"/>
                                                      <w:marRight w:val="15"/>
                                                      <w:marTop w:val="15"/>
                                                      <w:marBottom w:val="15"/>
                                                      <w:divBdr>
                                                        <w:top w:val="none" w:sz="0" w:space="0" w:color="auto"/>
                                                        <w:left w:val="none" w:sz="0" w:space="0" w:color="auto"/>
                                                        <w:bottom w:val="none" w:sz="0" w:space="0" w:color="auto"/>
                                                        <w:right w:val="none" w:sz="0" w:space="0" w:color="auto"/>
                                                      </w:divBdr>
                                                      <w:divsChild>
                                                        <w:div w:id="1028139098">
                                                          <w:marLeft w:val="0"/>
                                                          <w:marRight w:val="0"/>
                                                          <w:marTop w:val="0"/>
                                                          <w:marBottom w:val="0"/>
                                                          <w:divBdr>
                                                            <w:top w:val="none" w:sz="0" w:space="0" w:color="auto"/>
                                                            <w:left w:val="none" w:sz="0" w:space="0" w:color="auto"/>
                                                            <w:bottom w:val="none" w:sz="0" w:space="0" w:color="auto"/>
                                                            <w:right w:val="none" w:sz="0" w:space="0" w:color="auto"/>
                                                          </w:divBdr>
                                                          <w:divsChild>
                                                            <w:div w:id="1145195228">
                                                              <w:marLeft w:val="0"/>
                                                              <w:marRight w:val="0"/>
                                                              <w:marTop w:val="75"/>
                                                              <w:marBottom w:val="75"/>
                                                              <w:divBdr>
                                                                <w:top w:val="none" w:sz="0" w:space="0" w:color="auto"/>
                                                                <w:left w:val="none" w:sz="0" w:space="0" w:color="auto"/>
                                                                <w:bottom w:val="none" w:sz="0" w:space="0" w:color="auto"/>
                                                                <w:right w:val="none" w:sz="0" w:space="0" w:color="auto"/>
                                                              </w:divBdr>
                                                              <w:divsChild>
                                                                <w:div w:id="1362173492">
                                                                  <w:marLeft w:val="0"/>
                                                                  <w:marRight w:val="0"/>
                                                                  <w:marTop w:val="0"/>
                                                                  <w:marBottom w:val="0"/>
                                                                  <w:divBdr>
                                                                    <w:top w:val="none" w:sz="0" w:space="0" w:color="auto"/>
                                                                    <w:left w:val="none" w:sz="0" w:space="0" w:color="auto"/>
                                                                    <w:bottom w:val="none" w:sz="0" w:space="0" w:color="auto"/>
                                                                    <w:right w:val="none" w:sz="0" w:space="0" w:color="auto"/>
                                                                  </w:divBdr>
                                                                  <w:divsChild>
                                                                    <w:div w:id="1182865605">
                                                                      <w:marLeft w:val="0"/>
                                                                      <w:marRight w:val="0"/>
                                                                      <w:marTop w:val="0"/>
                                                                      <w:marBottom w:val="0"/>
                                                                      <w:divBdr>
                                                                        <w:top w:val="none" w:sz="0" w:space="0" w:color="auto"/>
                                                                        <w:left w:val="none" w:sz="0" w:space="0" w:color="auto"/>
                                                                        <w:bottom w:val="none" w:sz="0" w:space="0" w:color="auto"/>
                                                                        <w:right w:val="none" w:sz="0" w:space="0" w:color="auto"/>
                                                                      </w:divBdr>
                                                                      <w:divsChild>
                                                                        <w:div w:id="119685997">
                                                                          <w:marLeft w:val="0"/>
                                                                          <w:marRight w:val="0"/>
                                                                          <w:marTop w:val="0"/>
                                                                          <w:marBottom w:val="0"/>
                                                                          <w:divBdr>
                                                                            <w:top w:val="single" w:sz="12" w:space="0" w:color="BCBCBC"/>
                                                                            <w:left w:val="single" w:sz="12" w:space="0" w:color="BCBCBC"/>
                                                                            <w:bottom w:val="single" w:sz="12" w:space="0" w:color="BCBCBC"/>
                                                                            <w:right w:val="single" w:sz="12" w:space="0" w:color="BCBCBC"/>
                                                                          </w:divBdr>
                                                                        </w:div>
                                                                      </w:divsChild>
                                                                    </w:div>
                                                                  </w:divsChild>
                                                                </w:div>
                                                              </w:divsChild>
                                                            </w:div>
                                                            <w:div w:id="2090079979">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83292436">
      <w:bodyDiv w:val="1"/>
      <w:marLeft w:val="0"/>
      <w:marRight w:val="0"/>
      <w:marTop w:val="0"/>
      <w:marBottom w:val="0"/>
      <w:divBdr>
        <w:top w:val="none" w:sz="0" w:space="0" w:color="auto"/>
        <w:left w:val="none" w:sz="0" w:space="0" w:color="auto"/>
        <w:bottom w:val="none" w:sz="0" w:space="0" w:color="auto"/>
        <w:right w:val="none" w:sz="0" w:space="0" w:color="auto"/>
      </w:divBdr>
    </w:div>
    <w:div w:id="1737118622">
      <w:bodyDiv w:val="1"/>
      <w:marLeft w:val="0"/>
      <w:marRight w:val="0"/>
      <w:marTop w:val="0"/>
      <w:marBottom w:val="0"/>
      <w:divBdr>
        <w:top w:val="none" w:sz="0" w:space="0" w:color="auto"/>
        <w:left w:val="none" w:sz="0" w:space="0" w:color="auto"/>
        <w:bottom w:val="none" w:sz="0" w:space="0" w:color="auto"/>
        <w:right w:val="none" w:sz="0" w:space="0" w:color="auto"/>
      </w:divBdr>
      <w:divsChild>
        <w:div w:id="2044406623">
          <w:marLeft w:val="0"/>
          <w:marRight w:val="0"/>
          <w:marTop w:val="0"/>
          <w:marBottom w:val="0"/>
          <w:divBdr>
            <w:top w:val="none" w:sz="0" w:space="0" w:color="auto"/>
            <w:left w:val="none" w:sz="0" w:space="0" w:color="auto"/>
            <w:bottom w:val="none" w:sz="0" w:space="0" w:color="auto"/>
            <w:right w:val="none" w:sz="0" w:space="0" w:color="auto"/>
          </w:divBdr>
          <w:divsChild>
            <w:div w:id="286547374">
              <w:marLeft w:val="0"/>
              <w:marRight w:val="0"/>
              <w:marTop w:val="0"/>
              <w:marBottom w:val="0"/>
              <w:divBdr>
                <w:top w:val="none" w:sz="0" w:space="0" w:color="auto"/>
                <w:left w:val="none" w:sz="0" w:space="0" w:color="auto"/>
                <w:bottom w:val="none" w:sz="0" w:space="0" w:color="auto"/>
                <w:right w:val="none" w:sz="0" w:space="0" w:color="auto"/>
              </w:divBdr>
              <w:divsChild>
                <w:div w:id="451633629">
                  <w:marLeft w:val="0"/>
                  <w:marRight w:val="0"/>
                  <w:marTop w:val="0"/>
                  <w:marBottom w:val="0"/>
                  <w:divBdr>
                    <w:top w:val="none" w:sz="0" w:space="0" w:color="auto"/>
                    <w:left w:val="none" w:sz="0" w:space="0" w:color="auto"/>
                    <w:bottom w:val="none" w:sz="0" w:space="0" w:color="auto"/>
                    <w:right w:val="none" w:sz="0" w:space="0" w:color="auto"/>
                  </w:divBdr>
                  <w:divsChild>
                    <w:div w:id="238949852">
                      <w:marLeft w:val="0"/>
                      <w:marRight w:val="0"/>
                      <w:marTop w:val="0"/>
                      <w:marBottom w:val="0"/>
                      <w:divBdr>
                        <w:top w:val="none" w:sz="0" w:space="0" w:color="auto"/>
                        <w:left w:val="none" w:sz="0" w:space="0" w:color="auto"/>
                        <w:bottom w:val="none" w:sz="0" w:space="0" w:color="auto"/>
                        <w:right w:val="none" w:sz="0" w:space="0" w:color="auto"/>
                      </w:divBdr>
                      <w:divsChild>
                        <w:div w:id="518206238">
                          <w:marLeft w:val="0"/>
                          <w:marRight w:val="0"/>
                          <w:marTop w:val="0"/>
                          <w:marBottom w:val="0"/>
                          <w:divBdr>
                            <w:top w:val="none" w:sz="0" w:space="0" w:color="auto"/>
                            <w:left w:val="none" w:sz="0" w:space="0" w:color="auto"/>
                            <w:bottom w:val="none" w:sz="0" w:space="0" w:color="auto"/>
                            <w:right w:val="none" w:sz="0" w:space="0" w:color="auto"/>
                          </w:divBdr>
                          <w:divsChild>
                            <w:div w:id="150372098">
                              <w:marLeft w:val="0"/>
                              <w:marRight w:val="0"/>
                              <w:marTop w:val="0"/>
                              <w:marBottom w:val="0"/>
                              <w:divBdr>
                                <w:top w:val="none" w:sz="0" w:space="0" w:color="auto"/>
                                <w:left w:val="none" w:sz="0" w:space="0" w:color="auto"/>
                                <w:bottom w:val="none" w:sz="0" w:space="0" w:color="auto"/>
                                <w:right w:val="none" w:sz="0" w:space="0" w:color="auto"/>
                              </w:divBdr>
                              <w:divsChild>
                                <w:div w:id="1534423372">
                                  <w:marLeft w:val="0"/>
                                  <w:marRight w:val="0"/>
                                  <w:marTop w:val="0"/>
                                  <w:marBottom w:val="0"/>
                                  <w:divBdr>
                                    <w:top w:val="none" w:sz="0" w:space="0" w:color="auto"/>
                                    <w:left w:val="none" w:sz="0" w:space="0" w:color="auto"/>
                                    <w:bottom w:val="none" w:sz="0" w:space="0" w:color="auto"/>
                                    <w:right w:val="none" w:sz="0" w:space="0" w:color="auto"/>
                                  </w:divBdr>
                                  <w:divsChild>
                                    <w:div w:id="1025447843">
                                      <w:marLeft w:val="0"/>
                                      <w:marRight w:val="0"/>
                                      <w:marTop w:val="225"/>
                                      <w:marBottom w:val="0"/>
                                      <w:divBdr>
                                        <w:top w:val="none" w:sz="0" w:space="0" w:color="auto"/>
                                        <w:left w:val="none" w:sz="0" w:space="0" w:color="auto"/>
                                        <w:bottom w:val="none" w:sz="0" w:space="0" w:color="auto"/>
                                        <w:right w:val="none" w:sz="0" w:space="0" w:color="auto"/>
                                      </w:divBdr>
                                      <w:divsChild>
                                        <w:div w:id="1519808047">
                                          <w:marLeft w:val="0"/>
                                          <w:marRight w:val="0"/>
                                          <w:marTop w:val="0"/>
                                          <w:marBottom w:val="0"/>
                                          <w:divBdr>
                                            <w:top w:val="single" w:sz="6" w:space="0" w:color="8D8D8D"/>
                                            <w:left w:val="single" w:sz="6" w:space="0" w:color="8D8D8D"/>
                                            <w:bottom w:val="single" w:sz="6" w:space="0" w:color="8D8D8D"/>
                                            <w:right w:val="single" w:sz="6" w:space="0" w:color="8D8D8D"/>
                                          </w:divBdr>
                                          <w:divsChild>
                                            <w:div w:id="434132043">
                                              <w:marLeft w:val="0"/>
                                              <w:marRight w:val="0"/>
                                              <w:marTop w:val="0"/>
                                              <w:marBottom w:val="0"/>
                                              <w:divBdr>
                                                <w:top w:val="none" w:sz="0" w:space="0" w:color="auto"/>
                                                <w:left w:val="none" w:sz="0" w:space="0" w:color="auto"/>
                                                <w:bottom w:val="none" w:sz="0" w:space="0" w:color="auto"/>
                                                <w:right w:val="none" w:sz="0" w:space="0" w:color="auto"/>
                                              </w:divBdr>
                                              <w:divsChild>
                                                <w:div w:id="450975364">
                                                  <w:marLeft w:val="0"/>
                                                  <w:marRight w:val="0"/>
                                                  <w:marTop w:val="0"/>
                                                  <w:marBottom w:val="0"/>
                                                  <w:divBdr>
                                                    <w:top w:val="none" w:sz="0" w:space="0" w:color="auto"/>
                                                    <w:left w:val="none" w:sz="0" w:space="0" w:color="auto"/>
                                                    <w:bottom w:val="none" w:sz="0" w:space="0" w:color="auto"/>
                                                    <w:right w:val="none" w:sz="0" w:space="0" w:color="auto"/>
                                                  </w:divBdr>
                                                  <w:divsChild>
                                                    <w:div w:id="1998146876">
                                                      <w:marLeft w:val="15"/>
                                                      <w:marRight w:val="15"/>
                                                      <w:marTop w:val="15"/>
                                                      <w:marBottom w:val="15"/>
                                                      <w:divBdr>
                                                        <w:top w:val="none" w:sz="0" w:space="0" w:color="auto"/>
                                                        <w:left w:val="none" w:sz="0" w:space="0" w:color="auto"/>
                                                        <w:bottom w:val="none" w:sz="0" w:space="0" w:color="auto"/>
                                                        <w:right w:val="none" w:sz="0" w:space="0" w:color="auto"/>
                                                      </w:divBdr>
                                                      <w:divsChild>
                                                        <w:div w:id="1456102099">
                                                          <w:marLeft w:val="0"/>
                                                          <w:marRight w:val="0"/>
                                                          <w:marTop w:val="0"/>
                                                          <w:marBottom w:val="0"/>
                                                          <w:divBdr>
                                                            <w:top w:val="none" w:sz="0" w:space="0" w:color="auto"/>
                                                            <w:left w:val="none" w:sz="0" w:space="0" w:color="auto"/>
                                                            <w:bottom w:val="none" w:sz="0" w:space="0" w:color="auto"/>
                                                            <w:right w:val="none" w:sz="0" w:space="0" w:color="auto"/>
                                                          </w:divBdr>
                                                          <w:divsChild>
                                                            <w:div w:id="1065375491">
                                                              <w:marLeft w:val="0"/>
                                                              <w:marRight w:val="0"/>
                                                              <w:marTop w:val="75"/>
                                                              <w:marBottom w:val="75"/>
                                                              <w:divBdr>
                                                                <w:top w:val="none" w:sz="0" w:space="0" w:color="auto"/>
                                                                <w:left w:val="none" w:sz="0" w:space="0" w:color="auto"/>
                                                                <w:bottom w:val="none" w:sz="0" w:space="0" w:color="auto"/>
                                                                <w:right w:val="none" w:sz="0" w:space="0" w:color="auto"/>
                                                              </w:divBdr>
                                                              <w:divsChild>
                                                                <w:div w:id="469786812">
                                                                  <w:marLeft w:val="0"/>
                                                                  <w:marRight w:val="0"/>
                                                                  <w:marTop w:val="0"/>
                                                                  <w:marBottom w:val="0"/>
                                                                  <w:divBdr>
                                                                    <w:top w:val="none" w:sz="0" w:space="0" w:color="auto"/>
                                                                    <w:left w:val="none" w:sz="0" w:space="0" w:color="auto"/>
                                                                    <w:bottom w:val="none" w:sz="0" w:space="0" w:color="auto"/>
                                                                    <w:right w:val="none" w:sz="0" w:space="0" w:color="auto"/>
                                                                  </w:divBdr>
                                                                  <w:divsChild>
                                                                    <w:div w:id="1965260549">
                                                                      <w:marLeft w:val="0"/>
                                                                      <w:marRight w:val="0"/>
                                                                      <w:marTop w:val="0"/>
                                                                      <w:marBottom w:val="0"/>
                                                                      <w:divBdr>
                                                                        <w:top w:val="none" w:sz="0" w:space="0" w:color="auto"/>
                                                                        <w:left w:val="none" w:sz="0" w:space="0" w:color="auto"/>
                                                                        <w:bottom w:val="none" w:sz="0" w:space="0" w:color="auto"/>
                                                                        <w:right w:val="none" w:sz="0" w:space="0" w:color="auto"/>
                                                                      </w:divBdr>
                                                                      <w:divsChild>
                                                                        <w:div w:id="424424154">
                                                                          <w:marLeft w:val="0"/>
                                                                          <w:marRight w:val="0"/>
                                                                          <w:marTop w:val="0"/>
                                                                          <w:marBottom w:val="0"/>
                                                                          <w:divBdr>
                                                                            <w:top w:val="single" w:sz="12" w:space="0" w:color="BCBCBC"/>
                                                                            <w:left w:val="single" w:sz="12" w:space="0" w:color="BCBCBC"/>
                                                                            <w:bottom w:val="single" w:sz="12" w:space="0" w:color="BCBCBC"/>
                                                                            <w:right w:val="single" w:sz="12" w:space="0" w:color="BCBCBC"/>
                                                                          </w:divBdr>
                                                                        </w:div>
                                                                      </w:divsChild>
                                                                    </w:div>
                                                                  </w:divsChild>
                                                                </w:div>
                                                              </w:divsChild>
                                                            </w:div>
                                                            <w:div w:id="1010986711">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91128068">
      <w:bodyDiv w:val="1"/>
      <w:marLeft w:val="0"/>
      <w:marRight w:val="0"/>
      <w:marTop w:val="0"/>
      <w:marBottom w:val="0"/>
      <w:divBdr>
        <w:top w:val="none" w:sz="0" w:space="0" w:color="auto"/>
        <w:left w:val="none" w:sz="0" w:space="0" w:color="auto"/>
        <w:bottom w:val="none" w:sz="0" w:space="0" w:color="auto"/>
        <w:right w:val="none" w:sz="0" w:space="0" w:color="auto"/>
      </w:divBdr>
    </w:div>
    <w:div w:id="1815949755">
      <w:bodyDiv w:val="1"/>
      <w:marLeft w:val="0"/>
      <w:marRight w:val="0"/>
      <w:marTop w:val="0"/>
      <w:marBottom w:val="0"/>
      <w:divBdr>
        <w:top w:val="none" w:sz="0" w:space="0" w:color="auto"/>
        <w:left w:val="none" w:sz="0" w:space="0" w:color="auto"/>
        <w:bottom w:val="none" w:sz="0" w:space="0" w:color="auto"/>
        <w:right w:val="none" w:sz="0" w:space="0" w:color="auto"/>
      </w:divBdr>
    </w:div>
    <w:div w:id="20193074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6.xml"/><Relationship Id="rId117" Type="http://schemas.openxmlformats.org/officeDocument/2006/relationships/image" Target="media/image88.emf"/><Relationship Id="rId21" Type="http://schemas.openxmlformats.org/officeDocument/2006/relationships/chart" Target="charts/chart11.xml"/><Relationship Id="rId42" Type="http://schemas.openxmlformats.org/officeDocument/2006/relationships/image" Target="media/image16.emf"/><Relationship Id="rId47" Type="http://schemas.openxmlformats.org/officeDocument/2006/relationships/image" Target="media/image21.png"/><Relationship Id="rId63" Type="http://schemas.openxmlformats.org/officeDocument/2006/relationships/image" Target="media/image37.emf"/><Relationship Id="rId68" Type="http://schemas.openxmlformats.org/officeDocument/2006/relationships/image" Target="media/image41.emf"/><Relationship Id="rId84" Type="http://schemas.openxmlformats.org/officeDocument/2006/relationships/image" Target="media/image55.jpeg"/><Relationship Id="rId89" Type="http://schemas.openxmlformats.org/officeDocument/2006/relationships/image" Target="media/image60.png"/><Relationship Id="rId112" Type="http://schemas.openxmlformats.org/officeDocument/2006/relationships/image" Target="media/image83.emf"/><Relationship Id="rId133" Type="http://schemas.openxmlformats.org/officeDocument/2006/relationships/hyperlink" Target="file:///D:\44013493A\Desktop\BLLB%20-%20def\Bases%20del%20Llibre%20Blanc%20EPC%20v201610200023.docx" TargetMode="External"/><Relationship Id="rId16" Type="http://schemas.openxmlformats.org/officeDocument/2006/relationships/chart" Target="charts/chart6.xml"/><Relationship Id="rId107" Type="http://schemas.openxmlformats.org/officeDocument/2006/relationships/image" Target="media/image78.emf"/><Relationship Id="rId11" Type="http://schemas.openxmlformats.org/officeDocument/2006/relationships/chart" Target="charts/chart1.xml"/><Relationship Id="rId32" Type="http://schemas.openxmlformats.org/officeDocument/2006/relationships/image" Target="media/image7.png"/><Relationship Id="rId37" Type="http://schemas.openxmlformats.org/officeDocument/2006/relationships/image" Target="media/image11.png"/><Relationship Id="rId53" Type="http://schemas.openxmlformats.org/officeDocument/2006/relationships/image" Target="media/image27.emf"/><Relationship Id="rId58" Type="http://schemas.openxmlformats.org/officeDocument/2006/relationships/image" Target="media/image32.emf"/><Relationship Id="rId74" Type="http://schemas.openxmlformats.org/officeDocument/2006/relationships/image" Target="media/image46.jpeg"/><Relationship Id="rId79" Type="http://schemas.openxmlformats.org/officeDocument/2006/relationships/image" Target="media/image50.jpeg"/><Relationship Id="rId102" Type="http://schemas.openxmlformats.org/officeDocument/2006/relationships/image" Target="media/image73.emf"/><Relationship Id="rId123" Type="http://schemas.openxmlformats.org/officeDocument/2006/relationships/image" Target="media/image94.png"/><Relationship Id="rId128" Type="http://schemas.openxmlformats.org/officeDocument/2006/relationships/image" Target="media/image99.png"/><Relationship Id="rId5" Type="http://schemas.openxmlformats.org/officeDocument/2006/relationships/settings" Target="settings.xml"/><Relationship Id="rId90" Type="http://schemas.openxmlformats.org/officeDocument/2006/relationships/image" Target="media/image61.png"/><Relationship Id="rId95" Type="http://schemas.openxmlformats.org/officeDocument/2006/relationships/image" Target="media/image66.emf"/><Relationship Id="rId14" Type="http://schemas.openxmlformats.org/officeDocument/2006/relationships/chart" Target="charts/chart4.xml"/><Relationship Id="rId22" Type="http://schemas.openxmlformats.org/officeDocument/2006/relationships/chart" Target="charts/chart12.xml"/><Relationship Id="rId27" Type="http://schemas.openxmlformats.org/officeDocument/2006/relationships/chart" Target="charts/chart17.xml"/><Relationship Id="rId30" Type="http://schemas.openxmlformats.org/officeDocument/2006/relationships/chart" Target="charts/chart18.xml"/><Relationship Id="rId35" Type="http://schemas.openxmlformats.org/officeDocument/2006/relationships/chart" Target="charts/chart19.xml"/><Relationship Id="rId43" Type="http://schemas.openxmlformats.org/officeDocument/2006/relationships/image" Target="media/image17.emf"/><Relationship Id="rId48" Type="http://schemas.openxmlformats.org/officeDocument/2006/relationships/image" Target="media/image22.emf"/><Relationship Id="rId56" Type="http://schemas.openxmlformats.org/officeDocument/2006/relationships/image" Target="media/image30.emf"/><Relationship Id="rId64" Type="http://schemas.openxmlformats.org/officeDocument/2006/relationships/footer" Target="footer1.xml"/><Relationship Id="rId69" Type="http://schemas.openxmlformats.org/officeDocument/2006/relationships/image" Target="media/image42.emf"/><Relationship Id="rId77" Type="http://schemas.openxmlformats.org/officeDocument/2006/relationships/image" Target="media/image48.jpeg"/><Relationship Id="rId100" Type="http://schemas.openxmlformats.org/officeDocument/2006/relationships/image" Target="media/image71.emf"/><Relationship Id="rId105" Type="http://schemas.openxmlformats.org/officeDocument/2006/relationships/image" Target="media/image76.emf"/><Relationship Id="rId113" Type="http://schemas.openxmlformats.org/officeDocument/2006/relationships/image" Target="media/image84.emf"/><Relationship Id="rId118" Type="http://schemas.openxmlformats.org/officeDocument/2006/relationships/image" Target="media/image89.emf"/><Relationship Id="rId126" Type="http://schemas.openxmlformats.org/officeDocument/2006/relationships/image" Target="media/image97.png"/><Relationship Id="rId134" Type="http://schemas.openxmlformats.org/officeDocument/2006/relationships/footer" Target="footer3.xml"/><Relationship Id="rId8" Type="http://schemas.openxmlformats.org/officeDocument/2006/relationships/endnotes" Target="endnotes.xml"/><Relationship Id="rId51" Type="http://schemas.openxmlformats.org/officeDocument/2006/relationships/image" Target="media/image25.emf"/><Relationship Id="rId72" Type="http://schemas.openxmlformats.org/officeDocument/2006/relationships/image" Target="media/image44.emf"/><Relationship Id="rId80" Type="http://schemas.openxmlformats.org/officeDocument/2006/relationships/image" Target="media/image51.emf"/><Relationship Id="rId85" Type="http://schemas.openxmlformats.org/officeDocument/2006/relationships/image" Target="media/image56.png"/><Relationship Id="rId93" Type="http://schemas.openxmlformats.org/officeDocument/2006/relationships/image" Target="media/image64.emf"/><Relationship Id="rId98" Type="http://schemas.openxmlformats.org/officeDocument/2006/relationships/image" Target="media/image69.emf"/><Relationship Id="rId121" Type="http://schemas.openxmlformats.org/officeDocument/2006/relationships/image" Target="media/image92.png"/><Relationship Id="rId3" Type="http://schemas.openxmlformats.org/officeDocument/2006/relationships/styles" Target="styles.xml"/><Relationship Id="rId12" Type="http://schemas.openxmlformats.org/officeDocument/2006/relationships/chart" Target="charts/chart2.xml"/><Relationship Id="rId17" Type="http://schemas.openxmlformats.org/officeDocument/2006/relationships/chart" Target="charts/chart7.xml"/><Relationship Id="rId25" Type="http://schemas.openxmlformats.org/officeDocument/2006/relationships/chart" Target="charts/chart15.xml"/><Relationship Id="rId33" Type="http://schemas.openxmlformats.org/officeDocument/2006/relationships/image" Target="media/image8.png"/><Relationship Id="rId38" Type="http://schemas.openxmlformats.org/officeDocument/2006/relationships/image" Target="media/image12.emf"/><Relationship Id="rId46" Type="http://schemas.openxmlformats.org/officeDocument/2006/relationships/image" Target="media/image20.emf"/><Relationship Id="rId59" Type="http://schemas.openxmlformats.org/officeDocument/2006/relationships/image" Target="media/image33.emf"/><Relationship Id="rId67" Type="http://schemas.openxmlformats.org/officeDocument/2006/relationships/footer" Target="footer2.xml"/><Relationship Id="rId103" Type="http://schemas.openxmlformats.org/officeDocument/2006/relationships/image" Target="media/image74.emf"/><Relationship Id="rId108" Type="http://schemas.openxmlformats.org/officeDocument/2006/relationships/image" Target="media/image79.emf"/><Relationship Id="rId116" Type="http://schemas.openxmlformats.org/officeDocument/2006/relationships/image" Target="media/image87.emf"/><Relationship Id="rId124" Type="http://schemas.openxmlformats.org/officeDocument/2006/relationships/image" Target="media/image95.png"/><Relationship Id="rId129" Type="http://schemas.openxmlformats.org/officeDocument/2006/relationships/hyperlink" Target="file:///D:\44013493A\Desktop\BLLB%20-%20def\Bases%20del%20Llibre%20Blanc%20EPC%20v201610200023.docx" TargetMode="External"/><Relationship Id="rId20" Type="http://schemas.openxmlformats.org/officeDocument/2006/relationships/chart" Target="charts/chart10.xml"/><Relationship Id="rId41" Type="http://schemas.openxmlformats.org/officeDocument/2006/relationships/image" Target="media/image15.emf"/><Relationship Id="rId54" Type="http://schemas.openxmlformats.org/officeDocument/2006/relationships/image" Target="media/image28.emf"/><Relationship Id="rId62" Type="http://schemas.openxmlformats.org/officeDocument/2006/relationships/image" Target="media/image36.emf"/><Relationship Id="rId70" Type="http://schemas.openxmlformats.org/officeDocument/2006/relationships/image" Target="media/image43.emf"/><Relationship Id="rId75" Type="http://schemas.openxmlformats.org/officeDocument/2006/relationships/hyperlink" Target="http://www.idescat.cat/pub/aec/249" TargetMode="External"/><Relationship Id="rId83" Type="http://schemas.openxmlformats.org/officeDocument/2006/relationships/image" Target="media/image54.png"/><Relationship Id="rId88" Type="http://schemas.openxmlformats.org/officeDocument/2006/relationships/image" Target="media/image59.png"/><Relationship Id="rId91" Type="http://schemas.openxmlformats.org/officeDocument/2006/relationships/image" Target="media/image62.emf"/><Relationship Id="rId96" Type="http://schemas.openxmlformats.org/officeDocument/2006/relationships/image" Target="media/image67.emf"/><Relationship Id="rId111" Type="http://schemas.openxmlformats.org/officeDocument/2006/relationships/image" Target="media/image82.emf"/><Relationship Id="rId132" Type="http://schemas.openxmlformats.org/officeDocument/2006/relationships/hyperlink" Target="file:///D:\44013493A\Desktop\BLLB%20-%20def\Bases%20del%20Llibre%20Blanc%20EPC%20v201610200023.docx"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chart" Target="charts/chart5.xml"/><Relationship Id="rId23" Type="http://schemas.openxmlformats.org/officeDocument/2006/relationships/chart" Target="charts/chart13.xml"/><Relationship Id="rId28" Type="http://schemas.openxmlformats.org/officeDocument/2006/relationships/image" Target="media/image4.png"/><Relationship Id="rId36" Type="http://schemas.openxmlformats.org/officeDocument/2006/relationships/image" Target="media/image10.png"/><Relationship Id="rId49" Type="http://schemas.openxmlformats.org/officeDocument/2006/relationships/image" Target="media/image23.emf"/><Relationship Id="rId57" Type="http://schemas.openxmlformats.org/officeDocument/2006/relationships/image" Target="media/image31.emf"/><Relationship Id="rId106" Type="http://schemas.openxmlformats.org/officeDocument/2006/relationships/image" Target="media/image77.emf"/><Relationship Id="rId114" Type="http://schemas.openxmlformats.org/officeDocument/2006/relationships/image" Target="media/image85.emf"/><Relationship Id="rId119" Type="http://schemas.openxmlformats.org/officeDocument/2006/relationships/image" Target="media/image90.png"/><Relationship Id="rId127" Type="http://schemas.openxmlformats.org/officeDocument/2006/relationships/image" Target="media/image98.png"/><Relationship Id="rId10" Type="http://schemas.openxmlformats.org/officeDocument/2006/relationships/image" Target="media/image3.jpeg"/><Relationship Id="rId31" Type="http://schemas.openxmlformats.org/officeDocument/2006/relationships/image" Target="media/image6.png"/><Relationship Id="rId44" Type="http://schemas.openxmlformats.org/officeDocument/2006/relationships/image" Target="media/image18.emf"/><Relationship Id="rId52" Type="http://schemas.openxmlformats.org/officeDocument/2006/relationships/image" Target="media/image26.emf"/><Relationship Id="rId60" Type="http://schemas.openxmlformats.org/officeDocument/2006/relationships/image" Target="media/image34.emf"/><Relationship Id="rId65" Type="http://schemas.openxmlformats.org/officeDocument/2006/relationships/image" Target="media/image39.emf"/><Relationship Id="rId73" Type="http://schemas.openxmlformats.org/officeDocument/2006/relationships/image" Target="media/image45.emf"/><Relationship Id="rId78" Type="http://schemas.openxmlformats.org/officeDocument/2006/relationships/image" Target="media/image49.jpeg"/><Relationship Id="rId81" Type="http://schemas.openxmlformats.org/officeDocument/2006/relationships/image" Target="media/image52.jpeg"/><Relationship Id="rId86" Type="http://schemas.openxmlformats.org/officeDocument/2006/relationships/image" Target="media/image57.png"/><Relationship Id="rId94" Type="http://schemas.openxmlformats.org/officeDocument/2006/relationships/image" Target="media/image65.emf"/><Relationship Id="rId99" Type="http://schemas.openxmlformats.org/officeDocument/2006/relationships/image" Target="media/image70.emf"/><Relationship Id="rId101" Type="http://schemas.openxmlformats.org/officeDocument/2006/relationships/image" Target="media/image72.emf"/><Relationship Id="rId122" Type="http://schemas.openxmlformats.org/officeDocument/2006/relationships/image" Target="media/image93.png"/><Relationship Id="rId130" Type="http://schemas.openxmlformats.org/officeDocument/2006/relationships/hyperlink" Target="file:///D:\44013493A\Desktop\BLLB%20-%20def\Bases%20del%20Llibre%20Blanc%20EPC%20v201610200023.docx" TargetMode="External"/><Relationship Id="rId135"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2.jpeg"/><Relationship Id="rId13" Type="http://schemas.openxmlformats.org/officeDocument/2006/relationships/chart" Target="charts/chart3.xml"/><Relationship Id="rId18" Type="http://schemas.openxmlformats.org/officeDocument/2006/relationships/chart" Target="charts/chart8.xml"/><Relationship Id="rId39" Type="http://schemas.openxmlformats.org/officeDocument/2006/relationships/image" Target="media/image13.png"/><Relationship Id="rId109" Type="http://schemas.openxmlformats.org/officeDocument/2006/relationships/image" Target="media/image80.emf"/><Relationship Id="rId34" Type="http://schemas.openxmlformats.org/officeDocument/2006/relationships/image" Target="media/image9.emf"/><Relationship Id="rId50" Type="http://schemas.openxmlformats.org/officeDocument/2006/relationships/image" Target="media/image24.emf"/><Relationship Id="rId55" Type="http://schemas.openxmlformats.org/officeDocument/2006/relationships/image" Target="media/image29.emf"/><Relationship Id="rId76" Type="http://schemas.openxmlformats.org/officeDocument/2006/relationships/image" Target="media/image47.jpeg"/><Relationship Id="rId97" Type="http://schemas.openxmlformats.org/officeDocument/2006/relationships/image" Target="media/image68.emf"/><Relationship Id="rId104" Type="http://schemas.openxmlformats.org/officeDocument/2006/relationships/image" Target="media/image75.emf"/><Relationship Id="rId120" Type="http://schemas.openxmlformats.org/officeDocument/2006/relationships/image" Target="media/image91.png"/><Relationship Id="rId125" Type="http://schemas.openxmlformats.org/officeDocument/2006/relationships/image" Target="media/image96.png"/><Relationship Id="rId7" Type="http://schemas.openxmlformats.org/officeDocument/2006/relationships/footnotes" Target="footnotes.xml"/><Relationship Id="rId71" Type="http://schemas.openxmlformats.org/officeDocument/2006/relationships/hyperlink" Target="http://justicia.intranet.gencat.cat/personal/estudis/estudis_absentime" TargetMode="External"/><Relationship Id="rId92" Type="http://schemas.openxmlformats.org/officeDocument/2006/relationships/image" Target="media/image63.emf"/><Relationship Id="rId2" Type="http://schemas.openxmlformats.org/officeDocument/2006/relationships/numbering" Target="numbering.xml"/><Relationship Id="rId29" Type="http://schemas.openxmlformats.org/officeDocument/2006/relationships/image" Target="media/image5.png"/><Relationship Id="rId24" Type="http://schemas.openxmlformats.org/officeDocument/2006/relationships/chart" Target="charts/chart14.xml"/><Relationship Id="rId40" Type="http://schemas.openxmlformats.org/officeDocument/2006/relationships/image" Target="media/image14.emf"/><Relationship Id="rId45" Type="http://schemas.openxmlformats.org/officeDocument/2006/relationships/image" Target="media/image19.emf"/><Relationship Id="rId66" Type="http://schemas.openxmlformats.org/officeDocument/2006/relationships/image" Target="media/image40.emf"/><Relationship Id="rId87" Type="http://schemas.openxmlformats.org/officeDocument/2006/relationships/image" Target="media/image58.png"/><Relationship Id="rId110" Type="http://schemas.openxmlformats.org/officeDocument/2006/relationships/image" Target="media/image81.emf"/><Relationship Id="rId115" Type="http://schemas.openxmlformats.org/officeDocument/2006/relationships/image" Target="media/image86.emf"/><Relationship Id="rId131" Type="http://schemas.openxmlformats.org/officeDocument/2006/relationships/hyperlink" Target="file:///D:\44013493A\Desktop\BLLB%20-%20def\Bases%20del%20Llibre%20Blanc%20EPC%20v201610200023.docx" TargetMode="External"/><Relationship Id="rId136" Type="http://schemas.openxmlformats.org/officeDocument/2006/relationships/theme" Target="theme/theme1.xml"/><Relationship Id="rId61" Type="http://schemas.openxmlformats.org/officeDocument/2006/relationships/image" Target="media/image35.emf"/><Relationship Id="rId82" Type="http://schemas.openxmlformats.org/officeDocument/2006/relationships/image" Target="media/image53.emf"/><Relationship Id="rId19" Type="http://schemas.openxmlformats.org/officeDocument/2006/relationships/chart" Target="charts/chart9.xml"/></Relationships>
</file>

<file path=word/_rels/footer1.xml.rels><?xml version="1.0" encoding="UTF-8" standalone="yes"?>
<Relationships xmlns="http://schemas.openxmlformats.org/package/2006/relationships"><Relationship Id="rId1" Type="http://schemas.openxmlformats.org/officeDocument/2006/relationships/image" Target="media/image38.png"/></Relationships>
</file>

<file path=word/_rels/footer2.xml.rels><?xml version="1.0" encoding="UTF-8" standalone="yes"?>
<Relationships xmlns="http://schemas.openxmlformats.org/package/2006/relationships"><Relationship Id="rId1" Type="http://schemas.openxmlformats.org/officeDocument/2006/relationships/image" Target="media/image38.png"/></Relationships>
</file>

<file path=word/_rels/footer3.xml.rels><?xml version="1.0" encoding="UTF-8" standalone="yes"?>
<Relationships xmlns="http://schemas.openxmlformats.org/package/2006/relationships"><Relationship Id="rId1" Type="http://schemas.openxmlformats.org/officeDocument/2006/relationships/image" Target="media/image38.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1" Type="http://schemas.openxmlformats.org/officeDocument/2006/relationships/oleObject" Target="file:///\\10.200.35.243\Llibre%20Blanc%20Execucio%20Penal\Bases%20elaboraci&#243;%20Llibre%20Blanc%20de%20l'EP\Bloc%203%20Poblaci&#243;%20penitenci&#224;ria\Gr&#224;fics%20(predicci&#243;,%20reincid&#232;ncia).xlsx" TargetMode="External"/></Relationships>
</file>

<file path=word/charts/_rels/chart10.xml.rels><?xml version="1.0" encoding="UTF-8" standalone="yes"?>
<Relationships xmlns="http://schemas.openxmlformats.org/package/2006/relationships"><Relationship Id="rId2" Type="http://schemas.openxmlformats.org/officeDocument/2006/relationships/chartUserShapes" Target="../drawings/drawing6.xml"/><Relationship Id="rId1" Type="http://schemas.openxmlformats.org/officeDocument/2006/relationships/oleObject" Target="file:///\\10.200.35.243\Llibre%20Blanc%20Execucio%20Penal\Bases%20elaboraci&#243;%20Llibre%20Blanc%20de%20l'EP\Bloc%203%20Poblaci&#243;%20penitenci&#224;ria\Gr&#224;fics%20(predicci&#243;,%20reincid&#232;ncia).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10.200.35.243\Llibre%20Blanc%20Execucio%20Penal\Bases%20elaboraci&#243;%20Llibre%20Blanc%20de%20l'EP\Bloc%203%20Poblaci&#243;%20penitenci&#224;ria\Gr&#224;fics%20(predicci&#243;,%20reincid&#232;ncia).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10.200.35.243\Llibre%20Blanc%20Execucio%20Penal\Bases%20elaboraci&#243;%20Llibre%20Blanc%20de%20l'EP\Bloc%203%20Poblaci&#243;%20penitenci&#224;ria\Gr&#224;fics%20(predicci&#243;,%20reincid&#232;ncia).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10.200.35.243\Llibre%20Blanc%20Execucio%20Penal\Bases%20elaboraci&#243;%20Llibre%20Blanc%20de%20l'EP\Bloc%203%20Poblaci&#243;%20penitenci&#224;ria\Gr&#224;fics%20(predicci&#243;,%20reincid&#232;ncia).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10.200.35.243\Llibre%20Blanc%20Execucio%20Penal\Bases%20elaboraci&#243;%20Llibre%20Blanc%20de%20l'EP\Bloc%203%20Poblaci&#243;%20penitenci&#224;ria\Gr&#224;fics%20(predicci&#243;,%20reincid&#232;ncia).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10.200.35.243\Llibre%20Blanc%20Execucio%20Penal\Bases%20elaboraci&#243;%20Llibre%20Blanc%20de%20l'EP\Bloc%203%20Poblaci&#243;%20penitenci&#224;ria\Gr&#224;fics%20(predicci&#243;,%20reincid&#232;ncia).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10.200.35.243\Llibre%20Blanc%20Execucio%20Penal\Bases%20elaboraci&#243;%20Llibre%20Blanc%20de%20l'EP\Bloc%203%20Poblaci&#243;%20penitenci&#224;ria\Gr&#224;fics%20(predicci&#243;,%20reincid&#232;ncia).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10.200.35.243\Llibre%20Blanc%20Execucio%20Penal\Bases%20elaboraci&#243;%20Llibre%20Blanc%20de%20l'EP\Bloc%203%20Poblaci&#243;%20penitenci&#224;ria\Gr&#224;fics%20(predicci&#243;,%20reincid&#232;ncia).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embeddings/oleObject1.bin"/></Relationships>
</file>

<file path=word/charts/_rels/chart19.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10.200.35.243\Llibre%20Blanc%20Execucio%20Penal\Bases%20elaboraci&#243;%20Llibre%20Blanc%20de%20l'EP\Bloc%203%20Poblaci&#243;%20penitenci&#224;ria\Gr&#224;fics%20(predicci&#243;,%20reincid&#232;ncia).xlsx"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10.200.35.243\Llibre%20Blanc%20Execucio%20Penal\Bases%20elaboraci&#243;%20Llibre%20Blanc%20de%20l'EP\Bloc%203%20Poblaci&#243;%20penitenci&#224;ria\Gr&#224;fics%20(predicci&#243;,%20reincid&#232;ncia).xlsx"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10.200.35.243\Llibre%20Blanc%20Execucio%20Penal\Bases%20elaboraci&#243;%20Llibre%20Blanc%20de%20l'EP\Bloc%203%20Poblaci&#243;%20penitenci&#224;ria\Gr&#224;fics%20(predicci&#243;,%20reincid&#232;ncia).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10.200.35.243\Llibre%20Blanc%20Execucio%20Penal\Bases%20elaboraci&#243;%20Llibre%20Blanc%20de%20l'EP\Bloc%203%20Poblaci&#243;%20penitenci&#224;ria\Gr&#224;fics%20(predicci&#243;,%20reincid&#232;ncia).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10.200.35.243\Llibre%20Blanc%20Execucio%20Penal\Bases%20elaboraci&#243;%20Llibre%20Blanc%20de%20l'EP\Bloc%203%20Poblaci&#243;%20penitenci&#224;ria\Gr&#224;fics%20(predicci&#243;,%20reincid&#232;ncia).xlsx" TargetMode="External"/></Relationships>
</file>

<file path=word/charts/_rels/chart7.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10.200.35.243\Llibre%20Blanc%20Execucio%20Penal\Bases%20elaboraci&#243;%20Llibre%20Blanc%20de%20l'EP\Bloc%203%20Poblaci&#243;%20penitenci&#224;ria\Gr&#224;fics%20(predicci&#243;,%20reincid&#232;ncia).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10.200.35.243\Llibre%20Blanc%20Execucio%20Penal\Bases%20elaboraci&#243;%20Llibre%20Blanc%20de%20l'EP\Bloc%203%20Poblaci&#243;%20penitenci&#224;ria\Gr&#224;fics%20(predicci&#243;,%20reincid&#232;ncia).xlsx" TargetMode="External"/></Relationships>
</file>

<file path=word/charts/_rels/chart9.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file:///\\10.200.35.243\Llibre%20Blanc%20Execucio%20Penal\Bases%20elaboraci&#243;%20Llibre%20Blanc%20de%20l'EP\Bloc%203%20Poblaci&#243;%20penitenci&#224;ria\Gr&#224;fics%20(predicci&#243;,%20reincid&#232;nci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ca-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'Evolució població i taxa'!$B$1</c:f>
              <c:strCache>
                <c:ptCount val="1"/>
                <c:pt idx="0">
                  <c:v>Població encarcerada</c:v>
                </c:pt>
              </c:strCache>
            </c:strRef>
          </c:tx>
          <c:spPr>
            <a:ln>
              <a:solidFill>
                <a:schemeClr val="accent1">
                  <a:lumMod val="75000"/>
                </a:schemeClr>
              </a:solidFill>
            </a:ln>
          </c:spPr>
          <c:marker>
            <c:symbol val="none"/>
          </c:marker>
          <c:dLbls>
            <c:txPr>
              <a:bodyPr rot="-5400000" vert="horz"/>
              <a:lstStyle/>
              <a:p>
                <a:pPr>
                  <a:defRPr/>
                </a:pPr>
                <a:endParaRPr lang="ca-ES"/>
              </a:p>
            </c:txPr>
            <c:dLblPos val="b"/>
            <c:showLegendKey val="0"/>
            <c:showVal val="1"/>
            <c:showCatName val="0"/>
            <c:showSerName val="0"/>
            <c:showPercent val="0"/>
            <c:showBubbleSize val="0"/>
            <c:showLeaderLines val="0"/>
          </c:dLbls>
          <c:cat>
            <c:numRef>
              <c:f>'Evolució població i taxa'!$A$5:$A$36</c:f>
              <c:numCache>
                <c:formatCode>0</c:formatCode>
                <c:ptCount val="32"/>
                <c:pt idx="0">
                  <c:v>1984</c:v>
                </c:pt>
                <c:pt idx="1">
                  <c:v>1985</c:v>
                </c:pt>
                <c:pt idx="2">
                  <c:v>1986</c:v>
                </c:pt>
                <c:pt idx="3">
                  <c:v>1987</c:v>
                </c:pt>
                <c:pt idx="4">
                  <c:v>1988</c:v>
                </c:pt>
                <c:pt idx="5">
                  <c:v>1989</c:v>
                </c:pt>
                <c:pt idx="6">
                  <c:v>1990</c:v>
                </c:pt>
                <c:pt idx="7">
                  <c:v>1991</c:v>
                </c:pt>
                <c:pt idx="8">
                  <c:v>1992</c:v>
                </c:pt>
                <c:pt idx="9">
                  <c:v>1993</c:v>
                </c:pt>
                <c:pt idx="10">
                  <c:v>1994</c:v>
                </c:pt>
                <c:pt idx="11">
                  <c:v>1995</c:v>
                </c:pt>
                <c:pt idx="12">
                  <c:v>1996</c:v>
                </c:pt>
                <c:pt idx="13">
                  <c:v>1997</c:v>
                </c:pt>
                <c:pt idx="14">
                  <c:v>1998</c:v>
                </c:pt>
                <c:pt idx="15">
                  <c:v>1999</c:v>
                </c:pt>
                <c:pt idx="16">
                  <c:v>2000</c:v>
                </c:pt>
                <c:pt idx="17">
                  <c:v>2001</c:v>
                </c:pt>
                <c:pt idx="18">
                  <c:v>2002</c:v>
                </c:pt>
                <c:pt idx="19">
                  <c:v>2003</c:v>
                </c:pt>
                <c:pt idx="20">
                  <c:v>2004</c:v>
                </c:pt>
                <c:pt idx="21">
                  <c:v>2005</c:v>
                </c:pt>
                <c:pt idx="22">
                  <c:v>2006</c:v>
                </c:pt>
                <c:pt idx="23">
                  <c:v>2007</c:v>
                </c:pt>
                <c:pt idx="24">
                  <c:v>2008</c:v>
                </c:pt>
                <c:pt idx="25">
                  <c:v>2009</c:v>
                </c:pt>
                <c:pt idx="26">
                  <c:v>2010</c:v>
                </c:pt>
                <c:pt idx="27">
                  <c:v>2011</c:v>
                </c:pt>
                <c:pt idx="28">
                  <c:v>2012</c:v>
                </c:pt>
                <c:pt idx="29">
                  <c:v>2013</c:v>
                </c:pt>
                <c:pt idx="30">
                  <c:v>2014</c:v>
                </c:pt>
                <c:pt idx="31">
                  <c:v>2015</c:v>
                </c:pt>
              </c:numCache>
            </c:numRef>
          </c:cat>
          <c:val>
            <c:numRef>
              <c:f>'Evolució població i taxa'!$B$5:$B$36</c:f>
              <c:numCache>
                <c:formatCode>#,##0</c:formatCode>
                <c:ptCount val="32"/>
                <c:pt idx="0">
                  <c:v>2650</c:v>
                </c:pt>
                <c:pt idx="1">
                  <c:v>3447</c:v>
                </c:pt>
                <c:pt idx="2">
                  <c:v>3723</c:v>
                </c:pt>
                <c:pt idx="3">
                  <c:v>4000</c:v>
                </c:pt>
                <c:pt idx="4">
                  <c:v>4250</c:v>
                </c:pt>
                <c:pt idx="5">
                  <c:v>4478</c:v>
                </c:pt>
                <c:pt idx="6">
                  <c:v>4700</c:v>
                </c:pt>
                <c:pt idx="7">
                  <c:v>5458</c:v>
                </c:pt>
                <c:pt idx="8">
                  <c:v>5976</c:v>
                </c:pt>
                <c:pt idx="9">
                  <c:v>6436</c:v>
                </c:pt>
                <c:pt idx="10">
                  <c:v>6662</c:v>
                </c:pt>
                <c:pt idx="11">
                  <c:v>6344</c:v>
                </c:pt>
                <c:pt idx="12">
                  <c:v>5988</c:v>
                </c:pt>
                <c:pt idx="13">
                  <c:v>5934</c:v>
                </c:pt>
                <c:pt idx="14">
                  <c:v>5956</c:v>
                </c:pt>
                <c:pt idx="15">
                  <c:v>5945</c:v>
                </c:pt>
                <c:pt idx="16">
                  <c:v>6073</c:v>
                </c:pt>
                <c:pt idx="17">
                  <c:v>6405</c:v>
                </c:pt>
                <c:pt idx="18">
                  <c:v>6924</c:v>
                </c:pt>
                <c:pt idx="19">
                  <c:v>7416</c:v>
                </c:pt>
                <c:pt idx="20">
                  <c:v>8094</c:v>
                </c:pt>
                <c:pt idx="21">
                  <c:v>8305</c:v>
                </c:pt>
                <c:pt idx="22">
                  <c:v>8970</c:v>
                </c:pt>
                <c:pt idx="23">
                  <c:v>9395</c:v>
                </c:pt>
                <c:pt idx="24">
                  <c:v>10051</c:v>
                </c:pt>
                <c:pt idx="25">
                  <c:v>10525</c:v>
                </c:pt>
                <c:pt idx="26">
                  <c:v>10520</c:v>
                </c:pt>
                <c:pt idx="27">
                  <c:v>10513</c:v>
                </c:pt>
                <c:pt idx="28">
                  <c:v>10062</c:v>
                </c:pt>
                <c:pt idx="29">
                  <c:v>9818</c:v>
                </c:pt>
                <c:pt idx="30">
                  <c:v>9294</c:v>
                </c:pt>
                <c:pt idx="31">
                  <c:v>8810</c:v>
                </c:pt>
              </c:numCache>
            </c:numRef>
          </c:val>
          <c:smooth val="0"/>
        </c:ser>
        <c:dLbls>
          <c:dLblPos val="b"/>
          <c:showLegendKey val="0"/>
          <c:showVal val="1"/>
          <c:showCatName val="0"/>
          <c:showSerName val="0"/>
          <c:showPercent val="0"/>
          <c:showBubbleSize val="0"/>
        </c:dLbls>
        <c:marker val="1"/>
        <c:smooth val="0"/>
        <c:axId val="124745216"/>
        <c:axId val="124760064"/>
      </c:lineChart>
      <c:lineChart>
        <c:grouping val="standard"/>
        <c:varyColors val="0"/>
        <c:ser>
          <c:idx val="1"/>
          <c:order val="1"/>
          <c:tx>
            <c:strRef>
              <c:f>'Evolució població i taxa'!$C$1</c:f>
              <c:strCache>
                <c:ptCount val="1"/>
                <c:pt idx="0">
                  <c:v>Taxa  població encarcerada</c:v>
                </c:pt>
              </c:strCache>
            </c:strRef>
          </c:tx>
          <c:spPr>
            <a:ln>
              <a:solidFill>
                <a:schemeClr val="tx2">
                  <a:lumMod val="60000"/>
                  <a:lumOff val="40000"/>
                </a:schemeClr>
              </a:solidFill>
            </a:ln>
          </c:spPr>
          <c:marker>
            <c:symbol val="none"/>
          </c:marker>
          <c:dLbls>
            <c:numFmt formatCode="#,##0" sourceLinked="0"/>
            <c:txPr>
              <a:bodyPr rot="-5400000" vert="horz"/>
              <a:lstStyle/>
              <a:p>
                <a:pPr>
                  <a:defRPr/>
                </a:pPr>
                <a:endParaRPr lang="ca-ES"/>
              </a:p>
            </c:txPr>
            <c:dLblPos val="t"/>
            <c:showLegendKey val="0"/>
            <c:showVal val="1"/>
            <c:showCatName val="0"/>
            <c:showSerName val="0"/>
            <c:showPercent val="0"/>
            <c:showBubbleSize val="0"/>
            <c:showLeaderLines val="0"/>
          </c:dLbls>
          <c:cat>
            <c:numRef>
              <c:f>'Evolució població i taxa'!$A$5:$A$36</c:f>
              <c:numCache>
                <c:formatCode>0</c:formatCode>
                <c:ptCount val="32"/>
                <c:pt idx="0">
                  <c:v>1984</c:v>
                </c:pt>
                <c:pt idx="1">
                  <c:v>1985</c:v>
                </c:pt>
                <c:pt idx="2">
                  <c:v>1986</c:v>
                </c:pt>
                <c:pt idx="3">
                  <c:v>1987</c:v>
                </c:pt>
                <c:pt idx="4">
                  <c:v>1988</c:v>
                </c:pt>
                <c:pt idx="5">
                  <c:v>1989</c:v>
                </c:pt>
                <c:pt idx="6">
                  <c:v>1990</c:v>
                </c:pt>
                <c:pt idx="7">
                  <c:v>1991</c:v>
                </c:pt>
                <c:pt idx="8">
                  <c:v>1992</c:v>
                </c:pt>
                <c:pt idx="9">
                  <c:v>1993</c:v>
                </c:pt>
                <c:pt idx="10">
                  <c:v>1994</c:v>
                </c:pt>
                <c:pt idx="11">
                  <c:v>1995</c:v>
                </c:pt>
                <c:pt idx="12">
                  <c:v>1996</c:v>
                </c:pt>
                <c:pt idx="13">
                  <c:v>1997</c:v>
                </c:pt>
                <c:pt idx="14">
                  <c:v>1998</c:v>
                </c:pt>
                <c:pt idx="15">
                  <c:v>1999</c:v>
                </c:pt>
                <c:pt idx="16">
                  <c:v>2000</c:v>
                </c:pt>
                <c:pt idx="17">
                  <c:v>2001</c:v>
                </c:pt>
                <c:pt idx="18">
                  <c:v>2002</c:v>
                </c:pt>
                <c:pt idx="19">
                  <c:v>2003</c:v>
                </c:pt>
                <c:pt idx="20">
                  <c:v>2004</c:v>
                </c:pt>
                <c:pt idx="21">
                  <c:v>2005</c:v>
                </c:pt>
                <c:pt idx="22">
                  <c:v>2006</c:v>
                </c:pt>
                <c:pt idx="23">
                  <c:v>2007</c:v>
                </c:pt>
                <c:pt idx="24">
                  <c:v>2008</c:v>
                </c:pt>
                <c:pt idx="25">
                  <c:v>2009</c:v>
                </c:pt>
                <c:pt idx="26">
                  <c:v>2010</c:v>
                </c:pt>
                <c:pt idx="27">
                  <c:v>2011</c:v>
                </c:pt>
                <c:pt idx="28">
                  <c:v>2012</c:v>
                </c:pt>
                <c:pt idx="29">
                  <c:v>2013</c:v>
                </c:pt>
                <c:pt idx="30">
                  <c:v>2014</c:v>
                </c:pt>
                <c:pt idx="31">
                  <c:v>2015</c:v>
                </c:pt>
              </c:numCache>
            </c:numRef>
          </c:cat>
          <c:val>
            <c:numRef>
              <c:f>'Evolució població i taxa'!$C$5:$C$36</c:f>
              <c:numCache>
                <c:formatCode>0.0</c:formatCode>
                <c:ptCount val="32"/>
                <c:pt idx="0">
                  <c:v>44.318983626895033</c:v>
                </c:pt>
                <c:pt idx="1">
                  <c:v>57.650402407167718</c:v>
                </c:pt>
                <c:pt idx="2">
                  <c:v>62.166655729476361</c:v>
                </c:pt>
                <c:pt idx="3">
                  <c:v>66.552340837165232</c:v>
                </c:pt>
                <c:pt idx="4">
                  <c:v>70.4657137049347</c:v>
                </c:pt>
                <c:pt idx="5">
                  <c:v>73.994245038932078</c:v>
                </c:pt>
                <c:pt idx="6">
                  <c:v>77.410484245401776</c:v>
                </c:pt>
                <c:pt idx="7">
                  <c:v>89.70958125612151</c:v>
                </c:pt>
                <c:pt idx="8">
                  <c:v>98.095106620155761</c:v>
                </c:pt>
                <c:pt idx="9">
                  <c:v>105.53141363231059</c:v>
                </c:pt>
                <c:pt idx="10">
                  <c:v>109.20045824197096</c:v>
                </c:pt>
                <c:pt idx="11">
                  <c:v>103.95092153212909</c:v>
                </c:pt>
                <c:pt idx="12">
                  <c:v>98.045588578900578</c:v>
                </c:pt>
                <c:pt idx="13">
                  <c:v>96.997094827491793</c:v>
                </c:pt>
                <c:pt idx="14">
                  <c:v>97.058188469858763</c:v>
                </c:pt>
                <c:pt idx="15">
                  <c:v>96.491945641193439</c:v>
                </c:pt>
                <c:pt idx="16">
                  <c:v>97.732440024821756</c:v>
                </c:pt>
                <c:pt idx="17">
                  <c:v>101.25305596899017</c:v>
                </c:pt>
                <c:pt idx="18">
                  <c:v>106.87677327228617</c:v>
                </c:pt>
                <c:pt idx="19">
                  <c:v>111.92085372551108</c:v>
                </c:pt>
                <c:pt idx="20">
                  <c:v>119.55662130093084</c:v>
                </c:pt>
                <c:pt idx="21">
                  <c:v>120.00038723785406</c:v>
                </c:pt>
                <c:pt idx="22">
                  <c:v>126.85958185837266</c:v>
                </c:pt>
                <c:pt idx="23">
                  <c:v>128.72837873629152</c:v>
                </c:pt>
                <c:pt idx="24">
                  <c:v>135.52022792099621</c:v>
                </c:pt>
                <c:pt idx="25">
                  <c:v>141.04714472334925</c:v>
                </c:pt>
                <c:pt idx="26">
                  <c:v>140.23202000892314</c:v>
                </c:pt>
                <c:pt idx="27">
                  <c:v>139.88613776675567</c:v>
                </c:pt>
                <c:pt idx="28">
                  <c:v>132.90347736361346</c:v>
                </c:pt>
                <c:pt idx="29">
                  <c:v>129.97689858545206</c:v>
                </c:pt>
                <c:pt idx="30">
                  <c:v>123.6084572443613</c:v>
                </c:pt>
                <c:pt idx="31">
                  <c:v>117.33984576136778</c:v>
                </c:pt>
              </c:numCache>
            </c:numRef>
          </c:val>
          <c:smooth val="0"/>
        </c:ser>
        <c:dLbls>
          <c:dLblPos val="b"/>
          <c:showLegendKey val="0"/>
          <c:showVal val="1"/>
          <c:showCatName val="0"/>
          <c:showSerName val="0"/>
          <c:showPercent val="0"/>
          <c:showBubbleSize val="0"/>
        </c:dLbls>
        <c:marker val="1"/>
        <c:smooth val="0"/>
        <c:axId val="124763136"/>
        <c:axId val="124761600"/>
      </c:lineChart>
      <c:catAx>
        <c:axId val="124745216"/>
        <c:scaling>
          <c:orientation val="minMax"/>
        </c:scaling>
        <c:delete val="0"/>
        <c:axPos val="b"/>
        <c:numFmt formatCode="0" sourceLinked="1"/>
        <c:majorTickMark val="none"/>
        <c:minorTickMark val="none"/>
        <c:tickLblPos val="nextTo"/>
        <c:txPr>
          <a:bodyPr rot="-5400000" vert="horz"/>
          <a:lstStyle/>
          <a:p>
            <a:pPr>
              <a:defRPr/>
            </a:pPr>
            <a:endParaRPr lang="ca-ES"/>
          </a:p>
        </c:txPr>
        <c:crossAx val="124760064"/>
        <c:crosses val="autoZero"/>
        <c:auto val="1"/>
        <c:lblAlgn val="ctr"/>
        <c:lblOffset val="100"/>
        <c:noMultiLvlLbl val="0"/>
      </c:catAx>
      <c:valAx>
        <c:axId val="124760064"/>
        <c:scaling>
          <c:orientation val="minMax"/>
        </c:scaling>
        <c:delete val="0"/>
        <c:axPos val="l"/>
        <c:majorGridlines/>
        <c:numFmt formatCode="#,##0" sourceLinked="1"/>
        <c:majorTickMark val="none"/>
        <c:minorTickMark val="none"/>
        <c:tickLblPos val="nextTo"/>
        <c:spPr>
          <a:ln w="9525">
            <a:noFill/>
          </a:ln>
        </c:spPr>
        <c:crossAx val="124745216"/>
        <c:crosses val="autoZero"/>
        <c:crossBetween val="between"/>
      </c:valAx>
      <c:valAx>
        <c:axId val="124761600"/>
        <c:scaling>
          <c:orientation val="minMax"/>
        </c:scaling>
        <c:delete val="0"/>
        <c:axPos val="r"/>
        <c:numFmt formatCode="0" sourceLinked="0"/>
        <c:majorTickMark val="out"/>
        <c:minorTickMark val="none"/>
        <c:tickLblPos val="nextTo"/>
        <c:crossAx val="124763136"/>
        <c:crosses val="max"/>
        <c:crossBetween val="between"/>
      </c:valAx>
      <c:catAx>
        <c:axId val="124763136"/>
        <c:scaling>
          <c:orientation val="minMax"/>
        </c:scaling>
        <c:delete val="1"/>
        <c:axPos val="b"/>
        <c:numFmt formatCode="0" sourceLinked="1"/>
        <c:majorTickMark val="out"/>
        <c:minorTickMark val="none"/>
        <c:tickLblPos val="nextTo"/>
        <c:crossAx val="124761600"/>
        <c:crosses val="autoZero"/>
        <c:auto val="1"/>
        <c:lblAlgn val="ctr"/>
        <c:lblOffset val="100"/>
        <c:noMultiLvlLbl val="0"/>
      </c:catAx>
    </c:plotArea>
    <c:legend>
      <c:legendPos val="b"/>
      <c:overlay val="0"/>
    </c:legend>
    <c:plotVisOnly val="1"/>
    <c:dispBlanksAs val="gap"/>
    <c:showDLblsOverMax val="0"/>
  </c:chart>
  <c:txPr>
    <a:bodyPr/>
    <a:lstStyle/>
    <a:p>
      <a:pPr>
        <a:defRPr sz="700"/>
      </a:pPr>
      <a:endParaRPr lang="ca-ES"/>
    </a:p>
  </c:txPr>
  <c:externalData r:id="rId1">
    <c:autoUpdate val="1"/>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ca-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2"/>
          <c:order val="0"/>
          <c:tx>
            <c:strRef>
              <c:f>'H:\Llibre blanc del Model Penitencairi Català\Bloc Evolució de la població encarcerada\[Dades socioeconòmiques i de població penitenciària.xlsx]Gràfics altes-baixes de llibert'!$B$1</c:f>
              <c:strCache>
                <c:ptCount val="1"/>
                <c:pt idx="0">
                  <c:v>Població penitenciària</c:v>
                </c:pt>
              </c:strCache>
            </c:strRef>
          </c:tx>
          <c:spPr>
            <a:ln>
              <a:solidFill>
                <a:schemeClr val="accent1"/>
              </a:solidFill>
            </a:ln>
          </c:spPr>
          <c:marker>
            <c:symbol val="none"/>
          </c:marker>
          <c:dLbls>
            <c:dLbl>
              <c:idx val="1"/>
              <c:layout>
                <c:manualLayout>
                  <c:x val="-2.0446907683238834E-2"/>
                  <c:y val="8.1666103524805037E-2"/>
                </c:manualLayout>
              </c:layout>
              <c:dLblPos val="r"/>
              <c:showLegendKey val="0"/>
              <c:showVal val="1"/>
              <c:showCatName val="0"/>
              <c:showSerName val="0"/>
              <c:showPercent val="0"/>
              <c:showBubbleSize val="0"/>
            </c:dLbl>
            <c:dLbl>
              <c:idx val="2"/>
              <c:layout>
                <c:manualLayout>
                  <c:x val="-2.4857123757781905E-2"/>
                  <c:y val="6.8435453003930655E-2"/>
                </c:manualLayout>
              </c:layout>
              <c:dLblPos val="r"/>
              <c:showLegendKey val="0"/>
              <c:showVal val="1"/>
              <c:showCatName val="0"/>
              <c:showSerName val="0"/>
              <c:showPercent val="0"/>
              <c:showBubbleSize val="0"/>
            </c:dLbl>
            <c:dLbl>
              <c:idx val="3"/>
              <c:layout>
                <c:manualLayout>
                  <c:x val="-2.0446907683238834E-2"/>
                  <c:y val="9.0486537205387962E-2"/>
                </c:manualLayout>
              </c:layout>
              <c:dLblPos val="r"/>
              <c:showLegendKey val="0"/>
              <c:showVal val="1"/>
              <c:showCatName val="0"/>
              <c:showSerName val="0"/>
              <c:showPercent val="0"/>
              <c:showBubbleSize val="0"/>
            </c:dLbl>
            <c:dLbl>
              <c:idx val="4"/>
              <c:layout>
                <c:manualLayout>
                  <c:x val="-2.4857123757781905E-2"/>
                  <c:y val="7.7255886684513581E-2"/>
                </c:manualLayout>
              </c:layout>
              <c:dLblPos val="r"/>
              <c:showLegendKey val="0"/>
              <c:showVal val="1"/>
              <c:showCatName val="0"/>
              <c:showSerName val="0"/>
              <c:showPercent val="0"/>
              <c:showBubbleSize val="0"/>
            </c:dLbl>
            <c:dLbl>
              <c:idx val="5"/>
              <c:layout>
                <c:manualLayout>
                  <c:x val="-2.4857123757781905E-2"/>
                  <c:y val="7.7255886684513581E-2"/>
                </c:manualLayout>
              </c:layout>
              <c:dLblPos val="r"/>
              <c:showLegendKey val="0"/>
              <c:showVal val="1"/>
              <c:showCatName val="0"/>
              <c:showSerName val="0"/>
              <c:showPercent val="0"/>
              <c:showBubbleSize val="0"/>
            </c:dLbl>
            <c:dLbl>
              <c:idx val="6"/>
              <c:layout>
                <c:manualLayout>
                  <c:x val="-1.82417996459673E-2"/>
                  <c:y val="-0.15207538901064252"/>
                </c:manualLayout>
              </c:layout>
              <c:dLblPos val="r"/>
              <c:showLegendKey val="0"/>
              <c:showVal val="1"/>
              <c:showCatName val="0"/>
              <c:showSerName val="0"/>
              <c:showPercent val="0"/>
              <c:showBubbleSize val="0"/>
            </c:dLbl>
            <c:dLbl>
              <c:idx val="7"/>
              <c:layout>
                <c:manualLayout>
                  <c:x val="-2.0446907683238834E-2"/>
                  <c:y val="-0.1167936542883108"/>
                </c:manualLayout>
              </c:layout>
              <c:dLblPos val="r"/>
              <c:showLegendKey val="0"/>
              <c:showVal val="1"/>
              <c:showCatName val="0"/>
              <c:showSerName val="0"/>
              <c:showPercent val="0"/>
              <c:showBubbleSize val="0"/>
            </c:dLbl>
            <c:numFmt formatCode="#,##0" sourceLinked="0"/>
            <c:txPr>
              <a:bodyPr rot="-5400000" vert="horz"/>
              <a:lstStyle/>
              <a:p>
                <a:pPr>
                  <a:defRPr/>
                </a:pPr>
                <a:endParaRPr lang="ca-ES"/>
              </a:p>
            </c:txPr>
            <c:dLblPos val="t"/>
            <c:showLegendKey val="0"/>
            <c:showVal val="1"/>
            <c:showCatName val="0"/>
            <c:showSerName val="0"/>
            <c:showPercent val="0"/>
            <c:showBubbleSize val="0"/>
            <c:showLeaderLines val="0"/>
          </c:dLbls>
          <c:cat>
            <c:numRef>
              <c:f>'H:\Llibre blanc del Model Penitencairi Català\Bloc Evolució de la població encarcerada\[Dades socioeconòmiques i de població penitenciària.xlsx]Gràfics altes-baixes de llibert'!$A$12:$A$36</c:f>
              <c:numCache>
                <c:formatCode>General</c:formatCode>
                <c:ptCount val="25"/>
                <c:pt idx="0">
                  <c:v>1991</c:v>
                </c:pt>
                <c:pt idx="1">
                  <c:v>1992</c:v>
                </c:pt>
                <c:pt idx="2">
                  <c:v>1993</c:v>
                </c:pt>
                <c:pt idx="3">
                  <c:v>1994</c:v>
                </c:pt>
                <c:pt idx="4">
                  <c:v>1995</c:v>
                </c:pt>
                <c:pt idx="5">
                  <c:v>1996</c:v>
                </c:pt>
                <c:pt idx="6">
                  <c:v>1997</c:v>
                </c:pt>
                <c:pt idx="7">
                  <c:v>1998</c:v>
                </c:pt>
                <c:pt idx="8">
                  <c:v>1999</c:v>
                </c:pt>
                <c:pt idx="9">
                  <c:v>2000</c:v>
                </c:pt>
                <c:pt idx="10">
                  <c:v>2001</c:v>
                </c:pt>
                <c:pt idx="11">
                  <c:v>2002</c:v>
                </c:pt>
                <c:pt idx="12">
                  <c:v>2003</c:v>
                </c:pt>
                <c:pt idx="13">
                  <c:v>2004</c:v>
                </c:pt>
                <c:pt idx="14">
                  <c:v>2005</c:v>
                </c:pt>
                <c:pt idx="15">
                  <c:v>2006</c:v>
                </c:pt>
                <c:pt idx="16">
                  <c:v>2007</c:v>
                </c:pt>
                <c:pt idx="17">
                  <c:v>2008</c:v>
                </c:pt>
                <c:pt idx="18">
                  <c:v>2009</c:v>
                </c:pt>
                <c:pt idx="19">
                  <c:v>2010</c:v>
                </c:pt>
                <c:pt idx="20">
                  <c:v>2011</c:v>
                </c:pt>
                <c:pt idx="21">
                  <c:v>2012</c:v>
                </c:pt>
                <c:pt idx="22">
                  <c:v>2013</c:v>
                </c:pt>
                <c:pt idx="23">
                  <c:v>2014</c:v>
                </c:pt>
                <c:pt idx="24">
                  <c:v>2015</c:v>
                </c:pt>
              </c:numCache>
            </c:numRef>
          </c:cat>
          <c:val>
            <c:numRef>
              <c:f>'H:\Llibre blanc del Model Penitencairi Català\Bloc Evolució de la població encarcerada\[Dades socioeconòmiques i de població penitenciària.xlsx]Gràfics altes-baixes de llibert'!$B$12:$B$36</c:f>
              <c:numCache>
                <c:formatCode>General</c:formatCode>
                <c:ptCount val="25"/>
                <c:pt idx="0">
                  <c:v>5458</c:v>
                </c:pt>
                <c:pt idx="1">
                  <c:v>5976</c:v>
                </c:pt>
                <c:pt idx="2">
                  <c:v>6436</c:v>
                </c:pt>
                <c:pt idx="3">
                  <c:v>6662</c:v>
                </c:pt>
                <c:pt idx="4">
                  <c:v>6344</c:v>
                </c:pt>
                <c:pt idx="5">
                  <c:v>5988</c:v>
                </c:pt>
                <c:pt idx="6">
                  <c:v>5934</c:v>
                </c:pt>
                <c:pt idx="7">
                  <c:v>5956</c:v>
                </c:pt>
                <c:pt idx="8">
                  <c:v>5945</c:v>
                </c:pt>
                <c:pt idx="9">
                  <c:v>6073</c:v>
                </c:pt>
                <c:pt idx="10">
                  <c:v>6405</c:v>
                </c:pt>
                <c:pt idx="11">
                  <c:v>6924</c:v>
                </c:pt>
                <c:pt idx="12">
                  <c:v>7416</c:v>
                </c:pt>
                <c:pt idx="13">
                  <c:v>8094</c:v>
                </c:pt>
                <c:pt idx="14">
                  <c:v>8305</c:v>
                </c:pt>
                <c:pt idx="15">
                  <c:v>8970</c:v>
                </c:pt>
                <c:pt idx="16">
                  <c:v>9395</c:v>
                </c:pt>
                <c:pt idx="17">
                  <c:v>10051</c:v>
                </c:pt>
                <c:pt idx="18">
                  <c:v>10525</c:v>
                </c:pt>
                <c:pt idx="19">
                  <c:v>10520</c:v>
                </c:pt>
                <c:pt idx="20">
                  <c:v>10513</c:v>
                </c:pt>
                <c:pt idx="21">
                  <c:v>10062</c:v>
                </c:pt>
                <c:pt idx="22">
                  <c:v>9818</c:v>
                </c:pt>
                <c:pt idx="23">
                  <c:v>9294</c:v>
                </c:pt>
                <c:pt idx="24">
                  <c:v>8810</c:v>
                </c:pt>
              </c:numCache>
            </c:numRef>
          </c:val>
          <c:smooth val="0"/>
        </c:ser>
        <c:ser>
          <c:idx val="0"/>
          <c:order val="1"/>
          <c:tx>
            <c:strRef>
              <c:f>'H:\Llibre blanc del Model Penitencairi Català\Bloc Evolució de la població encarcerada\[Dades socioeconòmiques i de població penitenciària.xlsx]Gràfics altes-baixes de llibert'!$T$1</c:f>
              <c:strCache>
                <c:ptCount val="1"/>
                <c:pt idx="0">
                  <c:v>Altes anuals de llibertat</c:v>
                </c:pt>
              </c:strCache>
            </c:strRef>
          </c:tx>
          <c:spPr>
            <a:ln>
              <a:solidFill>
                <a:srgbClr val="C00000"/>
              </a:solidFill>
            </a:ln>
          </c:spPr>
          <c:marker>
            <c:symbol val="none"/>
          </c:marker>
          <c:dLbls>
            <c:numFmt formatCode="#,##0" sourceLinked="0"/>
            <c:dLblPos val="t"/>
            <c:showLegendKey val="0"/>
            <c:showVal val="1"/>
            <c:showCatName val="0"/>
            <c:showSerName val="0"/>
            <c:showPercent val="0"/>
            <c:showBubbleSize val="0"/>
            <c:showLeaderLines val="0"/>
          </c:dLbls>
          <c:cat>
            <c:numRef>
              <c:f>'H:\Llibre blanc del Model Penitencairi Català\Bloc Evolució de la població encarcerada\[Dades socioeconòmiques i de població penitenciària.xlsx]Gràfics altes-baixes de llibert'!$A$12:$A$36</c:f>
              <c:numCache>
                <c:formatCode>General</c:formatCode>
                <c:ptCount val="25"/>
                <c:pt idx="0">
                  <c:v>1991</c:v>
                </c:pt>
                <c:pt idx="1">
                  <c:v>1992</c:v>
                </c:pt>
                <c:pt idx="2">
                  <c:v>1993</c:v>
                </c:pt>
                <c:pt idx="3">
                  <c:v>1994</c:v>
                </c:pt>
                <c:pt idx="4">
                  <c:v>1995</c:v>
                </c:pt>
                <c:pt idx="5">
                  <c:v>1996</c:v>
                </c:pt>
                <c:pt idx="6">
                  <c:v>1997</c:v>
                </c:pt>
                <c:pt idx="7">
                  <c:v>1998</c:v>
                </c:pt>
                <c:pt idx="8">
                  <c:v>1999</c:v>
                </c:pt>
                <c:pt idx="9">
                  <c:v>2000</c:v>
                </c:pt>
                <c:pt idx="10">
                  <c:v>2001</c:v>
                </c:pt>
                <c:pt idx="11">
                  <c:v>2002</c:v>
                </c:pt>
                <c:pt idx="12">
                  <c:v>2003</c:v>
                </c:pt>
                <c:pt idx="13">
                  <c:v>2004</c:v>
                </c:pt>
                <c:pt idx="14">
                  <c:v>2005</c:v>
                </c:pt>
                <c:pt idx="15">
                  <c:v>2006</c:v>
                </c:pt>
                <c:pt idx="16">
                  <c:v>2007</c:v>
                </c:pt>
                <c:pt idx="17">
                  <c:v>2008</c:v>
                </c:pt>
                <c:pt idx="18">
                  <c:v>2009</c:v>
                </c:pt>
                <c:pt idx="19">
                  <c:v>2010</c:v>
                </c:pt>
                <c:pt idx="20">
                  <c:v>2011</c:v>
                </c:pt>
                <c:pt idx="21">
                  <c:v>2012</c:v>
                </c:pt>
                <c:pt idx="22">
                  <c:v>2013</c:v>
                </c:pt>
                <c:pt idx="23">
                  <c:v>2014</c:v>
                </c:pt>
                <c:pt idx="24">
                  <c:v>2015</c:v>
                </c:pt>
              </c:numCache>
            </c:numRef>
          </c:cat>
          <c:val>
            <c:numRef>
              <c:f>'H:\Llibre blanc del Model Penitencairi Català\Bloc Evolució de la població encarcerada\[Dades socioeconòmiques i de població penitenciària.xlsx]Gràfics altes-baixes de llibert'!$T$12:$T$36</c:f>
              <c:numCache>
                <c:formatCode>General</c:formatCode>
                <c:ptCount val="25"/>
                <c:pt idx="0">
                  <c:v>4152</c:v>
                </c:pt>
                <c:pt idx="1">
                  <c:v>8304</c:v>
                </c:pt>
                <c:pt idx="2">
                  <c:v>9396</c:v>
                </c:pt>
                <c:pt idx="3">
                  <c:v>9636</c:v>
                </c:pt>
                <c:pt idx="4">
                  <c:v>8352</c:v>
                </c:pt>
                <c:pt idx="5">
                  <c:v>7080</c:v>
                </c:pt>
                <c:pt idx="6">
                  <c:v>6576</c:v>
                </c:pt>
                <c:pt idx="7">
                  <c:v>6072</c:v>
                </c:pt>
                <c:pt idx="8">
                  <c:v>5472</c:v>
                </c:pt>
                <c:pt idx="9">
                  <c:v>5472</c:v>
                </c:pt>
                <c:pt idx="10">
                  <c:v>5628</c:v>
                </c:pt>
                <c:pt idx="11">
                  <c:v>5784</c:v>
                </c:pt>
                <c:pt idx="12">
                  <c:v>5796</c:v>
                </c:pt>
                <c:pt idx="13">
                  <c:v>5652</c:v>
                </c:pt>
                <c:pt idx="14">
                  <c:v>5220</c:v>
                </c:pt>
                <c:pt idx="15">
                  <c:v>6156</c:v>
                </c:pt>
                <c:pt idx="16">
                  <c:v>6300</c:v>
                </c:pt>
                <c:pt idx="17">
                  <c:v>6804</c:v>
                </c:pt>
                <c:pt idx="18">
                  <c:v>6876</c:v>
                </c:pt>
                <c:pt idx="19">
                  <c:v>7092</c:v>
                </c:pt>
                <c:pt idx="20">
                  <c:v>7200</c:v>
                </c:pt>
                <c:pt idx="21">
                  <c:v>7308</c:v>
                </c:pt>
                <c:pt idx="22">
                  <c:v>6696</c:v>
                </c:pt>
                <c:pt idx="23">
                  <c:v>6048</c:v>
                </c:pt>
                <c:pt idx="24">
                  <c:v>5292</c:v>
                </c:pt>
              </c:numCache>
            </c:numRef>
          </c:val>
          <c:smooth val="0"/>
        </c:ser>
        <c:ser>
          <c:idx val="1"/>
          <c:order val="2"/>
          <c:tx>
            <c:strRef>
              <c:f>'H:\Llibre blanc del Model Penitencairi Català\Bloc Evolució de la població encarcerada\[Dades socioeconòmiques i de població penitenciària.xlsx]Gràfics altes-baixes de llibert'!$V$1</c:f>
              <c:strCache>
                <c:ptCount val="1"/>
                <c:pt idx="0">
                  <c:v>Baixes anuals per llibertat</c:v>
                </c:pt>
              </c:strCache>
            </c:strRef>
          </c:tx>
          <c:spPr>
            <a:ln>
              <a:solidFill>
                <a:schemeClr val="accent3">
                  <a:lumMod val="75000"/>
                </a:schemeClr>
              </a:solidFill>
            </a:ln>
          </c:spPr>
          <c:marker>
            <c:symbol val="none"/>
          </c:marker>
          <c:dLbls>
            <c:dLbl>
              <c:idx val="2"/>
              <c:layout>
                <c:manualLayout>
                  <c:x val="-2.0446907683238834E-2"/>
                  <c:y val="5.0640401683938858E-2"/>
                </c:manualLayout>
              </c:layout>
              <c:dLblPos val="r"/>
              <c:showLegendKey val="0"/>
              <c:showVal val="1"/>
              <c:showCatName val="0"/>
              <c:showSerName val="0"/>
              <c:showPercent val="0"/>
              <c:showBubbleSize val="0"/>
            </c:dLbl>
            <c:dLbl>
              <c:idx val="3"/>
              <c:layout>
                <c:manualLayout>
                  <c:x val="-2.4857123757781905E-2"/>
                  <c:y val="5.9460835364521784E-2"/>
                </c:manualLayout>
              </c:layout>
              <c:dLblPos val="r"/>
              <c:showLegendKey val="0"/>
              <c:showVal val="1"/>
              <c:showCatName val="0"/>
              <c:showSerName val="0"/>
              <c:showPercent val="0"/>
              <c:showBubbleSize val="0"/>
            </c:dLbl>
            <c:dLbl>
              <c:idx val="4"/>
              <c:layout>
                <c:manualLayout>
                  <c:x val="-2.4857123757781905E-2"/>
                  <c:y val="5.9460835364521743E-2"/>
                </c:manualLayout>
              </c:layout>
              <c:dLblPos val="r"/>
              <c:showLegendKey val="0"/>
              <c:showVal val="1"/>
              <c:showCatName val="0"/>
              <c:showSerName val="0"/>
              <c:showPercent val="0"/>
              <c:showBubbleSize val="0"/>
            </c:dLbl>
            <c:numFmt formatCode="#,##0" sourceLinked="0"/>
            <c:txPr>
              <a:bodyPr rot="0" vert="horz"/>
              <a:lstStyle/>
              <a:p>
                <a:pPr>
                  <a:defRPr/>
                </a:pPr>
                <a:endParaRPr lang="ca-ES"/>
              </a:p>
            </c:txPr>
            <c:dLblPos val="b"/>
            <c:showLegendKey val="0"/>
            <c:showVal val="1"/>
            <c:showCatName val="0"/>
            <c:showSerName val="0"/>
            <c:showPercent val="0"/>
            <c:showBubbleSize val="0"/>
            <c:showLeaderLines val="0"/>
          </c:dLbls>
          <c:cat>
            <c:numRef>
              <c:f>'H:\Llibre blanc del Model Penitencairi Català\Bloc Evolució de la població encarcerada\[Dades socioeconòmiques i de població penitenciària.xlsx]Gràfics altes-baixes de llibert'!$A$12:$A$36</c:f>
              <c:numCache>
                <c:formatCode>General</c:formatCode>
                <c:ptCount val="25"/>
                <c:pt idx="0">
                  <c:v>1991</c:v>
                </c:pt>
                <c:pt idx="1">
                  <c:v>1992</c:v>
                </c:pt>
                <c:pt idx="2">
                  <c:v>1993</c:v>
                </c:pt>
                <c:pt idx="3">
                  <c:v>1994</c:v>
                </c:pt>
                <c:pt idx="4">
                  <c:v>1995</c:v>
                </c:pt>
                <c:pt idx="5">
                  <c:v>1996</c:v>
                </c:pt>
                <c:pt idx="6">
                  <c:v>1997</c:v>
                </c:pt>
                <c:pt idx="7">
                  <c:v>1998</c:v>
                </c:pt>
                <c:pt idx="8">
                  <c:v>1999</c:v>
                </c:pt>
                <c:pt idx="9">
                  <c:v>2000</c:v>
                </c:pt>
                <c:pt idx="10">
                  <c:v>2001</c:v>
                </c:pt>
                <c:pt idx="11">
                  <c:v>2002</c:v>
                </c:pt>
                <c:pt idx="12">
                  <c:v>2003</c:v>
                </c:pt>
                <c:pt idx="13">
                  <c:v>2004</c:v>
                </c:pt>
                <c:pt idx="14">
                  <c:v>2005</c:v>
                </c:pt>
                <c:pt idx="15">
                  <c:v>2006</c:v>
                </c:pt>
                <c:pt idx="16">
                  <c:v>2007</c:v>
                </c:pt>
                <c:pt idx="17">
                  <c:v>2008</c:v>
                </c:pt>
                <c:pt idx="18">
                  <c:v>2009</c:v>
                </c:pt>
                <c:pt idx="19">
                  <c:v>2010</c:v>
                </c:pt>
                <c:pt idx="20">
                  <c:v>2011</c:v>
                </c:pt>
                <c:pt idx="21">
                  <c:v>2012</c:v>
                </c:pt>
                <c:pt idx="22">
                  <c:v>2013</c:v>
                </c:pt>
                <c:pt idx="23">
                  <c:v>2014</c:v>
                </c:pt>
                <c:pt idx="24">
                  <c:v>2015</c:v>
                </c:pt>
              </c:numCache>
            </c:numRef>
          </c:cat>
          <c:val>
            <c:numRef>
              <c:f>'H:\Llibre blanc del Model Penitencairi Català\Bloc Evolució de la població encarcerada\[Dades socioeconòmiques i de població penitenciària.xlsx]Gràfics altes-baixes de llibert'!$V$12:$V$36</c:f>
              <c:numCache>
                <c:formatCode>General</c:formatCode>
                <c:ptCount val="25"/>
                <c:pt idx="0">
                  <c:v>3984</c:v>
                </c:pt>
                <c:pt idx="1">
                  <c:v>7356</c:v>
                </c:pt>
                <c:pt idx="2">
                  <c:v>8484</c:v>
                </c:pt>
                <c:pt idx="3">
                  <c:v>8976</c:v>
                </c:pt>
                <c:pt idx="4">
                  <c:v>8388</c:v>
                </c:pt>
                <c:pt idx="5">
                  <c:v>7080</c:v>
                </c:pt>
                <c:pt idx="6">
                  <c:v>6288</c:v>
                </c:pt>
                <c:pt idx="7">
                  <c:v>5640</c:v>
                </c:pt>
                <c:pt idx="8">
                  <c:v>5160</c:v>
                </c:pt>
                <c:pt idx="9">
                  <c:v>5064</c:v>
                </c:pt>
                <c:pt idx="10">
                  <c:v>5112</c:v>
                </c:pt>
                <c:pt idx="11">
                  <c:v>4908</c:v>
                </c:pt>
                <c:pt idx="12">
                  <c:v>4860</c:v>
                </c:pt>
                <c:pt idx="13">
                  <c:v>4788</c:v>
                </c:pt>
                <c:pt idx="14">
                  <c:v>4812</c:v>
                </c:pt>
                <c:pt idx="15">
                  <c:v>5052</c:v>
                </c:pt>
                <c:pt idx="16">
                  <c:v>5544</c:v>
                </c:pt>
                <c:pt idx="17">
                  <c:v>5832</c:v>
                </c:pt>
                <c:pt idx="18">
                  <c:v>6060</c:v>
                </c:pt>
                <c:pt idx="19">
                  <c:v>6756</c:v>
                </c:pt>
                <c:pt idx="20">
                  <c:v>6900</c:v>
                </c:pt>
                <c:pt idx="21">
                  <c:v>7008</c:v>
                </c:pt>
                <c:pt idx="22">
                  <c:v>6420</c:v>
                </c:pt>
                <c:pt idx="23">
                  <c:v>6084</c:v>
                </c:pt>
                <c:pt idx="24">
                  <c:v>5604</c:v>
                </c:pt>
              </c:numCache>
            </c:numRef>
          </c:val>
          <c:smooth val="0"/>
        </c:ser>
        <c:dLbls>
          <c:dLblPos val="b"/>
          <c:showLegendKey val="0"/>
          <c:showVal val="1"/>
          <c:showCatName val="0"/>
          <c:showSerName val="0"/>
          <c:showPercent val="0"/>
          <c:showBubbleSize val="0"/>
        </c:dLbls>
        <c:marker val="1"/>
        <c:smooth val="0"/>
        <c:axId val="137338880"/>
        <c:axId val="137340416"/>
      </c:lineChart>
      <c:catAx>
        <c:axId val="137338880"/>
        <c:scaling>
          <c:orientation val="minMax"/>
        </c:scaling>
        <c:delete val="0"/>
        <c:axPos val="b"/>
        <c:numFmt formatCode="General" sourceLinked="1"/>
        <c:majorTickMark val="none"/>
        <c:minorTickMark val="none"/>
        <c:tickLblPos val="nextTo"/>
        <c:crossAx val="137340416"/>
        <c:crosses val="autoZero"/>
        <c:auto val="1"/>
        <c:lblAlgn val="ctr"/>
        <c:lblOffset val="100"/>
        <c:noMultiLvlLbl val="0"/>
      </c:catAx>
      <c:valAx>
        <c:axId val="137340416"/>
        <c:scaling>
          <c:orientation val="minMax"/>
        </c:scaling>
        <c:delete val="0"/>
        <c:axPos val="l"/>
        <c:majorGridlines/>
        <c:numFmt formatCode="General" sourceLinked="1"/>
        <c:majorTickMark val="none"/>
        <c:minorTickMark val="none"/>
        <c:tickLblPos val="nextTo"/>
        <c:spPr>
          <a:ln w="9525">
            <a:noFill/>
          </a:ln>
        </c:spPr>
        <c:crossAx val="137338880"/>
        <c:crosses val="autoZero"/>
        <c:crossBetween val="between"/>
      </c:valAx>
    </c:plotArea>
    <c:legend>
      <c:legendPos val="b"/>
      <c:overlay val="0"/>
    </c:legend>
    <c:plotVisOnly val="1"/>
    <c:dispBlanksAs val="gap"/>
    <c:showDLblsOverMax val="0"/>
  </c:chart>
  <c:txPr>
    <a:bodyPr/>
    <a:lstStyle/>
    <a:p>
      <a:pPr>
        <a:defRPr sz="700"/>
      </a:pPr>
      <a:endParaRPr lang="ca-ES"/>
    </a:p>
  </c:txPr>
  <c:externalData r:id="rId1">
    <c:autoUpdate val="1"/>
  </c:externalData>
  <c:userShapes r:id="rId2"/>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ca-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3609203104931039E-2"/>
          <c:y val="9.7232996176079209E-2"/>
          <c:w val="0.88689132124738279"/>
          <c:h val="0.73205266932960689"/>
        </c:manualLayout>
      </c:layout>
      <c:lineChart>
        <c:grouping val="standard"/>
        <c:varyColors val="0"/>
        <c:ser>
          <c:idx val="0"/>
          <c:order val="0"/>
          <c:tx>
            <c:strRef>
              <c:f>'1984-2015'!$B$1</c:f>
              <c:strCache>
                <c:ptCount val="1"/>
                <c:pt idx="0">
                  <c:v>Població encarcerada</c:v>
                </c:pt>
              </c:strCache>
            </c:strRef>
          </c:tx>
          <c:spPr>
            <a:ln>
              <a:solidFill>
                <a:schemeClr val="accent1">
                  <a:lumMod val="75000"/>
                </a:schemeClr>
              </a:solidFill>
            </a:ln>
          </c:spPr>
          <c:marker>
            <c:symbol val="none"/>
          </c:marker>
          <c:dLbls>
            <c:txPr>
              <a:bodyPr rot="-5400000" vert="horz"/>
              <a:lstStyle/>
              <a:p>
                <a:pPr>
                  <a:defRPr/>
                </a:pPr>
                <a:endParaRPr lang="ca-ES"/>
              </a:p>
            </c:txPr>
            <c:dLblPos val="b"/>
            <c:showLegendKey val="0"/>
            <c:showVal val="1"/>
            <c:showCatName val="0"/>
            <c:showSerName val="0"/>
            <c:showPercent val="0"/>
            <c:showBubbleSize val="0"/>
            <c:showLeaderLines val="0"/>
          </c:dLbls>
          <c:cat>
            <c:numRef>
              <c:f>'1984-2015'!$A$5:$A$36</c:f>
              <c:numCache>
                <c:formatCode>General</c:formatCode>
                <c:ptCount val="32"/>
                <c:pt idx="0">
                  <c:v>1984</c:v>
                </c:pt>
                <c:pt idx="1">
                  <c:v>1985</c:v>
                </c:pt>
                <c:pt idx="2">
                  <c:v>1986</c:v>
                </c:pt>
                <c:pt idx="3">
                  <c:v>1987</c:v>
                </c:pt>
                <c:pt idx="4">
                  <c:v>1988</c:v>
                </c:pt>
                <c:pt idx="5">
                  <c:v>1989</c:v>
                </c:pt>
                <c:pt idx="6">
                  <c:v>1990</c:v>
                </c:pt>
                <c:pt idx="7">
                  <c:v>1991</c:v>
                </c:pt>
                <c:pt idx="8">
                  <c:v>1992</c:v>
                </c:pt>
                <c:pt idx="9">
                  <c:v>1993</c:v>
                </c:pt>
                <c:pt idx="10">
                  <c:v>1994</c:v>
                </c:pt>
                <c:pt idx="11">
                  <c:v>1995</c:v>
                </c:pt>
                <c:pt idx="12">
                  <c:v>1996</c:v>
                </c:pt>
                <c:pt idx="13">
                  <c:v>1997</c:v>
                </c:pt>
                <c:pt idx="14">
                  <c:v>1998</c:v>
                </c:pt>
                <c:pt idx="15">
                  <c:v>1999</c:v>
                </c:pt>
                <c:pt idx="16">
                  <c:v>2000</c:v>
                </c:pt>
                <c:pt idx="17">
                  <c:v>2001</c:v>
                </c:pt>
                <c:pt idx="18">
                  <c:v>2002</c:v>
                </c:pt>
                <c:pt idx="19">
                  <c:v>2003</c:v>
                </c:pt>
                <c:pt idx="20">
                  <c:v>2004</c:v>
                </c:pt>
                <c:pt idx="21">
                  <c:v>2005</c:v>
                </c:pt>
                <c:pt idx="22">
                  <c:v>2006</c:v>
                </c:pt>
                <c:pt idx="23">
                  <c:v>2007</c:v>
                </c:pt>
                <c:pt idx="24">
                  <c:v>2008</c:v>
                </c:pt>
                <c:pt idx="25">
                  <c:v>2009</c:v>
                </c:pt>
                <c:pt idx="26">
                  <c:v>2010</c:v>
                </c:pt>
                <c:pt idx="27">
                  <c:v>2011</c:v>
                </c:pt>
                <c:pt idx="28">
                  <c:v>2012</c:v>
                </c:pt>
                <c:pt idx="29">
                  <c:v>2013</c:v>
                </c:pt>
                <c:pt idx="30">
                  <c:v>2014</c:v>
                </c:pt>
                <c:pt idx="31">
                  <c:v>2015</c:v>
                </c:pt>
              </c:numCache>
            </c:numRef>
          </c:cat>
          <c:val>
            <c:numRef>
              <c:f>'1984-2015'!$B$5:$B$36</c:f>
              <c:numCache>
                <c:formatCode>#,##0</c:formatCode>
                <c:ptCount val="32"/>
                <c:pt idx="0">
                  <c:v>2650</c:v>
                </c:pt>
                <c:pt idx="1">
                  <c:v>3447</c:v>
                </c:pt>
                <c:pt idx="2">
                  <c:v>3723</c:v>
                </c:pt>
                <c:pt idx="3">
                  <c:v>4000</c:v>
                </c:pt>
                <c:pt idx="4">
                  <c:v>4250</c:v>
                </c:pt>
                <c:pt idx="5">
                  <c:v>4478</c:v>
                </c:pt>
                <c:pt idx="6">
                  <c:v>4700</c:v>
                </c:pt>
                <c:pt idx="7">
                  <c:v>5458</c:v>
                </c:pt>
                <c:pt idx="8">
                  <c:v>5976</c:v>
                </c:pt>
                <c:pt idx="9">
                  <c:v>6436</c:v>
                </c:pt>
                <c:pt idx="10">
                  <c:v>6662</c:v>
                </c:pt>
                <c:pt idx="11">
                  <c:v>6344</c:v>
                </c:pt>
                <c:pt idx="12">
                  <c:v>5988</c:v>
                </c:pt>
                <c:pt idx="13">
                  <c:v>5934</c:v>
                </c:pt>
                <c:pt idx="14">
                  <c:v>5956</c:v>
                </c:pt>
                <c:pt idx="15">
                  <c:v>5945</c:v>
                </c:pt>
                <c:pt idx="16">
                  <c:v>6073</c:v>
                </c:pt>
                <c:pt idx="17">
                  <c:v>6405</c:v>
                </c:pt>
                <c:pt idx="18">
                  <c:v>6924</c:v>
                </c:pt>
                <c:pt idx="19">
                  <c:v>7416</c:v>
                </c:pt>
                <c:pt idx="20">
                  <c:v>8094</c:v>
                </c:pt>
                <c:pt idx="21">
                  <c:v>8305</c:v>
                </c:pt>
                <c:pt idx="22">
                  <c:v>8970</c:v>
                </c:pt>
                <c:pt idx="23">
                  <c:v>9395</c:v>
                </c:pt>
                <c:pt idx="24">
                  <c:v>10051</c:v>
                </c:pt>
                <c:pt idx="25">
                  <c:v>10525</c:v>
                </c:pt>
                <c:pt idx="26">
                  <c:v>10520</c:v>
                </c:pt>
                <c:pt idx="27">
                  <c:v>10513</c:v>
                </c:pt>
                <c:pt idx="28">
                  <c:v>10062</c:v>
                </c:pt>
                <c:pt idx="29">
                  <c:v>9818</c:v>
                </c:pt>
                <c:pt idx="30">
                  <c:v>9294</c:v>
                </c:pt>
                <c:pt idx="31">
                  <c:v>8810</c:v>
                </c:pt>
              </c:numCache>
            </c:numRef>
          </c:val>
          <c:smooth val="0"/>
        </c:ser>
        <c:dLbls>
          <c:dLblPos val="b"/>
          <c:showLegendKey val="0"/>
          <c:showVal val="1"/>
          <c:showCatName val="0"/>
          <c:showSerName val="0"/>
          <c:showPercent val="0"/>
          <c:showBubbleSize val="0"/>
        </c:dLbls>
        <c:marker val="1"/>
        <c:smooth val="0"/>
        <c:axId val="135546368"/>
        <c:axId val="135561216"/>
      </c:lineChart>
      <c:lineChart>
        <c:grouping val="standard"/>
        <c:varyColors val="0"/>
        <c:ser>
          <c:idx val="1"/>
          <c:order val="1"/>
          <c:tx>
            <c:strRef>
              <c:f>'1984-2015'!$C$1</c:f>
              <c:strCache>
                <c:ptCount val="1"/>
                <c:pt idx="0">
                  <c:v>Índex PIB</c:v>
                </c:pt>
              </c:strCache>
            </c:strRef>
          </c:tx>
          <c:spPr>
            <a:ln>
              <a:solidFill>
                <a:schemeClr val="accent3">
                  <a:lumMod val="75000"/>
                </a:schemeClr>
              </a:solidFill>
            </a:ln>
          </c:spPr>
          <c:marker>
            <c:symbol val="none"/>
          </c:marker>
          <c:dLbls>
            <c:txPr>
              <a:bodyPr rot="-5400000" vert="horz"/>
              <a:lstStyle/>
              <a:p>
                <a:pPr>
                  <a:defRPr/>
                </a:pPr>
                <a:endParaRPr lang="ca-ES"/>
              </a:p>
            </c:txPr>
            <c:dLblPos val="t"/>
            <c:showLegendKey val="0"/>
            <c:showVal val="1"/>
            <c:showCatName val="0"/>
            <c:showSerName val="0"/>
            <c:showPercent val="0"/>
            <c:showBubbleSize val="0"/>
            <c:showLeaderLines val="0"/>
          </c:dLbls>
          <c:cat>
            <c:numRef>
              <c:f>'1984-2015'!$A$5:$A$36</c:f>
              <c:numCache>
                <c:formatCode>General</c:formatCode>
                <c:ptCount val="32"/>
                <c:pt idx="0">
                  <c:v>1984</c:v>
                </c:pt>
                <c:pt idx="1">
                  <c:v>1985</c:v>
                </c:pt>
                <c:pt idx="2">
                  <c:v>1986</c:v>
                </c:pt>
                <c:pt idx="3">
                  <c:v>1987</c:v>
                </c:pt>
                <c:pt idx="4">
                  <c:v>1988</c:v>
                </c:pt>
                <c:pt idx="5">
                  <c:v>1989</c:v>
                </c:pt>
                <c:pt idx="6">
                  <c:v>1990</c:v>
                </c:pt>
                <c:pt idx="7">
                  <c:v>1991</c:v>
                </c:pt>
                <c:pt idx="8">
                  <c:v>1992</c:v>
                </c:pt>
                <c:pt idx="9">
                  <c:v>1993</c:v>
                </c:pt>
                <c:pt idx="10">
                  <c:v>1994</c:v>
                </c:pt>
                <c:pt idx="11">
                  <c:v>1995</c:v>
                </c:pt>
                <c:pt idx="12">
                  <c:v>1996</c:v>
                </c:pt>
                <c:pt idx="13">
                  <c:v>1997</c:v>
                </c:pt>
                <c:pt idx="14">
                  <c:v>1998</c:v>
                </c:pt>
                <c:pt idx="15">
                  <c:v>1999</c:v>
                </c:pt>
                <c:pt idx="16">
                  <c:v>2000</c:v>
                </c:pt>
                <c:pt idx="17">
                  <c:v>2001</c:v>
                </c:pt>
                <c:pt idx="18">
                  <c:v>2002</c:v>
                </c:pt>
                <c:pt idx="19">
                  <c:v>2003</c:v>
                </c:pt>
                <c:pt idx="20">
                  <c:v>2004</c:v>
                </c:pt>
                <c:pt idx="21">
                  <c:v>2005</c:v>
                </c:pt>
                <c:pt idx="22">
                  <c:v>2006</c:v>
                </c:pt>
                <c:pt idx="23">
                  <c:v>2007</c:v>
                </c:pt>
                <c:pt idx="24">
                  <c:v>2008</c:v>
                </c:pt>
                <c:pt idx="25">
                  <c:v>2009</c:v>
                </c:pt>
                <c:pt idx="26">
                  <c:v>2010</c:v>
                </c:pt>
                <c:pt idx="27">
                  <c:v>2011</c:v>
                </c:pt>
                <c:pt idx="28">
                  <c:v>2012</c:v>
                </c:pt>
                <c:pt idx="29">
                  <c:v>2013</c:v>
                </c:pt>
                <c:pt idx="30">
                  <c:v>2014</c:v>
                </c:pt>
                <c:pt idx="31">
                  <c:v>2015</c:v>
                </c:pt>
              </c:numCache>
            </c:numRef>
          </c:cat>
          <c:val>
            <c:numRef>
              <c:f>'1984-2015'!$C$5:$C$36</c:f>
              <c:numCache>
                <c:formatCode>0.0</c:formatCode>
                <c:ptCount val="32"/>
                <c:pt idx="0">
                  <c:v>101.81</c:v>
                </c:pt>
                <c:pt idx="1">
                  <c:v>102.87</c:v>
                </c:pt>
                <c:pt idx="2">
                  <c:v>106.25</c:v>
                </c:pt>
                <c:pt idx="3">
                  <c:v>112.23</c:v>
                </c:pt>
                <c:pt idx="4">
                  <c:v>119.13</c:v>
                </c:pt>
                <c:pt idx="5">
                  <c:v>125.65</c:v>
                </c:pt>
                <c:pt idx="6">
                  <c:v>132.85</c:v>
                </c:pt>
                <c:pt idx="7">
                  <c:v>136.9</c:v>
                </c:pt>
                <c:pt idx="8">
                  <c:v>138.78</c:v>
                </c:pt>
                <c:pt idx="9">
                  <c:v>137.32</c:v>
                </c:pt>
                <c:pt idx="10">
                  <c:v>141.06</c:v>
                </c:pt>
                <c:pt idx="11">
                  <c:v>145.57</c:v>
                </c:pt>
                <c:pt idx="12">
                  <c:v>149.97999999999999</c:v>
                </c:pt>
                <c:pt idx="13">
                  <c:v>154.72999999999999</c:v>
                </c:pt>
                <c:pt idx="14">
                  <c:v>160.36000000000001</c:v>
                </c:pt>
                <c:pt idx="15">
                  <c:v>168.81</c:v>
                </c:pt>
                <c:pt idx="16">
                  <c:v>176.2</c:v>
                </c:pt>
                <c:pt idx="17">
                  <c:v>183.74</c:v>
                </c:pt>
                <c:pt idx="18">
                  <c:v>188.65</c:v>
                </c:pt>
                <c:pt idx="19">
                  <c:v>194.52</c:v>
                </c:pt>
                <c:pt idx="20">
                  <c:v>200.8</c:v>
                </c:pt>
                <c:pt idx="21">
                  <c:v>207.73</c:v>
                </c:pt>
                <c:pt idx="22">
                  <c:v>216.08</c:v>
                </c:pt>
                <c:pt idx="23">
                  <c:v>223.6</c:v>
                </c:pt>
                <c:pt idx="24">
                  <c:v>224.49</c:v>
                </c:pt>
                <c:pt idx="25">
                  <c:v>216.54</c:v>
                </c:pt>
                <c:pt idx="26">
                  <c:v>217.17</c:v>
                </c:pt>
                <c:pt idx="27">
                  <c:v>212.89</c:v>
                </c:pt>
                <c:pt idx="28">
                  <c:v>207.53</c:v>
                </c:pt>
                <c:pt idx="29">
                  <c:v>204.71</c:v>
                </c:pt>
                <c:pt idx="30">
                  <c:v>208.05</c:v>
                </c:pt>
                <c:pt idx="31">
                  <c:v>214.96</c:v>
                </c:pt>
              </c:numCache>
            </c:numRef>
          </c:val>
          <c:smooth val="0"/>
        </c:ser>
        <c:dLbls>
          <c:dLblPos val="b"/>
          <c:showLegendKey val="0"/>
          <c:showVal val="1"/>
          <c:showCatName val="0"/>
          <c:showSerName val="0"/>
          <c:showPercent val="0"/>
          <c:showBubbleSize val="0"/>
        </c:dLbls>
        <c:marker val="1"/>
        <c:smooth val="0"/>
        <c:axId val="135564288"/>
        <c:axId val="135562752"/>
      </c:lineChart>
      <c:catAx>
        <c:axId val="135546368"/>
        <c:scaling>
          <c:orientation val="minMax"/>
        </c:scaling>
        <c:delete val="0"/>
        <c:axPos val="b"/>
        <c:numFmt formatCode="General" sourceLinked="1"/>
        <c:majorTickMark val="none"/>
        <c:minorTickMark val="none"/>
        <c:tickLblPos val="nextTo"/>
        <c:txPr>
          <a:bodyPr rot="-5400000" vert="horz"/>
          <a:lstStyle/>
          <a:p>
            <a:pPr>
              <a:defRPr/>
            </a:pPr>
            <a:endParaRPr lang="ca-ES"/>
          </a:p>
        </c:txPr>
        <c:crossAx val="135561216"/>
        <c:crosses val="autoZero"/>
        <c:auto val="1"/>
        <c:lblAlgn val="ctr"/>
        <c:lblOffset val="100"/>
        <c:noMultiLvlLbl val="0"/>
      </c:catAx>
      <c:valAx>
        <c:axId val="135561216"/>
        <c:scaling>
          <c:orientation val="minMax"/>
        </c:scaling>
        <c:delete val="0"/>
        <c:axPos val="l"/>
        <c:majorGridlines/>
        <c:numFmt formatCode="#,##0" sourceLinked="1"/>
        <c:majorTickMark val="none"/>
        <c:minorTickMark val="none"/>
        <c:tickLblPos val="nextTo"/>
        <c:spPr>
          <a:ln w="9525">
            <a:noFill/>
          </a:ln>
        </c:spPr>
        <c:crossAx val="135546368"/>
        <c:crosses val="autoZero"/>
        <c:crossBetween val="between"/>
      </c:valAx>
      <c:valAx>
        <c:axId val="135562752"/>
        <c:scaling>
          <c:orientation val="minMax"/>
        </c:scaling>
        <c:delete val="0"/>
        <c:axPos val="r"/>
        <c:numFmt formatCode="0.0" sourceLinked="1"/>
        <c:majorTickMark val="out"/>
        <c:minorTickMark val="none"/>
        <c:tickLblPos val="nextTo"/>
        <c:crossAx val="135564288"/>
        <c:crosses val="max"/>
        <c:crossBetween val="between"/>
      </c:valAx>
      <c:catAx>
        <c:axId val="135564288"/>
        <c:scaling>
          <c:orientation val="minMax"/>
        </c:scaling>
        <c:delete val="1"/>
        <c:axPos val="b"/>
        <c:numFmt formatCode="General" sourceLinked="1"/>
        <c:majorTickMark val="out"/>
        <c:minorTickMark val="none"/>
        <c:tickLblPos val="nextTo"/>
        <c:crossAx val="135562752"/>
        <c:crosses val="autoZero"/>
        <c:auto val="1"/>
        <c:lblAlgn val="ctr"/>
        <c:lblOffset val="100"/>
        <c:noMultiLvlLbl val="0"/>
      </c:catAx>
    </c:plotArea>
    <c:legend>
      <c:legendPos val="b"/>
      <c:overlay val="0"/>
    </c:legend>
    <c:plotVisOnly val="1"/>
    <c:dispBlanksAs val="gap"/>
    <c:showDLblsOverMax val="0"/>
  </c:chart>
  <c:txPr>
    <a:bodyPr/>
    <a:lstStyle/>
    <a:p>
      <a:pPr>
        <a:defRPr sz="700"/>
      </a:pPr>
      <a:endParaRPr lang="ca-ES"/>
    </a:p>
  </c:txPr>
  <c:externalData r:id="rId1">
    <c:autoUpdate val="1"/>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ca-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006311130613317E-2"/>
          <c:y val="9.7232949867401761E-2"/>
          <c:w val="0.88689132124738279"/>
          <c:h val="0.69937025236784767"/>
        </c:manualLayout>
      </c:layout>
      <c:lineChart>
        <c:grouping val="standard"/>
        <c:varyColors val="0"/>
        <c:ser>
          <c:idx val="0"/>
          <c:order val="0"/>
          <c:tx>
            <c:strRef>
              <c:f>'1984-2015'!$B$1</c:f>
              <c:strCache>
                <c:ptCount val="1"/>
                <c:pt idx="0">
                  <c:v>Població encarcerada</c:v>
                </c:pt>
              </c:strCache>
            </c:strRef>
          </c:tx>
          <c:marker>
            <c:symbol val="none"/>
          </c:marker>
          <c:dLbls>
            <c:txPr>
              <a:bodyPr rot="-5400000" vert="horz"/>
              <a:lstStyle/>
              <a:p>
                <a:pPr>
                  <a:defRPr/>
                </a:pPr>
                <a:endParaRPr lang="ca-ES"/>
              </a:p>
            </c:txPr>
            <c:dLblPos val="t"/>
            <c:showLegendKey val="0"/>
            <c:showVal val="1"/>
            <c:showCatName val="0"/>
            <c:showSerName val="0"/>
            <c:showPercent val="0"/>
            <c:showBubbleSize val="0"/>
            <c:showLeaderLines val="0"/>
          </c:dLbls>
          <c:cat>
            <c:numRef>
              <c:f>'1984-2015'!$A$23:$A$36</c:f>
              <c:numCache>
                <c:formatCode>General</c:formatCode>
                <c:ptCount val="14"/>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numCache>
            </c:numRef>
          </c:cat>
          <c:val>
            <c:numRef>
              <c:f>'1984-2015'!$B$23:$B$36</c:f>
              <c:numCache>
                <c:formatCode>#,##0</c:formatCode>
                <c:ptCount val="14"/>
                <c:pt idx="0">
                  <c:v>6924</c:v>
                </c:pt>
                <c:pt idx="1">
                  <c:v>7416</c:v>
                </c:pt>
                <c:pt idx="2">
                  <c:v>8094</c:v>
                </c:pt>
                <c:pt idx="3">
                  <c:v>8305</c:v>
                </c:pt>
                <c:pt idx="4">
                  <c:v>8970</c:v>
                </c:pt>
                <c:pt idx="5">
                  <c:v>9395</c:v>
                </c:pt>
                <c:pt idx="6">
                  <c:v>10051</c:v>
                </c:pt>
                <c:pt idx="7">
                  <c:v>10525</c:v>
                </c:pt>
                <c:pt idx="8">
                  <c:v>10520</c:v>
                </c:pt>
                <c:pt idx="9">
                  <c:v>10513</c:v>
                </c:pt>
                <c:pt idx="10">
                  <c:v>10062</c:v>
                </c:pt>
                <c:pt idx="11">
                  <c:v>9818</c:v>
                </c:pt>
                <c:pt idx="12">
                  <c:v>9294</c:v>
                </c:pt>
                <c:pt idx="13">
                  <c:v>8810</c:v>
                </c:pt>
              </c:numCache>
            </c:numRef>
          </c:val>
          <c:smooth val="0"/>
        </c:ser>
        <c:ser>
          <c:idx val="1"/>
          <c:order val="1"/>
          <c:tx>
            <c:strRef>
              <c:f>'1984-2015'!$P$1</c:f>
              <c:strCache>
                <c:ptCount val="1"/>
                <c:pt idx="0">
                  <c:v>Persones diferents MPA</c:v>
                </c:pt>
              </c:strCache>
            </c:strRef>
          </c:tx>
          <c:marker>
            <c:symbol val="none"/>
          </c:marker>
          <c:dLbls>
            <c:dLbl>
              <c:idx val="4"/>
              <c:layout>
                <c:manualLayout>
                  <c:x val="-2.4857123757781905E-2"/>
                  <c:y val="4.197415196218187E-2"/>
                </c:manualLayout>
              </c:layout>
              <c:dLblPos val="r"/>
              <c:showLegendKey val="0"/>
              <c:showVal val="1"/>
              <c:showCatName val="0"/>
              <c:showSerName val="0"/>
              <c:showPercent val="0"/>
              <c:showBubbleSize val="0"/>
            </c:dLbl>
            <c:dLbl>
              <c:idx val="5"/>
              <c:layout>
                <c:manualLayout>
                  <c:x val="-2.4857123757781905E-2"/>
                  <c:y val="5.5204802483056259E-2"/>
                </c:manualLayout>
              </c:layout>
              <c:dLblPos val="r"/>
              <c:showLegendKey val="0"/>
              <c:showVal val="1"/>
              <c:showCatName val="0"/>
              <c:showSerName val="0"/>
              <c:showPercent val="0"/>
              <c:showBubbleSize val="0"/>
            </c:dLbl>
            <c:dLbl>
              <c:idx val="6"/>
              <c:layout>
                <c:manualLayout>
                  <c:x val="-2.4857123757781905E-2"/>
                  <c:y val="6.4025236163639185E-2"/>
                </c:manualLayout>
              </c:layout>
              <c:dLblPos val="r"/>
              <c:showLegendKey val="0"/>
              <c:showVal val="1"/>
              <c:showCatName val="0"/>
              <c:showSerName val="0"/>
              <c:showPercent val="0"/>
              <c:showBubbleSize val="0"/>
            </c:dLbl>
            <c:txPr>
              <a:bodyPr rot="-5400000" vert="horz"/>
              <a:lstStyle/>
              <a:p>
                <a:pPr>
                  <a:defRPr/>
                </a:pPr>
                <a:endParaRPr lang="ca-ES"/>
              </a:p>
            </c:txPr>
            <c:dLblPos val="t"/>
            <c:showLegendKey val="0"/>
            <c:showVal val="1"/>
            <c:showCatName val="0"/>
            <c:showSerName val="0"/>
            <c:showPercent val="0"/>
            <c:showBubbleSize val="0"/>
            <c:showLeaderLines val="0"/>
          </c:dLbls>
          <c:cat>
            <c:numRef>
              <c:f>'1984-2015'!$A$23:$A$36</c:f>
              <c:numCache>
                <c:formatCode>General</c:formatCode>
                <c:ptCount val="14"/>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numCache>
            </c:numRef>
          </c:cat>
          <c:val>
            <c:numRef>
              <c:f>'1984-2015'!$P$23:$P$36</c:f>
              <c:numCache>
                <c:formatCode>#,##0</c:formatCode>
                <c:ptCount val="14"/>
                <c:pt idx="0">
                  <c:v>1003</c:v>
                </c:pt>
                <c:pt idx="1">
                  <c:v>1122</c:v>
                </c:pt>
                <c:pt idx="2">
                  <c:v>1535</c:v>
                </c:pt>
                <c:pt idx="3">
                  <c:v>2878</c:v>
                </c:pt>
                <c:pt idx="4">
                  <c:v>5208</c:v>
                </c:pt>
                <c:pt idx="5">
                  <c:v>7194</c:v>
                </c:pt>
                <c:pt idx="6">
                  <c:v>8956</c:v>
                </c:pt>
                <c:pt idx="7">
                  <c:v>13866</c:v>
                </c:pt>
                <c:pt idx="8">
                  <c:v>17895</c:v>
                </c:pt>
                <c:pt idx="9">
                  <c:v>18375</c:v>
                </c:pt>
                <c:pt idx="10">
                  <c:v>14852</c:v>
                </c:pt>
                <c:pt idx="11">
                  <c:v>13483</c:v>
                </c:pt>
                <c:pt idx="12">
                  <c:v>13700</c:v>
                </c:pt>
                <c:pt idx="13">
                  <c:v>13854</c:v>
                </c:pt>
              </c:numCache>
            </c:numRef>
          </c:val>
          <c:smooth val="0"/>
        </c:ser>
        <c:dLbls>
          <c:dLblPos val="b"/>
          <c:showLegendKey val="0"/>
          <c:showVal val="1"/>
          <c:showCatName val="0"/>
          <c:showSerName val="0"/>
          <c:showPercent val="0"/>
          <c:showBubbleSize val="0"/>
        </c:dLbls>
        <c:marker val="1"/>
        <c:smooth val="0"/>
        <c:axId val="137367936"/>
        <c:axId val="137369472"/>
      </c:lineChart>
      <c:catAx>
        <c:axId val="137367936"/>
        <c:scaling>
          <c:orientation val="minMax"/>
        </c:scaling>
        <c:delete val="0"/>
        <c:axPos val="b"/>
        <c:numFmt formatCode="General" sourceLinked="1"/>
        <c:majorTickMark val="none"/>
        <c:minorTickMark val="none"/>
        <c:tickLblPos val="nextTo"/>
        <c:txPr>
          <a:bodyPr rot="-5400000" vert="horz"/>
          <a:lstStyle/>
          <a:p>
            <a:pPr>
              <a:defRPr/>
            </a:pPr>
            <a:endParaRPr lang="ca-ES"/>
          </a:p>
        </c:txPr>
        <c:crossAx val="137369472"/>
        <c:crosses val="autoZero"/>
        <c:auto val="1"/>
        <c:lblAlgn val="ctr"/>
        <c:lblOffset val="100"/>
        <c:noMultiLvlLbl val="0"/>
      </c:catAx>
      <c:valAx>
        <c:axId val="137369472"/>
        <c:scaling>
          <c:orientation val="minMax"/>
        </c:scaling>
        <c:delete val="0"/>
        <c:axPos val="l"/>
        <c:majorGridlines/>
        <c:numFmt formatCode="#,##0" sourceLinked="1"/>
        <c:majorTickMark val="none"/>
        <c:minorTickMark val="none"/>
        <c:tickLblPos val="nextTo"/>
        <c:spPr>
          <a:ln w="9525">
            <a:noFill/>
          </a:ln>
        </c:spPr>
        <c:crossAx val="137367936"/>
        <c:crosses val="autoZero"/>
        <c:crossBetween val="between"/>
      </c:valAx>
    </c:plotArea>
    <c:legend>
      <c:legendPos val="b"/>
      <c:overlay val="0"/>
    </c:legend>
    <c:plotVisOnly val="1"/>
    <c:dispBlanksAs val="gap"/>
    <c:showDLblsOverMax val="0"/>
  </c:chart>
  <c:txPr>
    <a:bodyPr/>
    <a:lstStyle/>
    <a:p>
      <a:pPr>
        <a:defRPr sz="700"/>
      </a:pPr>
      <a:endParaRPr lang="ca-ES"/>
    </a:p>
  </c:txPr>
  <c:externalData r:id="rId1">
    <c:autoUpdate val="1"/>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ca-E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5.752241353415443E-2"/>
          <c:y val="4.8512385243206092E-2"/>
          <c:w val="0.91822139805585867"/>
          <c:h val="0.77165215428556544"/>
        </c:manualLayout>
      </c:layout>
      <c:barChart>
        <c:barDir val="col"/>
        <c:grouping val="clustered"/>
        <c:varyColors val="0"/>
        <c:ser>
          <c:idx val="0"/>
          <c:order val="0"/>
          <c:tx>
            <c:strRef>
              <c:f>'comparativa europa'!$A$8</c:f>
              <c:strCache>
                <c:ptCount val="1"/>
                <c:pt idx="0">
                  <c:v>2005</c:v>
                </c:pt>
              </c:strCache>
            </c:strRef>
          </c:tx>
          <c:invertIfNegative val="0"/>
          <c:dLbls>
            <c:txPr>
              <a:bodyPr rot="-5400000" vert="horz"/>
              <a:lstStyle/>
              <a:p>
                <a:pPr>
                  <a:defRPr/>
                </a:pPr>
                <a:endParaRPr lang="ca-ES"/>
              </a:p>
            </c:txPr>
            <c:dLblPos val="outEnd"/>
            <c:showLegendKey val="0"/>
            <c:showVal val="1"/>
            <c:showCatName val="0"/>
            <c:showSerName val="0"/>
            <c:showPercent val="0"/>
            <c:showBubbleSize val="0"/>
            <c:showLeaderLines val="0"/>
          </c:dLbls>
          <c:cat>
            <c:strRef>
              <c:f>'comparativa europa'!$B$7:$K$7</c:f>
              <c:strCache>
                <c:ptCount val="10"/>
                <c:pt idx="0">
                  <c:v>Dinamarca</c:v>
                </c:pt>
                <c:pt idx="1">
                  <c:v>Suècia</c:v>
                </c:pt>
                <c:pt idx="2">
                  <c:v>Alemanya</c:v>
                </c:pt>
                <c:pt idx="3">
                  <c:v>Holanda</c:v>
                </c:pt>
                <c:pt idx="4">
                  <c:v>França</c:v>
                </c:pt>
                <c:pt idx="5">
                  <c:v>Itàlia</c:v>
                </c:pt>
                <c:pt idx="6">
                  <c:v>Portugal</c:v>
                </c:pt>
                <c:pt idx="7">
                  <c:v>Catalunya</c:v>
                </c:pt>
                <c:pt idx="8">
                  <c:v>Espanya</c:v>
                </c:pt>
                <c:pt idx="9">
                  <c:v>Angl. i Gal·les</c:v>
                </c:pt>
              </c:strCache>
            </c:strRef>
          </c:cat>
          <c:val>
            <c:numRef>
              <c:f>'comparativa europa'!$B$8:$K$8</c:f>
              <c:numCache>
                <c:formatCode>General</c:formatCode>
                <c:ptCount val="10"/>
                <c:pt idx="0">
                  <c:v>71</c:v>
                </c:pt>
                <c:pt idx="1">
                  <c:v>78</c:v>
                </c:pt>
                <c:pt idx="2">
                  <c:v>94</c:v>
                </c:pt>
                <c:pt idx="3">
                  <c:v>124</c:v>
                </c:pt>
                <c:pt idx="4">
                  <c:v>91</c:v>
                </c:pt>
                <c:pt idx="5">
                  <c:v>96</c:v>
                </c:pt>
                <c:pt idx="6">
                  <c:v>125</c:v>
                </c:pt>
                <c:pt idx="7">
                  <c:v>120</c:v>
                </c:pt>
                <c:pt idx="8">
                  <c:v>142</c:v>
                </c:pt>
                <c:pt idx="9">
                  <c:v>143</c:v>
                </c:pt>
              </c:numCache>
            </c:numRef>
          </c:val>
        </c:ser>
        <c:ser>
          <c:idx val="1"/>
          <c:order val="1"/>
          <c:tx>
            <c:strRef>
              <c:f>'comparativa europa'!$A$9</c:f>
              <c:strCache>
                <c:ptCount val="1"/>
                <c:pt idx="0">
                  <c:v>2007</c:v>
                </c:pt>
              </c:strCache>
            </c:strRef>
          </c:tx>
          <c:invertIfNegative val="0"/>
          <c:dLbls>
            <c:txPr>
              <a:bodyPr rot="-5400000" vert="horz"/>
              <a:lstStyle/>
              <a:p>
                <a:pPr>
                  <a:defRPr/>
                </a:pPr>
                <a:endParaRPr lang="ca-ES"/>
              </a:p>
            </c:txPr>
            <c:dLblPos val="outEnd"/>
            <c:showLegendKey val="0"/>
            <c:showVal val="1"/>
            <c:showCatName val="0"/>
            <c:showSerName val="0"/>
            <c:showPercent val="0"/>
            <c:showBubbleSize val="0"/>
            <c:showLeaderLines val="0"/>
          </c:dLbls>
          <c:cat>
            <c:strRef>
              <c:f>'comparativa europa'!$B$7:$K$7</c:f>
              <c:strCache>
                <c:ptCount val="10"/>
                <c:pt idx="0">
                  <c:v>Dinamarca</c:v>
                </c:pt>
                <c:pt idx="1">
                  <c:v>Suècia</c:v>
                </c:pt>
                <c:pt idx="2">
                  <c:v>Alemanya</c:v>
                </c:pt>
                <c:pt idx="3">
                  <c:v>Holanda</c:v>
                </c:pt>
                <c:pt idx="4">
                  <c:v>França</c:v>
                </c:pt>
                <c:pt idx="5">
                  <c:v>Itàlia</c:v>
                </c:pt>
                <c:pt idx="6">
                  <c:v>Portugal</c:v>
                </c:pt>
                <c:pt idx="7">
                  <c:v>Catalunya</c:v>
                </c:pt>
                <c:pt idx="8">
                  <c:v>Espanya</c:v>
                </c:pt>
                <c:pt idx="9">
                  <c:v>Angl. i Gal·les</c:v>
                </c:pt>
              </c:strCache>
            </c:strRef>
          </c:cat>
          <c:val>
            <c:numRef>
              <c:f>'comparativa europa'!$B$9:$K$9</c:f>
              <c:numCache>
                <c:formatCode>#,##0</c:formatCode>
                <c:ptCount val="10"/>
                <c:pt idx="0">
                  <c:v>66</c:v>
                </c:pt>
                <c:pt idx="1">
                  <c:v>75</c:v>
                </c:pt>
                <c:pt idx="2">
                  <c:v>94</c:v>
                </c:pt>
                <c:pt idx="3">
                  <c:v>113</c:v>
                </c:pt>
                <c:pt idx="4">
                  <c:v>100</c:v>
                </c:pt>
                <c:pt idx="5">
                  <c:v>78</c:v>
                </c:pt>
                <c:pt idx="6">
                  <c:v>109</c:v>
                </c:pt>
                <c:pt idx="7">
                  <c:v>130</c:v>
                </c:pt>
                <c:pt idx="8">
                  <c:v>150</c:v>
                </c:pt>
                <c:pt idx="9">
                  <c:v>147</c:v>
                </c:pt>
              </c:numCache>
            </c:numRef>
          </c:val>
        </c:ser>
        <c:ser>
          <c:idx val="2"/>
          <c:order val="2"/>
          <c:tx>
            <c:strRef>
              <c:f>'comparativa europa'!$A$10</c:f>
              <c:strCache>
                <c:ptCount val="1"/>
                <c:pt idx="0">
                  <c:v>2009</c:v>
                </c:pt>
              </c:strCache>
            </c:strRef>
          </c:tx>
          <c:invertIfNegative val="0"/>
          <c:dLbls>
            <c:txPr>
              <a:bodyPr rot="-5400000" vert="horz"/>
              <a:lstStyle/>
              <a:p>
                <a:pPr>
                  <a:defRPr/>
                </a:pPr>
                <a:endParaRPr lang="ca-ES"/>
              </a:p>
            </c:txPr>
            <c:dLblPos val="outEnd"/>
            <c:showLegendKey val="0"/>
            <c:showVal val="1"/>
            <c:showCatName val="0"/>
            <c:showSerName val="0"/>
            <c:showPercent val="0"/>
            <c:showBubbleSize val="0"/>
            <c:showLeaderLines val="0"/>
          </c:dLbls>
          <c:cat>
            <c:strRef>
              <c:f>'comparativa europa'!$B$7:$K$7</c:f>
              <c:strCache>
                <c:ptCount val="10"/>
                <c:pt idx="0">
                  <c:v>Dinamarca</c:v>
                </c:pt>
                <c:pt idx="1">
                  <c:v>Suècia</c:v>
                </c:pt>
                <c:pt idx="2">
                  <c:v>Alemanya</c:v>
                </c:pt>
                <c:pt idx="3">
                  <c:v>Holanda</c:v>
                </c:pt>
                <c:pt idx="4">
                  <c:v>França</c:v>
                </c:pt>
                <c:pt idx="5">
                  <c:v>Itàlia</c:v>
                </c:pt>
                <c:pt idx="6">
                  <c:v>Portugal</c:v>
                </c:pt>
                <c:pt idx="7">
                  <c:v>Catalunya</c:v>
                </c:pt>
                <c:pt idx="8">
                  <c:v>Espanya</c:v>
                </c:pt>
                <c:pt idx="9">
                  <c:v>Angl. i Gal·les</c:v>
                </c:pt>
              </c:strCache>
            </c:strRef>
          </c:cat>
          <c:val>
            <c:numRef>
              <c:f>'comparativa europa'!$B$10:$K$10</c:f>
              <c:numCache>
                <c:formatCode>#,##0</c:formatCode>
                <c:ptCount val="10"/>
                <c:pt idx="0">
                  <c:v>67.5</c:v>
                </c:pt>
                <c:pt idx="1">
                  <c:v>77</c:v>
                </c:pt>
                <c:pt idx="2">
                  <c:v>89</c:v>
                </c:pt>
                <c:pt idx="3">
                  <c:v>99</c:v>
                </c:pt>
                <c:pt idx="4">
                  <c:v>103</c:v>
                </c:pt>
                <c:pt idx="5">
                  <c:v>107</c:v>
                </c:pt>
                <c:pt idx="6">
                  <c:v>104</c:v>
                </c:pt>
                <c:pt idx="7">
                  <c:v>138</c:v>
                </c:pt>
                <c:pt idx="8">
                  <c:v>173</c:v>
                </c:pt>
                <c:pt idx="9">
                  <c:v>152</c:v>
                </c:pt>
              </c:numCache>
            </c:numRef>
          </c:val>
        </c:ser>
        <c:ser>
          <c:idx val="3"/>
          <c:order val="3"/>
          <c:tx>
            <c:strRef>
              <c:f>'comparativa europa'!$A$11</c:f>
              <c:strCache>
                <c:ptCount val="1"/>
                <c:pt idx="0">
                  <c:v>2011</c:v>
                </c:pt>
              </c:strCache>
            </c:strRef>
          </c:tx>
          <c:invertIfNegative val="0"/>
          <c:dLbls>
            <c:txPr>
              <a:bodyPr rot="-5400000" vert="horz"/>
              <a:lstStyle/>
              <a:p>
                <a:pPr>
                  <a:defRPr/>
                </a:pPr>
                <a:endParaRPr lang="ca-ES"/>
              </a:p>
            </c:txPr>
            <c:dLblPos val="outEnd"/>
            <c:showLegendKey val="0"/>
            <c:showVal val="1"/>
            <c:showCatName val="0"/>
            <c:showSerName val="0"/>
            <c:showPercent val="0"/>
            <c:showBubbleSize val="0"/>
            <c:showLeaderLines val="0"/>
          </c:dLbls>
          <c:cat>
            <c:strRef>
              <c:f>'comparativa europa'!$B$7:$K$7</c:f>
              <c:strCache>
                <c:ptCount val="10"/>
                <c:pt idx="0">
                  <c:v>Dinamarca</c:v>
                </c:pt>
                <c:pt idx="1">
                  <c:v>Suècia</c:v>
                </c:pt>
                <c:pt idx="2">
                  <c:v>Alemanya</c:v>
                </c:pt>
                <c:pt idx="3">
                  <c:v>Holanda</c:v>
                </c:pt>
                <c:pt idx="4">
                  <c:v>França</c:v>
                </c:pt>
                <c:pt idx="5">
                  <c:v>Itàlia</c:v>
                </c:pt>
                <c:pt idx="6">
                  <c:v>Portugal</c:v>
                </c:pt>
                <c:pt idx="7">
                  <c:v>Catalunya</c:v>
                </c:pt>
                <c:pt idx="8">
                  <c:v>Espanya</c:v>
                </c:pt>
                <c:pt idx="9">
                  <c:v>Angl. i Gal·les</c:v>
                </c:pt>
              </c:strCache>
            </c:strRef>
          </c:cat>
          <c:val>
            <c:numRef>
              <c:f>'comparativa europa'!$B$11:$K$11</c:f>
              <c:numCache>
                <c:formatCode>#,##0</c:formatCode>
                <c:ptCount val="10"/>
                <c:pt idx="0">
                  <c:v>74</c:v>
                </c:pt>
                <c:pt idx="1">
                  <c:v>78</c:v>
                </c:pt>
                <c:pt idx="2">
                  <c:v>86</c:v>
                </c:pt>
                <c:pt idx="3">
                  <c:v>69</c:v>
                </c:pt>
                <c:pt idx="4">
                  <c:v>102</c:v>
                </c:pt>
                <c:pt idx="5">
                  <c:v>111</c:v>
                </c:pt>
                <c:pt idx="6">
                  <c:v>119</c:v>
                </c:pt>
                <c:pt idx="7">
                  <c:v>140</c:v>
                </c:pt>
                <c:pt idx="8">
                  <c:v>152</c:v>
                </c:pt>
                <c:pt idx="9">
                  <c:v>154</c:v>
                </c:pt>
              </c:numCache>
            </c:numRef>
          </c:val>
        </c:ser>
        <c:ser>
          <c:idx val="4"/>
          <c:order val="4"/>
          <c:tx>
            <c:strRef>
              <c:f>'comparativa europa'!$A$12</c:f>
              <c:strCache>
                <c:ptCount val="1"/>
                <c:pt idx="0">
                  <c:v>2013</c:v>
                </c:pt>
              </c:strCache>
            </c:strRef>
          </c:tx>
          <c:invertIfNegative val="0"/>
          <c:dLbls>
            <c:txPr>
              <a:bodyPr rot="-5400000" vert="horz"/>
              <a:lstStyle/>
              <a:p>
                <a:pPr>
                  <a:defRPr/>
                </a:pPr>
                <a:endParaRPr lang="ca-ES"/>
              </a:p>
            </c:txPr>
            <c:dLblPos val="outEnd"/>
            <c:showLegendKey val="0"/>
            <c:showVal val="1"/>
            <c:showCatName val="0"/>
            <c:showSerName val="0"/>
            <c:showPercent val="0"/>
            <c:showBubbleSize val="0"/>
            <c:showLeaderLines val="0"/>
          </c:dLbls>
          <c:cat>
            <c:strRef>
              <c:f>'comparativa europa'!$B$7:$K$7</c:f>
              <c:strCache>
                <c:ptCount val="10"/>
                <c:pt idx="0">
                  <c:v>Dinamarca</c:v>
                </c:pt>
                <c:pt idx="1">
                  <c:v>Suècia</c:v>
                </c:pt>
                <c:pt idx="2">
                  <c:v>Alemanya</c:v>
                </c:pt>
                <c:pt idx="3">
                  <c:v>Holanda</c:v>
                </c:pt>
                <c:pt idx="4">
                  <c:v>França</c:v>
                </c:pt>
                <c:pt idx="5">
                  <c:v>Itàlia</c:v>
                </c:pt>
                <c:pt idx="6">
                  <c:v>Portugal</c:v>
                </c:pt>
                <c:pt idx="7">
                  <c:v>Catalunya</c:v>
                </c:pt>
                <c:pt idx="8">
                  <c:v>Espanya</c:v>
                </c:pt>
                <c:pt idx="9">
                  <c:v>Angl. i Gal·les</c:v>
                </c:pt>
              </c:strCache>
            </c:strRef>
          </c:cat>
          <c:val>
            <c:numRef>
              <c:f>'comparativa europa'!$B$12:$K$12</c:f>
              <c:numCache>
                <c:formatCode>General</c:formatCode>
                <c:ptCount val="10"/>
                <c:pt idx="0">
                  <c:v>73</c:v>
                </c:pt>
                <c:pt idx="1">
                  <c:v>67</c:v>
                </c:pt>
                <c:pt idx="2">
                  <c:v>77</c:v>
                </c:pt>
                <c:pt idx="3">
                  <c:v>82</c:v>
                </c:pt>
                <c:pt idx="4">
                  <c:v>100</c:v>
                </c:pt>
                <c:pt idx="5">
                  <c:v>105</c:v>
                </c:pt>
                <c:pt idx="6">
                  <c:v>137</c:v>
                </c:pt>
                <c:pt idx="7">
                  <c:v>130</c:v>
                </c:pt>
                <c:pt idx="8">
                  <c:v>144</c:v>
                </c:pt>
                <c:pt idx="9">
                  <c:v>148</c:v>
                </c:pt>
              </c:numCache>
            </c:numRef>
          </c:val>
        </c:ser>
        <c:ser>
          <c:idx val="5"/>
          <c:order val="5"/>
          <c:tx>
            <c:strRef>
              <c:f>'comparativa europa'!$A$13</c:f>
              <c:strCache>
                <c:ptCount val="1"/>
                <c:pt idx="0">
                  <c:v>2015</c:v>
                </c:pt>
              </c:strCache>
            </c:strRef>
          </c:tx>
          <c:invertIfNegative val="0"/>
          <c:dLbls>
            <c:txPr>
              <a:bodyPr rot="-5400000" vert="horz"/>
              <a:lstStyle/>
              <a:p>
                <a:pPr>
                  <a:defRPr/>
                </a:pPr>
                <a:endParaRPr lang="ca-ES"/>
              </a:p>
            </c:txPr>
            <c:dLblPos val="outEnd"/>
            <c:showLegendKey val="0"/>
            <c:showVal val="1"/>
            <c:showCatName val="0"/>
            <c:showSerName val="0"/>
            <c:showPercent val="0"/>
            <c:showBubbleSize val="0"/>
            <c:showLeaderLines val="0"/>
          </c:dLbls>
          <c:cat>
            <c:strRef>
              <c:f>'comparativa europa'!$B$7:$K$7</c:f>
              <c:strCache>
                <c:ptCount val="10"/>
                <c:pt idx="0">
                  <c:v>Dinamarca</c:v>
                </c:pt>
                <c:pt idx="1">
                  <c:v>Suècia</c:v>
                </c:pt>
                <c:pt idx="2">
                  <c:v>Alemanya</c:v>
                </c:pt>
                <c:pt idx="3">
                  <c:v>Holanda</c:v>
                </c:pt>
                <c:pt idx="4">
                  <c:v>França</c:v>
                </c:pt>
                <c:pt idx="5">
                  <c:v>Itàlia</c:v>
                </c:pt>
                <c:pt idx="6">
                  <c:v>Portugal</c:v>
                </c:pt>
                <c:pt idx="7">
                  <c:v>Catalunya</c:v>
                </c:pt>
                <c:pt idx="8">
                  <c:v>Espanya</c:v>
                </c:pt>
                <c:pt idx="9">
                  <c:v>Angl. i Gal·les</c:v>
                </c:pt>
              </c:strCache>
            </c:strRef>
          </c:cat>
          <c:val>
            <c:numRef>
              <c:f>'comparativa europa'!$B$13:$K$13</c:f>
              <c:numCache>
                <c:formatCode>General</c:formatCode>
                <c:ptCount val="10"/>
                <c:pt idx="0">
                  <c:v>61</c:v>
                </c:pt>
                <c:pt idx="1">
                  <c:v>55</c:v>
                </c:pt>
                <c:pt idx="2">
                  <c:v>76</c:v>
                </c:pt>
                <c:pt idx="3">
                  <c:v>69</c:v>
                </c:pt>
                <c:pt idx="4">
                  <c:v>100</c:v>
                </c:pt>
                <c:pt idx="5">
                  <c:v>87</c:v>
                </c:pt>
                <c:pt idx="6">
                  <c:v>138</c:v>
                </c:pt>
                <c:pt idx="7">
                  <c:v>117</c:v>
                </c:pt>
                <c:pt idx="8">
                  <c:v>135</c:v>
                </c:pt>
                <c:pt idx="9">
                  <c:v>148</c:v>
                </c:pt>
              </c:numCache>
            </c:numRef>
          </c:val>
        </c:ser>
        <c:dLbls>
          <c:dLblPos val="outEnd"/>
          <c:showLegendKey val="0"/>
          <c:showVal val="1"/>
          <c:showCatName val="0"/>
          <c:showSerName val="0"/>
          <c:showPercent val="0"/>
          <c:showBubbleSize val="0"/>
        </c:dLbls>
        <c:gapWidth val="75"/>
        <c:overlap val="-25"/>
        <c:axId val="47210496"/>
        <c:axId val="47212032"/>
      </c:barChart>
      <c:catAx>
        <c:axId val="47210496"/>
        <c:scaling>
          <c:orientation val="minMax"/>
        </c:scaling>
        <c:delete val="0"/>
        <c:axPos val="b"/>
        <c:majorTickMark val="none"/>
        <c:minorTickMark val="none"/>
        <c:tickLblPos val="nextTo"/>
        <c:crossAx val="47212032"/>
        <c:crosses val="autoZero"/>
        <c:auto val="1"/>
        <c:lblAlgn val="ctr"/>
        <c:lblOffset val="100"/>
        <c:noMultiLvlLbl val="0"/>
      </c:catAx>
      <c:valAx>
        <c:axId val="47212032"/>
        <c:scaling>
          <c:orientation val="minMax"/>
        </c:scaling>
        <c:delete val="0"/>
        <c:axPos val="l"/>
        <c:majorGridlines/>
        <c:numFmt formatCode="General" sourceLinked="1"/>
        <c:majorTickMark val="none"/>
        <c:minorTickMark val="none"/>
        <c:tickLblPos val="nextTo"/>
        <c:spPr>
          <a:ln w="9525">
            <a:noFill/>
          </a:ln>
        </c:spPr>
        <c:crossAx val="47210496"/>
        <c:crosses val="autoZero"/>
        <c:crossBetween val="between"/>
      </c:valAx>
    </c:plotArea>
    <c:legend>
      <c:legendPos val="b"/>
      <c:layout>
        <c:manualLayout>
          <c:xMode val="edge"/>
          <c:yMode val="edge"/>
          <c:x val="0.19342113830454968"/>
          <c:y val="0.90444240795061392"/>
          <c:w val="0.55802151456196047"/>
          <c:h val="6.9096291007637312E-2"/>
        </c:manualLayout>
      </c:layout>
      <c:overlay val="0"/>
    </c:legend>
    <c:plotVisOnly val="1"/>
    <c:dispBlanksAs val="gap"/>
    <c:showDLblsOverMax val="0"/>
  </c:chart>
  <c:txPr>
    <a:bodyPr/>
    <a:lstStyle/>
    <a:p>
      <a:pPr>
        <a:defRPr sz="700"/>
      </a:pPr>
      <a:endParaRPr lang="ca-ES"/>
    </a:p>
  </c:txPr>
  <c:externalData r:id="rId1">
    <c:autoUpdate val="1"/>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ca-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LC!$B$9</c:f>
              <c:strCache>
                <c:ptCount val="1"/>
                <c:pt idx="0">
                  <c:v>Població encarcerada</c:v>
                </c:pt>
              </c:strCache>
            </c:strRef>
          </c:tx>
          <c:marker>
            <c:symbol val="none"/>
          </c:marker>
          <c:dLbls>
            <c:dLbl>
              <c:idx val="10"/>
              <c:layout>
                <c:manualLayout>
                  <c:x val="-3.7629763800022462E-2"/>
                  <c:y val="-3.4226403129916094E-2"/>
                </c:manualLayout>
              </c:layout>
              <c:dLblPos val="r"/>
              <c:showLegendKey val="0"/>
              <c:showVal val="1"/>
              <c:showCatName val="0"/>
              <c:showSerName val="0"/>
              <c:showPercent val="0"/>
              <c:showBubbleSize val="0"/>
            </c:dLbl>
            <c:dLbl>
              <c:idx val="11"/>
              <c:layout>
                <c:manualLayout>
                  <c:x val="-3.9893889179085186E-2"/>
                  <c:y val="-3.4226403129916094E-2"/>
                </c:manualLayout>
              </c:layout>
              <c:dLblPos val="r"/>
              <c:showLegendKey val="0"/>
              <c:showVal val="1"/>
              <c:showCatName val="0"/>
              <c:showSerName val="0"/>
              <c:showPercent val="0"/>
              <c:showBubbleSize val="0"/>
            </c:dLbl>
            <c:dLblPos val="t"/>
            <c:showLegendKey val="0"/>
            <c:showVal val="1"/>
            <c:showCatName val="0"/>
            <c:showSerName val="0"/>
            <c:showPercent val="0"/>
            <c:showBubbleSize val="0"/>
            <c:showLeaderLines val="0"/>
          </c:dLbls>
          <c:cat>
            <c:numRef>
              <c:f>LC!$A$12:$A$23</c:f>
              <c:numCache>
                <c:formatCode>General</c:formatCode>
                <c:ptCount val="12"/>
                <c:pt idx="0">
                  <c:v>2004</c:v>
                </c:pt>
                <c:pt idx="1">
                  <c:v>2005</c:v>
                </c:pt>
                <c:pt idx="2">
                  <c:v>2006</c:v>
                </c:pt>
                <c:pt idx="3">
                  <c:v>2007</c:v>
                </c:pt>
                <c:pt idx="4">
                  <c:v>2008</c:v>
                </c:pt>
                <c:pt idx="5">
                  <c:v>2009</c:v>
                </c:pt>
                <c:pt idx="6">
                  <c:v>2010</c:v>
                </c:pt>
                <c:pt idx="7">
                  <c:v>2011</c:v>
                </c:pt>
                <c:pt idx="8">
                  <c:v>2012</c:v>
                </c:pt>
                <c:pt idx="9">
                  <c:v>2013</c:v>
                </c:pt>
                <c:pt idx="10">
                  <c:v>2014</c:v>
                </c:pt>
                <c:pt idx="11">
                  <c:v>2015</c:v>
                </c:pt>
              </c:numCache>
            </c:numRef>
          </c:cat>
          <c:val>
            <c:numRef>
              <c:f>LC!$B$12:$B$23</c:f>
              <c:numCache>
                <c:formatCode>#,##0</c:formatCode>
                <c:ptCount val="12"/>
                <c:pt idx="0">
                  <c:v>8094</c:v>
                </c:pt>
                <c:pt idx="1">
                  <c:v>8305</c:v>
                </c:pt>
                <c:pt idx="2">
                  <c:v>8970</c:v>
                </c:pt>
                <c:pt idx="3">
                  <c:v>9395</c:v>
                </c:pt>
                <c:pt idx="4">
                  <c:v>10051</c:v>
                </c:pt>
                <c:pt idx="5">
                  <c:v>10525</c:v>
                </c:pt>
                <c:pt idx="6">
                  <c:v>10520</c:v>
                </c:pt>
                <c:pt idx="7">
                  <c:v>10513</c:v>
                </c:pt>
                <c:pt idx="8">
                  <c:v>10062</c:v>
                </c:pt>
                <c:pt idx="9">
                  <c:v>9818</c:v>
                </c:pt>
                <c:pt idx="10">
                  <c:v>9294</c:v>
                </c:pt>
                <c:pt idx="11">
                  <c:v>8810</c:v>
                </c:pt>
              </c:numCache>
            </c:numRef>
          </c:val>
          <c:smooth val="0"/>
        </c:ser>
        <c:dLbls>
          <c:dLblPos val="b"/>
          <c:showLegendKey val="0"/>
          <c:showVal val="1"/>
          <c:showCatName val="0"/>
          <c:showSerName val="0"/>
          <c:showPercent val="0"/>
          <c:showBubbleSize val="0"/>
        </c:dLbls>
        <c:marker val="1"/>
        <c:smooth val="0"/>
        <c:axId val="47221760"/>
        <c:axId val="47228800"/>
      </c:lineChart>
      <c:lineChart>
        <c:grouping val="standard"/>
        <c:varyColors val="0"/>
        <c:ser>
          <c:idx val="2"/>
          <c:order val="1"/>
          <c:tx>
            <c:strRef>
              <c:f>LC!$D$9</c:f>
              <c:strCache>
                <c:ptCount val="1"/>
                <c:pt idx="0">
                  <c:v>Llibertas condicionals concedides</c:v>
                </c:pt>
              </c:strCache>
            </c:strRef>
          </c:tx>
          <c:marker>
            <c:symbol val="none"/>
          </c:marker>
          <c:dLbls>
            <c:dLbl>
              <c:idx val="10"/>
              <c:layout>
                <c:manualLayout>
                  <c:x val="-3.7629763800022462E-2"/>
                  <c:y val="-3.8984992119080013E-2"/>
                </c:manualLayout>
              </c:layout>
              <c:dLblPos val="r"/>
              <c:showLegendKey val="0"/>
              <c:showVal val="1"/>
              <c:showCatName val="0"/>
              <c:showSerName val="0"/>
              <c:showPercent val="0"/>
              <c:showBubbleSize val="0"/>
            </c:dLbl>
            <c:dLbl>
              <c:idx val="11"/>
              <c:layout>
                <c:manualLayout>
                  <c:x val="-3.7629763800022462E-2"/>
                  <c:y val="-4.2838223447974548E-2"/>
                </c:manualLayout>
              </c:layout>
              <c:dLblPos val="r"/>
              <c:showLegendKey val="0"/>
              <c:showVal val="1"/>
              <c:showCatName val="0"/>
              <c:showSerName val="0"/>
              <c:showPercent val="0"/>
              <c:showBubbleSize val="0"/>
            </c:dLbl>
            <c:dLblPos val="b"/>
            <c:showLegendKey val="0"/>
            <c:showVal val="1"/>
            <c:showCatName val="0"/>
            <c:showSerName val="0"/>
            <c:showPercent val="0"/>
            <c:showBubbleSize val="0"/>
            <c:showLeaderLines val="0"/>
          </c:dLbls>
          <c:cat>
            <c:numRef>
              <c:f>LC!$A$12:$A$23</c:f>
              <c:numCache>
                <c:formatCode>General</c:formatCode>
                <c:ptCount val="12"/>
                <c:pt idx="0">
                  <c:v>2004</c:v>
                </c:pt>
                <c:pt idx="1">
                  <c:v>2005</c:v>
                </c:pt>
                <c:pt idx="2">
                  <c:v>2006</c:v>
                </c:pt>
                <c:pt idx="3">
                  <c:v>2007</c:v>
                </c:pt>
                <c:pt idx="4">
                  <c:v>2008</c:v>
                </c:pt>
                <c:pt idx="5">
                  <c:v>2009</c:v>
                </c:pt>
                <c:pt idx="6">
                  <c:v>2010</c:v>
                </c:pt>
                <c:pt idx="7">
                  <c:v>2011</c:v>
                </c:pt>
                <c:pt idx="8">
                  <c:v>2012</c:v>
                </c:pt>
                <c:pt idx="9">
                  <c:v>2013</c:v>
                </c:pt>
                <c:pt idx="10">
                  <c:v>2014</c:v>
                </c:pt>
                <c:pt idx="11">
                  <c:v>2015</c:v>
                </c:pt>
              </c:numCache>
            </c:numRef>
          </c:cat>
          <c:val>
            <c:numRef>
              <c:f>LC!$D$12:$D$23</c:f>
              <c:numCache>
                <c:formatCode>#,##0</c:formatCode>
                <c:ptCount val="12"/>
                <c:pt idx="0">
                  <c:v>542</c:v>
                </c:pt>
                <c:pt idx="1">
                  <c:v>577</c:v>
                </c:pt>
                <c:pt idx="2">
                  <c:v>574</c:v>
                </c:pt>
                <c:pt idx="3">
                  <c:v>648</c:v>
                </c:pt>
                <c:pt idx="4">
                  <c:v>590</c:v>
                </c:pt>
                <c:pt idx="5">
                  <c:v>587</c:v>
                </c:pt>
                <c:pt idx="6">
                  <c:v>731</c:v>
                </c:pt>
                <c:pt idx="7">
                  <c:v>794</c:v>
                </c:pt>
                <c:pt idx="8">
                  <c:v>1020</c:v>
                </c:pt>
                <c:pt idx="9">
                  <c:v>1205</c:v>
                </c:pt>
                <c:pt idx="10">
                  <c:v>1222</c:v>
                </c:pt>
                <c:pt idx="11">
                  <c:v>1147</c:v>
                </c:pt>
              </c:numCache>
            </c:numRef>
          </c:val>
          <c:smooth val="0"/>
        </c:ser>
        <c:dLbls>
          <c:dLblPos val="b"/>
          <c:showLegendKey val="0"/>
          <c:showVal val="1"/>
          <c:showCatName val="0"/>
          <c:showSerName val="0"/>
          <c:showPercent val="0"/>
          <c:showBubbleSize val="0"/>
        </c:dLbls>
        <c:marker val="1"/>
        <c:smooth val="0"/>
        <c:axId val="137102464"/>
        <c:axId val="47230336"/>
      </c:lineChart>
      <c:catAx>
        <c:axId val="47221760"/>
        <c:scaling>
          <c:orientation val="minMax"/>
        </c:scaling>
        <c:delete val="0"/>
        <c:axPos val="b"/>
        <c:numFmt formatCode="General" sourceLinked="1"/>
        <c:majorTickMark val="none"/>
        <c:minorTickMark val="none"/>
        <c:tickLblPos val="nextTo"/>
        <c:crossAx val="47228800"/>
        <c:crosses val="autoZero"/>
        <c:auto val="1"/>
        <c:lblAlgn val="ctr"/>
        <c:lblOffset val="100"/>
        <c:noMultiLvlLbl val="0"/>
      </c:catAx>
      <c:valAx>
        <c:axId val="47228800"/>
        <c:scaling>
          <c:orientation val="minMax"/>
        </c:scaling>
        <c:delete val="0"/>
        <c:axPos val="l"/>
        <c:majorGridlines/>
        <c:numFmt formatCode="#,##0" sourceLinked="1"/>
        <c:majorTickMark val="none"/>
        <c:minorTickMark val="none"/>
        <c:tickLblPos val="nextTo"/>
        <c:spPr>
          <a:ln w="9525">
            <a:noFill/>
          </a:ln>
        </c:spPr>
        <c:crossAx val="47221760"/>
        <c:crosses val="autoZero"/>
        <c:crossBetween val="between"/>
      </c:valAx>
      <c:valAx>
        <c:axId val="47230336"/>
        <c:scaling>
          <c:orientation val="minMax"/>
        </c:scaling>
        <c:delete val="0"/>
        <c:axPos val="r"/>
        <c:numFmt formatCode="#,##0" sourceLinked="1"/>
        <c:majorTickMark val="out"/>
        <c:minorTickMark val="none"/>
        <c:tickLblPos val="nextTo"/>
        <c:crossAx val="137102464"/>
        <c:crosses val="max"/>
        <c:crossBetween val="between"/>
      </c:valAx>
      <c:catAx>
        <c:axId val="137102464"/>
        <c:scaling>
          <c:orientation val="minMax"/>
        </c:scaling>
        <c:delete val="1"/>
        <c:axPos val="b"/>
        <c:numFmt formatCode="General" sourceLinked="1"/>
        <c:majorTickMark val="out"/>
        <c:minorTickMark val="none"/>
        <c:tickLblPos val="nextTo"/>
        <c:crossAx val="47230336"/>
        <c:crosses val="autoZero"/>
        <c:auto val="1"/>
        <c:lblAlgn val="ctr"/>
        <c:lblOffset val="100"/>
        <c:noMultiLvlLbl val="0"/>
      </c:catAx>
    </c:plotArea>
    <c:legend>
      <c:legendPos val="b"/>
      <c:overlay val="0"/>
    </c:legend>
    <c:plotVisOnly val="1"/>
    <c:dispBlanksAs val="gap"/>
    <c:showDLblsOverMax val="0"/>
  </c:chart>
  <c:txPr>
    <a:bodyPr/>
    <a:lstStyle/>
    <a:p>
      <a:pPr>
        <a:defRPr sz="800"/>
      </a:pPr>
      <a:endParaRPr lang="ca-ES"/>
    </a:p>
  </c:txPr>
  <c:externalData r:id="rId1">
    <c:autoUpdate val="1"/>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ca-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ca-ES" sz="1200"/>
              <a:t>Evolució de la taxa de reincidència penitenciària (1992-2014)</a:t>
            </a:r>
          </a:p>
        </c:rich>
      </c:tx>
      <c:overlay val="0"/>
    </c:title>
    <c:autoTitleDeleted val="0"/>
    <c:plotArea>
      <c:layout/>
      <c:lineChart>
        <c:grouping val="standard"/>
        <c:varyColors val="0"/>
        <c:ser>
          <c:idx val="0"/>
          <c:order val="0"/>
          <c:tx>
            <c:strRef>
              <c:f>reincidència!$D$1</c:f>
              <c:strCache>
                <c:ptCount val="1"/>
                <c:pt idx="0">
                  <c:v>Taxa de reincidència penitenciària</c:v>
                </c:pt>
              </c:strCache>
            </c:strRef>
          </c:tx>
          <c:marker>
            <c:symbol val="none"/>
          </c:marker>
          <c:dLbls>
            <c:dLblPos val="t"/>
            <c:showLegendKey val="0"/>
            <c:showVal val="1"/>
            <c:showCatName val="0"/>
            <c:showSerName val="0"/>
            <c:showPercent val="0"/>
            <c:showBubbleSize val="0"/>
            <c:showLeaderLines val="0"/>
          </c:dLbls>
          <c:cat>
            <c:numRef>
              <c:f>reincidència!$C$2:$C$5</c:f>
              <c:numCache>
                <c:formatCode>General</c:formatCode>
                <c:ptCount val="4"/>
                <c:pt idx="0">
                  <c:v>1992</c:v>
                </c:pt>
                <c:pt idx="1">
                  <c:v>2002</c:v>
                </c:pt>
                <c:pt idx="2">
                  <c:v>2008</c:v>
                </c:pt>
                <c:pt idx="3">
                  <c:v>2014</c:v>
                </c:pt>
              </c:numCache>
            </c:numRef>
          </c:cat>
          <c:val>
            <c:numRef>
              <c:f>reincidència!$D$2:$D$5</c:f>
              <c:numCache>
                <c:formatCode>0.0%</c:formatCode>
                <c:ptCount val="4"/>
                <c:pt idx="0">
                  <c:v>0.379</c:v>
                </c:pt>
                <c:pt idx="1">
                  <c:v>0.374</c:v>
                </c:pt>
                <c:pt idx="2">
                  <c:v>0.40300000000000002</c:v>
                </c:pt>
                <c:pt idx="3">
                  <c:v>0.30199999999999999</c:v>
                </c:pt>
              </c:numCache>
            </c:numRef>
          </c:val>
          <c:smooth val="0"/>
        </c:ser>
        <c:dLbls>
          <c:showLegendKey val="0"/>
          <c:showVal val="0"/>
          <c:showCatName val="0"/>
          <c:showSerName val="0"/>
          <c:showPercent val="0"/>
          <c:showBubbleSize val="0"/>
        </c:dLbls>
        <c:marker val="1"/>
        <c:smooth val="0"/>
        <c:axId val="137122944"/>
        <c:axId val="137124480"/>
      </c:lineChart>
      <c:catAx>
        <c:axId val="137122944"/>
        <c:scaling>
          <c:orientation val="minMax"/>
        </c:scaling>
        <c:delete val="0"/>
        <c:axPos val="b"/>
        <c:numFmt formatCode="General" sourceLinked="1"/>
        <c:majorTickMark val="none"/>
        <c:minorTickMark val="none"/>
        <c:tickLblPos val="nextTo"/>
        <c:crossAx val="137124480"/>
        <c:crosses val="autoZero"/>
        <c:auto val="1"/>
        <c:lblAlgn val="ctr"/>
        <c:lblOffset val="100"/>
        <c:noMultiLvlLbl val="0"/>
      </c:catAx>
      <c:valAx>
        <c:axId val="137124480"/>
        <c:scaling>
          <c:orientation val="minMax"/>
        </c:scaling>
        <c:delete val="0"/>
        <c:axPos val="l"/>
        <c:majorGridlines/>
        <c:numFmt formatCode="0.0%" sourceLinked="1"/>
        <c:majorTickMark val="none"/>
        <c:minorTickMark val="none"/>
        <c:tickLblPos val="nextTo"/>
        <c:spPr>
          <a:ln w="9525">
            <a:noFill/>
          </a:ln>
        </c:spPr>
        <c:crossAx val="137122944"/>
        <c:crosses val="autoZero"/>
        <c:crossBetween val="between"/>
      </c:valAx>
    </c:plotArea>
    <c:plotVisOnly val="1"/>
    <c:dispBlanksAs val="gap"/>
    <c:showDLblsOverMax val="0"/>
  </c:chart>
  <c:txPr>
    <a:bodyPr/>
    <a:lstStyle/>
    <a:p>
      <a:pPr>
        <a:defRPr sz="800"/>
      </a:pPr>
      <a:endParaRPr lang="ca-ES"/>
    </a:p>
  </c:txPr>
  <c:externalData r:id="rId1">
    <c:autoUpdate val="1"/>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ca-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ca-ES"/>
              <a:t>Predicció de la població encarcerada i comparació amb la realitat (2004-2010)</a:t>
            </a:r>
          </a:p>
        </c:rich>
      </c:tx>
      <c:overlay val="0"/>
    </c:title>
    <c:autoTitleDeleted val="0"/>
    <c:plotArea>
      <c:layout/>
      <c:lineChart>
        <c:grouping val="standard"/>
        <c:varyColors val="0"/>
        <c:ser>
          <c:idx val="0"/>
          <c:order val="0"/>
          <c:tx>
            <c:strRef>
              <c:f>Predicció!$B$1</c:f>
              <c:strCache>
                <c:ptCount val="1"/>
                <c:pt idx="0">
                  <c:v>Dades reals població penitenciària</c:v>
                </c:pt>
              </c:strCache>
            </c:strRef>
          </c:tx>
          <c:marker>
            <c:symbol val="none"/>
          </c:marker>
          <c:cat>
            <c:strRef>
              <c:f>Predicció!$A$2:$A$121</c:f>
              <c:strCache>
                <c:ptCount val="120"/>
                <c:pt idx="0">
                  <c:v>31.01.2001</c:v>
                </c:pt>
                <c:pt idx="1">
                  <c:v>28.02.2001</c:v>
                </c:pt>
                <c:pt idx="2">
                  <c:v>31.03.2001</c:v>
                </c:pt>
                <c:pt idx="3">
                  <c:v>30.04.2001</c:v>
                </c:pt>
                <c:pt idx="4">
                  <c:v>31.05.2001</c:v>
                </c:pt>
                <c:pt idx="5">
                  <c:v>30.06.2001</c:v>
                </c:pt>
                <c:pt idx="6">
                  <c:v>31.07.2001</c:v>
                </c:pt>
                <c:pt idx="7">
                  <c:v>31.08.2001</c:v>
                </c:pt>
                <c:pt idx="8">
                  <c:v>30.09.2001</c:v>
                </c:pt>
                <c:pt idx="9">
                  <c:v>31.10.2001</c:v>
                </c:pt>
                <c:pt idx="10">
                  <c:v>30.11.2001</c:v>
                </c:pt>
                <c:pt idx="11">
                  <c:v>31.12.2001</c:v>
                </c:pt>
                <c:pt idx="12">
                  <c:v>31.01.2002</c:v>
                </c:pt>
                <c:pt idx="13">
                  <c:v>28.02.2002</c:v>
                </c:pt>
                <c:pt idx="14">
                  <c:v>31.03.2002</c:v>
                </c:pt>
                <c:pt idx="15">
                  <c:v>30.04.2002</c:v>
                </c:pt>
                <c:pt idx="16">
                  <c:v>31.05.2002</c:v>
                </c:pt>
                <c:pt idx="17">
                  <c:v>30.06.2002</c:v>
                </c:pt>
                <c:pt idx="18">
                  <c:v>31.07.2002</c:v>
                </c:pt>
                <c:pt idx="19">
                  <c:v>31.08.2002</c:v>
                </c:pt>
                <c:pt idx="20">
                  <c:v>30.09.2002</c:v>
                </c:pt>
                <c:pt idx="21">
                  <c:v>31.10.2002</c:v>
                </c:pt>
                <c:pt idx="22">
                  <c:v>30.11.2002</c:v>
                </c:pt>
                <c:pt idx="23">
                  <c:v>31.12.2002</c:v>
                </c:pt>
                <c:pt idx="24">
                  <c:v>31.01.2003</c:v>
                </c:pt>
                <c:pt idx="25">
                  <c:v>28.02.2003</c:v>
                </c:pt>
                <c:pt idx="26">
                  <c:v>31.03.2003</c:v>
                </c:pt>
                <c:pt idx="27">
                  <c:v>30.04.2003</c:v>
                </c:pt>
                <c:pt idx="28">
                  <c:v>31.05.2003</c:v>
                </c:pt>
                <c:pt idx="29">
                  <c:v>30.06.2003</c:v>
                </c:pt>
                <c:pt idx="30">
                  <c:v>31.07.2003</c:v>
                </c:pt>
                <c:pt idx="31">
                  <c:v>31.08.2003</c:v>
                </c:pt>
                <c:pt idx="32">
                  <c:v>30.09.2003</c:v>
                </c:pt>
                <c:pt idx="33">
                  <c:v>31.10.2003</c:v>
                </c:pt>
                <c:pt idx="34">
                  <c:v>30.11.2003</c:v>
                </c:pt>
                <c:pt idx="35">
                  <c:v>31.12.2003</c:v>
                </c:pt>
                <c:pt idx="36">
                  <c:v>31.01.2004</c:v>
                </c:pt>
                <c:pt idx="37">
                  <c:v>28.02.2004</c:v>
                </c:pt>
                <c:pt idx="38">
                  <c:v>31.03.2004</c:v>
                </c:pt>
                <c:pt idx="39">
                  <c:v>30.04.2004</c:v>
                </c:pt>
                <c:pt idx="40">
                  <c:v>31.05.2004</c:v>
                </c:pt>
                <c:pt idx="41">
                  <c:v>30.06.2004</c:v>
                </c:pt>
                <c:pt idx="42">
                  <c:v>31.07.2004</c:v>
                </c:pt>
                <c:pt idx="43">
                  <c:v>31.08.2004</c:v>
                </c:pt>
                <c:pt idx="44">
                  <c:v>30.09.2004</c:v>
                </c:pt>
                <c:pt idx="45">
                  <c:v>31.10.2004</c:v>
                </c:pt>
                <c:pt idx="46">
                  <c:v>30.11.2004</c:v>
                </c:pt>
                <c:pt idx="47">
                  <c:v>31.12.2004</c:v>
                </c:pt>
                <c:pt idx="48">
                  <c:v>31.01.2005</c:v>
                </c:pt>
                <c:pt idx="49">
                  <c:v>28.02.2005</c:v>
                </c:pt>
                <c:pt idx="50">
                  <c:v>31.03.2005</c:v>
                </c:pt>
                <c:pt idx="51">
                  <c:v>30.04.2005</c:v>
                </c:pt>
                <c:pt idx="52">
                  <c:v>31.05.2005</c:v>
                </c:pt>
                <c:pt idx="53">
                  <c:v>30.06.2005</c:v>
                </c:pt>
                <c:pt idx="54">
                  <c:v>31.07.2005</c:v>
                </c:pt>
                <c:pt idx="55">
                  <c:v>31.08.2005</c:v>
                </c:pt>
                <c:pt idx="56">
                  <c:v>30.09.2005</c:v>
                </c:pt>
                <c:pt idx="57">
                  <c:v>31.10.2005</c:v>
                </c:pt>
                <c:pt idx="58">
                  <c:v>30.11.2005</c:v>
                </c:pt>
                <c:pt idx="59">
                  <c:v>31.12.2005</c:v>
                </c:pt>
                <c:pt idx="60">
                  <c:v>31.01.2006</c:v>
                </c:pt>
                <c:pt idx="61">
                  <c:v>28.02.2006</c:v>
                </c:pt>
                <c:pt idx="62">
                  <c:v>31.03.2006</c:v>
                </c:pt>
                <c:pt idx="63">
                  <c:v>30.04.2006</c:v>
                </c:pt>
                <c:pt idx="64">
                  <c:v>31.05.2006</c:v>
                </c:pt>
                <c:pt idx="65">
                  <c:v>30.06.2006</c:v>
                </c:pt>
                <c:pt idx="66">
                  <c:v>31.07.2006</c:v>
                </c:pt>
                <c:pt idx="67">
                  <c:v>31.08.2006</c:v>
                </c:pt>
                <c:pt idx="68">
                  <c:v>30.09.2006</c:v>
                </c:pt>
                <c:pt idx="69">
                  <c:v>31.10.2006</c:v>
                </c:pt>
                <c:pt idx="70">
                  <c:v>30.11.2006</c:v>
                </c:pt>
                <c:pt idx="71">
                  <c:v>31.12.2006</c:v>
                </c:pt>
                <c:pt idx="72">
                  <c:v>31.01.2007</c:v>
                </c:pt>
                <c:pt idx="73">
                  <c:v>28.02.2007</c:v>
                </c:pt>
                <c:pt idx="74">
                  <c:v>31.03.2007</c:v>
                </c:pt>
                <c:pt idx="75">
                  <c:v>30.04.2007</c:v>
                </c:pt>
                <c:pt idx="76">
                  <c:v>31.05.2007</c:v>
                </c:pt>
                <c:pt idx="77">
                  <c:v>30.06.2007</c:v>
                </c:pt>
                <c:pt idx="78">
                  <c:v>31.07.2007</c:v>
                </c:pt>
                <c:pt idx="79">
                  <c:v>31.08.2007</c:v>
                </c:pt>
                <c:pt idx="80">
                  <c:v>30.09.2007</c:v>
                </c:pt>
                <c:pt idx="81">
                  <c:v>31.10.2007</c:v>
                </c:pt>
                <c:pt idx="82">
                  <c:v>30.11.2007</c:v>
                </c:pt>
                <c:pt idx="83">
                  <c:v>31.12.2007</c:v>
                </c:pt>
                <c:pt idx="84">
                  <c:v>31.01.2008</c:v>
                </c:pt>
                <c:pt idx="85">
                  <c:v>29.02.2008</c:v>
                </c:pt>
                <c:pt idx="86">
                  <c:v>31.03.2008</c:v>
                </c:pt>
                <c:pt idx="87">
                  <c:v>30.04.2008</c:v>
                </c:pt>
                <c:pt idx="88">
                  <c:v>31.05.2008</c:v>
                </c:pt>
                <c:pt idx="89">
                  <c:v>30.06.2008</c:v>
                </c:pt>
                <c:pt idx="90">
                  <c:v>31.07.2008</c:v>
                </c:pt>
                <c:pt idx="91">
                  <c:v>31.08.2008</c:v>
                </c:pt>
                <c:pt idx="92">
                  <c:v>30.09.2008</c:v>
                </c:pt>
                <c:pt idx="93">
                  <c:v>31.10.2008</c:v>
                </c:pt>
                <c:pt idx="94">
                  <c:v>30.11.2008</c:v>
                </c:pt>
                <c:pt idx="95">
                  <c:v>31.12.2008</c:v>
                </c:pt>
                <c:pt idx="96">
                  <c:v>31.01.2009</c:v>
                </c:pt>
                <c:pt idx="97">
                  <c:v>28.02.2009</c:v>
                </c:pt>
                <c:pt idx="98">
                  <c:v>31.03.2009</c:v>
                </c:pt>
                <c:pt idx="99">
                  <c:v>30.04.2009</c:v>
                </c:pt>
                <c:pt idx="100">
                  <c:v>31.05.2009</c:v>
                </c:pt>
                <c:pt idx="101">
                  <c:v>30.06.2009</c:v>
                </c:pt>
                <c:pt idx="102">
                  <c:v>31.07.2009</c:v>
                </c:pt>
                <c:pt idx="103">
                  <c:v>31.08.2009</c:v>
                </c:pt>
                <c:pt idx="104">
                  <c:v>30.09.2009</c:v>
                </c:pt>
                <c:pt idx="105">
                  <c:v>31.10.2009</c:v>
                </c:pt>
                <c:pt idx="106">
                  <c:v>30.11.2009</c:v>
                </c:pt>
                <c:pt idx="107">
                  <c:v>31.12.2009</c:v>
                </c:pt>
                <c:pt idx="108">
                  <c:v>31.01.2010</c:v>
                </c:pt>
                <c:pt idx="109">
                  <c:v>28.02.2010</c:v>
                </c:pt>
                <c:pt idx="110">
                  <c:v>31.03.2010</c:v>
                </c:pt>
                <c:pt idx="111">
                  <c:v>30.04.2010</c:v>
                </c:pt>
                <c:pt idx="112">
                  <c:v>31.05.2010</c:v>
                </c:pt>
                <c:pt idx="113">
                  <c:v>30.06.2010</c:v>
                </c:pt>
                <c:pt idx="114">
                  <c:v>31.07.2010</c:v>
                </c:pt>
                <c:pt idx="115">
                  <c:v>31.08.2010</c:v>
                </c:pt>
                <c:pt idx="116">
                  <c:v>30.09.2010</c:v>
                </c:pt>
                <c:pt idx="117">
                  <c:v>31.10.2010</c:v>
                </c:pt>
                <c:pt idx="118">
                  <c:v>30.11.2010</c:v>
                </c:pt>
                <c:pt idx="119">
                  <c:v>31.12.2010</c:v>
                </c:pt>
              </c:strCache>
            </c:strRef>
          </c:cat>
          <c:val>
            <c:numRef>
              <c:f>Predicció!$B$2:$B$121</c:f>
              <c:numCache>
                <c:formatCode>#,##0</c:formatCode>
                <c:ptCount val="120"/>
                <c:pt idx="0">
                  <c:v>6049</c:v>
                </c:pt>
                <c:pt idx="1">
                  <c:v>6095</c:v>
                </c:pt>
                <c:pt idx="2">
                  <c:v>6156</c:v>
                </c:pt>
                <c:pt idx="3">
                  <c:v>6204</c:v>
                </c:pt>
                <c:pt idx="4">
                  <c:v>6245</c:v>
                </c:pt>
                <c:pt idx="5">
                  <c:v>6301</c:v>
                </c:pt>
                <c:pt idx="6">
                  <c:v>6278</c:v>
                </c:pt>
                <c:pt idx="7">
                  <c:v>6337</c:v>
                </c:pt>
                <c:pt idx="8">
                  <c:v>6414</c:v>
                </c:pt>
                <c:pt idx="9">
                  <c:v>6448</c:v>
                </c:pt>
                <c:pt idx="10">
                  <c:v>6509</c:v>
                </c:pt>
                <c:pt idx="11">
                  <c:v>6405</c:v>
                </c:pt>
                <c:pt idx="12">
                  <c:v>6539</c:v>
                </c:pt>
                <c:pt idx="13">
                  <c:v>6672</c:v>
                </c:pt>
                <c:pt idx="14">
                  <c:v>6683</c:v>
                </c:pt>
                <c:pt idx="15">
                  <c:v>6783</c:v>
                </c:pt>
                <c:pt idx="16">
                  <c:v>6877</c:v>
                </c:pt>
                <c:pt idx="17">
                  <c:v>6887</c:v>
                </c:pt>
                <c:pt idx="18">
                  <c:v>6808</c:v>
                </c:pt>
                <c:pt idx="19">
                  <c:v>6857</c:v>
                </c:pt>
                <c:pt idx="20">
                  <c:v>6922</c:v>
                </c:pt>
                <c:pt idx="21">
                  <c:v>6955</c:v>
                </c:pt>
                <c:pt idx="22">
                  <c:v>6990</c:v>
                </c:pt>
                <c:pt idx="23">
                  <c:v>6924</c:v>
                </c:pt>
                <c:pt idx="24">
                  <c:v>6931</c:v>
                </c:pt>
                <c:pt idx="25">
                  <c:v>6964</c:v>
                </c:pt>
                <c:pt idx="26">
                  <c:v>7082</c:v>
                </c:pt>
                <c:pt idx="27">
                  <c:v>7100</c:v>
                </c:pt>
                <c:pt idx="28">
                  <c:v>7241</c:v>
                </c:pt>
                <c:pt idx="29">
                  <c:v>7314</c:v>
                </c:pt>
                <c:pt idx="30">
                  <c:v>7376</c:v>
                </c:pt>
                <c:pt idx="31">
                  <c:v>7381</c:v>
                </c:pt>
                <c:pt idx="32">
                  <c:v>7376</c:v>
                </c:pt>
                <c:pt idx="33">
                  <c:v>7419</c:v>
                </c:pt>
                <c:pt idx="34">
                  <c:v>7488</c:v>
                </c:pt>
                <c:pt idx="35">
                  <c:v>7416</c:v>
                </c:pt>
                <c:pt idx="36">
                  <c:v>7517</c:v>
                </c:pt>
                <c:pt idx="37">
                  <c:v>7705</c:v>
                </c:pt>
                <c:pt idx="38">
                  <c:v>7731</c:v>
                </c:pt>
                <c:pt idx="39">
                  <c:v>7781</c:v>
                </c:pt>
                <c:pt idx="40">
                  <c:v>7852</c:v>
                </c:pt>
                <c:pt idx="41">
                  <c:v>7815</c:v>
                </c:pt>
                <c:pt idx="42">
                  <c:v>7880</c:v>
                </c:pt>
                <c:pt idx="43">
                  <c:v>7922</c:v>
                </c:pt>
                <c:pt idx="44">
                  <c:v>7943</c:v>
                </c:pt>
                <c:pt idx="45">
                  <c:v>8072</c:v>
                </c:pt>
                <c:pt idx="46">
                  <c:v>8091</c:v>
                </c:pt>
                <c:pt idx="47">
                  <c:v>8094</c:v>
                </c:pt>
                <c:pt idx="48">
                  <c:v>8176</c:v>
                </c:pt>
                <c:pt idx="49">
                  <c:v>8233</c:v>
                </c:pt>
                <c:pt idx="50">
                  <c:v>8202</c:v>
                </c:pt>
                <c:pt idx="51">
                  <c:v>8285</c:v>
                </c:pt>
                <c:pt idx="52">
                  <c:v>8280</c:v>
                </c:pt>
                <c:pt idx="53">
                  <c:v>8286</c:v>
                </c:pt>
                <c:pt idx="54">
                  <c:v>8261</c:v>
                </c:pt>
                <c:pt idx="55">
                  <c:v>8258</c:v>
                </c:pt>
                <c:pt idx="56">
                  <c:v>8332</c:v>
                </c:pt>
                <c:pt idx="57">
                  <c:v>8324</c:v>
                </c:pt>
                <c:pt idx="58">
                  <c:v>8308</c:v>
                </c:pt>
                <c:pt idx="59">
                  <c:v>8305</c:v>
                </c:pt>
                <c:pt idx="60">
                  <c:v>8359</c:v>
                </c:pt>
                <c:pt idx="61">
                  <c:v>8493</c:v>
                </c:pt>
                <c:pt idx="62">
                  <c:v>8650</c:v>
                </c:pt>
                <c:pt idx="63">
                  <c:v>8761</c:v>
                </c:pt>
                <c:pt idx="64">
                  <c:v>8826</c:v>
                </c:pt>
                <c:pt idx="65">
                  <c:v>8911</c:v>
                </c:pt>
                <c:pt idx="66">
                  <c:v>8932</c:v>
                </c:pt>
                <c:pt idx="67">
                  <c:v>9009</c:v>
                </c:pt>
                <c:pt idx="68">
                  <c:v>9008</c:v>
                </c:pt>
                <c:pt idx="69">
                  <c:v>8958</c:v>
                </c:pt>
                <c:pt idx="70">
                  <c:v>8966</c:v>
                </c:pt>
                <c:pt idx="71">
                  <c:v>8970</c:v>
                </c:pt>
                <c:pt idx="72">
                  <c:v>9010</c:v>
                </c:pt>
                <c:pt idx="73">
                  <c:v>9118</c:v>
                </c:pt>
                <c:pt idx="74">
                  <c:v>9215</c:v>
                </c:pt>
                <c:pt idx="75">
                  <c:v>9293</c:v>
                </c:pt>
                <c:pt idx="76">
                  <c:v>9306</c:v>
                </c:pt>
                <c:pt idx="77">
                  <c:v>9395</c:v>
                </c:pt>
                <c:pt idx="78">
                  <c:v>9284</c:v>
                </c:pt>
                <c:pt idx="79">
                  <c:v>9324</c:v>
                </c:pt>
                <c:pt idx="80">
                  <c:v>9326</c:v>
                </c:pt>
                <c:pt idx="81">
                  <c:v>9342</c:v>
                </c:pt>
                <c:pt idx="82">
                  <c:v>9385</c:v>
                </c:pt>
                <c:pt idx="83">
                  <c:v>9395</c:v>
                </c:pt>
                <c:pt idx="84">
                  <c:v>9413</c:v>
                </c:pt>
                <c:pt idx="85">
                  <c:v>9550</c:v>
                </c:pt>
                <c:pt idx="86">
                  <c:v>9603</c:v>
                </c:pt>
                <c:pt idx="87">
                  <c:v>9614</c:v>
                </c:pt>
                <c:pt idx="88">
                  <c:v>9704</c:v>
                </c:pt>
                <c:pt idx="89">
                  <c:v>9845</c:v>
                </c:pt>
                <c:pt idx="90">
                  <c:v>9777</c:v>
                </c:pt>
                <c:pt idx="91">
                  <c:v>9839</c:v>
                </c:pt>
                <c:pt idx="92">
                  <c:v>9909</c:v>
                </c:pt>
                <c:pt idx="93">
                  <c:v>10055</c:v>
                </c:pt>
                <c:pt idx="94">
                  <c:v>10142</c:v>
                </c:pt>
                <c:pt idx="95">
                  <c:v>10051</c:v>
                </c:pt>
                <c:pt idx="96">
                  <c:v>10078</c:v>
                </c:pt>
                <c:pt idx="97">
                  <c:v>10209</c:v>
                </c:pt>
                <c:pt idx="98">
                  <c:v>10253</c:v>
                </c:pt>
                <c:pt idx="99">
                  <c:v>10278</c:v>
                </c:pt>
                <c:pt idx="100">
                  <c:v>10357</c:v>
                </c:pt>
                <c:pt idx="101">
                  <c:v>10407</c:v>
                </c:pt>
                <c:pt idx="102">
                  <c:v>10390</c:v>
                </c:pt>
                <c:pt idx="103">
                  <c:v>10357</c:v>
                </c:pt>
                <c:pt idx="104">
                  <c:v>10414</c:v>
                </c:pt>
                <c:pt idx="105">
                  <c:v>10448</c:v>
                </c:pt>
                <c:pt idx="106">
                  <c:v>10506</c:v>
                </c:pt>
                <c:pt idx="107">
                  <c:v>10525</c:v>
                </c:pt>
                <c:pt idx="108">
                  <c:v>10534</c:v>
                </c:pt>
                <c:pt idx="109">
                  <c:v>10714</c:v>
                </c:pt>
                <c:pt idx="110">
                  <c:v>10782</c:v>
                </c:pt>
                <c:pt idx="111">
                  <c:v>10805</c:v>
                </c:pt>
                <c:pt idx="112">
                  <c:v>10895</c:v>
                </c:pt>
                <c:pt idx="113">
                  <c:v>10845</c:v>
                </c:pt>
                <c:pt idx="114">
                  <c:v>10713</c:v>
                </c:pt>
                <c:pt idx="115">
                  <c:v>10761</c:v>
                </c:pt>
                <c:pt idx="116">
                  <c:v>10763</c:v>
                </c:pt>
                <c:pt idx="117">
                  <c:v>10811</c:v>
                </c:pt>
                <c:pt idx="118">
                  <c:v>10745</c:v>
                </c:pt>
                <c:pt idx="119">
                  <c:v>10520</c:v>
                </c:pt>
              </c:numCache>
            </c:numRef>
          </c:val>
          <c:smooth val="0"/>
        </c:ser>
        <c:ser>
          <c:idx val="1"/>
          <c:order val="1"/>
          <c:tx>
            <c:strRef>
              <c:f>Predicció!$C$1</c:f>
              <c:strCache>
                <c:ptCount val="1"/>
                <c:pt idx="0">
                  <c:v>Predicció</c:v>
                </c:pt>
              </c:strCache>
            </c:strRef>
          </c:tx>
          <c:marker>
            <c:symbol val="none"/>
          </c:marker>
          <c:cat>
            <c:strRef>
              <c:f>Predicció!$A$2:$A$121</c:f>
              <c:strCache>
                <c:ptCount val="120"/>
                <c:pt idx="0">
                  <c:v>31.01.2001</c:v>
                </c:pt>
                <c:pt idx="1">
                  <c:v>28.02.2001</c:v>
                </c:pt>
                <c:pt idx="2">
                  <c:v>31.03.2001</c:v>
                </c:pt>
                <c:pt idx="3">
                  <c:v>30.04.2001</c:v>
                </c:pt>
                <c:pt idx="4">
                  <c:v>31.05.2001</c:v>
                </c:pt>
                <c:pt idx="5">
                  <c:v>30.06.2001</c:v>
                </c:pt>
                <c:pt idx="6">
                  <c:v>31.07.2001</c:v>
                </c:pt>
                <c:pt idx="7">
                  <c:v>31.08.2001</c:v>
                </c:pt>
                <c:pt idx="8">
                  <c:v>30.09.2001</c:v>
                </c:pt>
                <c:pt idx="9">
                  <c:v>31.10.2001</c:v>
                </c:pt>
                <c:pt idx="10">
                  <c:v>30.11.2001</c:v>
                </c:pt>
                <c:pt idx="11">
                  <c:v>31.12.2001</c:v>
                </c:pt>
                <c:pt idx="12">
                  <c:v>31.01.2002</c:v>
                </c:pt>
                <c:pt idx="13">
                  <c:v>28.02.2002</c:v>
                </c:pt>
                <c:pt idx="14">
                  <c:v>31.03.2002</c:v>
                </c:pt>
                <c:pt idx="15">
                  <c:v>30.04.2002</c:v>
                </c:pt>
                <c:pt idx="16">
                  <c:v>31.05.2002</c:v>
                </c:pt>
                <c:pt idx="17">
                  <c:v>30.06.2002</c:v>
                </c:pt>
                <c:pt idx="18">
                  <c:v>31.07.2002</c:v>
                </c:pt>
                <c:pt idx="19">
                  <c:v>31.08.2002</c:v>
                </c:pt>
                <c:pt idx="20">
                  <c:v>30.09.2002</c:v>
                </c:pt>
                <c:pt idx="21">
                  <c:v>31.10.2002</c:v>
                </c:pt>
                <c:pt idx="22">
                  <c:v>30.11.2002</c:v>
                </c:pt>
                <c:pt idx="23">
                  <c:v>31.12.2002</c:v>
                </c:pt>
                <c:pt idx="24">
                  <c:v>31.01.2003</c:v>
                </c:pt>
                <c:pt idx="25">
                  <c:v>28.02.2003</c:v>
                </c:pt>
                <c:pt idx="26">
                  <c:v>31.03.2003</c:v>
                </c:pt>
                <c:pt idx="27">
                  <c:v>30.04.2003</c:v>
                </c:pt>
                <c:pt idx="28">
                  <c:v>31.05.2003</c:v>
                </c:pt>
                <c:pt idx="29">
                  <c:v>30.06.2003</c:v>
                </c:pt>
                <c:pt idx="30">
                  <c:v>31.07.2003</c:v>
                </c:pt>
                <c:pt idx="31">
                  <c:v>31.08.2003</c:v>
                </c:pt>
                <c:pt idx="32">
                  <c:v>30.09.2003</c:v>
                </c:pt>
                <c:pt idx="33">
                  <c:v>31.10.2003</c:v>
                </c:pt>
                <c:pt idx="34">
                  <c:v>30.11.2003</c:v>
                </c:pt>
                <c:pt idx="35">
                  <c:v>31.12.2003</c:v>
                </c:pt>
                <c:pt idx="36">
                  <c:v>31.01.2004</c:v>
                </c:pt>
                <c:pt idx="37">
                  <c:v>28.02.2004</c:v>
                </c:pt>
                <c:pt idx="38">
                  <c:v>31.03.2004</c:v>
                </c:pt>
                <c:pt idx="39">
                  <c:v>30.04.2004</c:v>
                </c:pt>
                <c:pt idx="40">
                  <c:v>31.05.2004</c:v>
                </c:pt>
                <c:pt idx="41">
                  <c:v>30.06.2004</c:v>
                </c:pt>
                <c:pt idx="42">
                  <c:v>31.07.2004</c:v>
                </c:pt>
                <c:pt idx="43">
                  <c:v>31.08.2004</c:v>
                </c:pt>
                <c:pt idx="44">
                  <c:v>30.09.2004</c:v>
                </c:pt>
                <c:pt idx="45">
                  <c:v>31.10.2004</c:v>
                </c:pt>
                <c:pt idx="46">
                  <c:v>30.11.2004</c:v>
                </c:pt>
                <c:pt idx="47">
                  <c:v>31.12.2004</c:v>
                </c:pt>
                <c:pt idx="48">
                  <c:v>31.01.2005</c:v>
                </c:pt>
                <c:pt idx="49">
                  <c:v>28.02.2005</c:v>
                </c:pt>
                <c:pt idx="50">
                  <c:v>31.03.2005</c:v>
                </c:pt>
                <c:pt idx="51">
                  <c:v>30.04.2005</c:v>
                </c:pt>
                <c:pt idx="52">
                  <c:v>31.05.2005</c:v>
                </c:pt>
                <c:pt idx="53">
                  <c:v>30.06.2005</c:v>
                </c:pt>
                <c:pt idx="54">
                  <c:v>31.07.2005</c:v>
                </c:pt>
                <c:pt idx="55">
                  <c:v>31.08.2005</c:v>
                </c:pt>
                <c:pt idx="56">
                  <c:v>30.09.2005</c:v>
                </c:pt>
                <c:pt idx="57">
                  <c:v>31.10.2005</c:v>
                </c:pt>
                <c:pt idx="58">
                  <c:v>30.11.2005</c:v>
                </c:pt>
                <c:pt idx="59">
                  <c:v>31.12.2005</c:v>
                </c:pt>
                <c:pt idx="60">
                  <c:v>31.01.2006</c:v>
                </c:pt>
                <c:pt idx="61">
                  <c:v>28.02.2006</c:v>
                </c:pt>
                <c:pt idx="62">
                  <c:v>31.03.2006</c:v>
                </c:pt>
                <c:pt idx="63">
                  <c:v>30.04.2006</c:v>
                </c:pt>
                <c:pt idx="64">
                  <c:v>31.05.2006</c:v>
                </c:pt>
                <c:pt idx="65">
                  <c:v>30.06.2006</c:v>
                </c:pt>
                <c:pt idx="66">
                  <c:v>31.07.2006</c:v>
                </c:pt>
                <c:pt idx="67">
                  <c:v>31.08.2006</c:v>
                </c:pt>
                <c:pt idx="68">
                  <c:v>30.09.2006</c:v>
                </c:pt>
                <c:pt idx="69">
                  <c:v>31.10.2006</c:v>
                </c:pt>
                <c:pt idx="70">
                  <c:v>30.11.2006</c:v>
                </c:pt>
                <c:pt idx="71">
                  <c:v>31.12.2006</c:v>
                </c:pt>
                <c:pt idx="72">
                  <c:v>31.01.2007</c:v>
                </c:pt>
                <c:pt idx="73">
                  <c:v>28.02.2007</c:v>
                </c:pt>
                <c:pt idx="74">
                  <c:v>31.03.2007</c:v>
                </c:pt>
                <c:pt idx="75">
                  <c:v>30.04.2007</c:v>
                </c:pt>
                <c:pt idx="76">
                  <c:v>31.05.2007</c:v>
                </c:pt>
                <c:pt idx="77">
                  <c:v>30.06.2007</c:v>
                </c:pt>
                <c:pt idx="78">
                  <c:v>31.07.2007</c:v>
                </c:pt>
                <c:pt idx="79">
                  <c:v>31.08.2007</c:v>
                </c:pt>
                <c:pt idx="80">
                  <c:v>30.09.2007</c:v>
                </c:pt>
                <c:pt idx="81">
                  <c:v>31.10.2007</c:v>
                </c:pt>
                <c:pt idx="82">
                  <c:v>30.11.2007</c:v>
                </c:pt>
                <c:pt idx="83">
                  <c:v>31.12.2007</c:v>
                </c:pt>
                <c:pt idx="84">
                  <c:v>31.01.2008</c:v>
                </c:pt>
                <c:pt idx="85">
                  <c:v>29.02.2008</c:v>
                </c:pt>
                <c:pt idx="86">
                  <c:v>31.03.2008</c:v>
                </c:pt>
                <c:pt idx="87">
                  <c:v>30.04.2008</c:v>
                </c:pt>
                <c:pt idx="88">
                  <c:v>31.05.2008</c:v>
                </c:pt>
                <c:pt idx="89">
                  <c:v>30.06.2008</c:v>
                </c:pt>
                <c:pt idx="90">
                  <c:v>31.07.2008</c:v>
                </c:pt>
                <c:pt idx="91">
                  <c:v>31.08.2008</c:v>
                </c:pt>
                <c:pt idx="92">
                  <c:v>30.09.2008</c:v>
                </c:pt>
                <c:pt idx="93">
                  <c:v>31.10.2008</c:v>
                </c:pt>
                <c:pt idx="94">
                  <c:v>30.11.2008</c:v>
                </c:pt>
                <c:pt idx="95">
                  <c:v>31.12.2008</c:v>
                </c:pt>
                <c:pt idx="96">
                  <c:v>31.01.2009</c:v>
                </c:pt>
                <c:pt idx="97">
                  <c:v>28.02.2009</c:v>
                </c:pt>
                <c:pt idx="98">
                  <c:v>31.03.2009</c:v>
                </c:pt>
                <c:pt idx="99">
                  <c:v>30.04.2009</c:v>
                </c:pt>
                <c:pt idx="100">
                  <c:v>31.05.2009</c:v>
                </c:pt>
                <c:pt idx="101">
                  <c:v>30.06.2009</c:v>
                </c:pt>
                <c:pt idx="102">
                  <c:v>31.07.2009</c:v>
                </c:pt>
                <c:pt idx="103">
                  <c:v>31.08.2009</c:v>
                </c:pt>
                <c:pt idx="104">
                  <c:v>30.09.2009</c:v>
                </c:pt>
                <c:pt idx="105">
                  <c:v>31.10.2009</c:v>
                </c:pt>
                <c:pt idx="106">
                  <c:v>30.11.2009</c:v>
                </c:pt>
                <c:pt idx="107">
                  <c:v>31.12.2009</c:v>
                </c:pt>
                <c:pt idx="108">
                  <c:v>31.01.2010</c:v>
                </c:pt>
                <c:pt idx="109">
                  <c:v>28.02.2010</c:v>
                </c:pt>
                <c:pt idx="110">
                  <c:v>31.03.2010</c:v>
                </c:pt>
                <c:pt idx="111">
                  <c:v>30.04.2010</c:v>
                </c:pt>
                <c:pt idx="112">
                  <c:v>31.05.2010</c:v>
                </c:pt>
                <c:pt idx="113">
                  <c:v>30.06.2010</c:v>
                </c:pt>
                <c:pt idx="114">
                  <c:v>31.07.2010</c:v>
                </c:pt>
                <c:pt idx="115">
                  <c:v>31.08.2010</c:v>
                </c:pt>
                <c:pt idx="116">
                  <c:v>30.09.2010</c:v>
                </c:pt>
                <c:pt idx="117">
                  <c:v>31.10.2010</c:v>
                </c:pt>
                <c:pt idx="118">
                  <c:v>30.11.2010</c:v>
                </c:pt>
                <c:pt idx="119">
                  <c:v>31.12.2010</c:v>
                </c:pt>
              </c:strCache>
            </c:strRef>
          </c:cat>
          <c:val>
            <c:numRef>
              <c:f>Predicció!$C$2:$C$121</c:f>
              <c:numCache>
                <c:formatCode>General</c:formatCode>
                <c:ptCount val="120"/>
                <c:pt idx="39" formatCode="#,##0">
                  <c:v>7733</c:v>
                </c:pt>
                <c:pt idx="40" formatCode="#,##0">
                  <c:v>7769</c:v>
                </c:pt>
                <c:pt idx="41" formatCode="#,##0">
                  <c:v>7793</c:v>
                </c:pt>
                <c:pt idx="42" formatCode="#,##0">
                  <c:v>7820</c:v>
                </c:pt>
                <c:pt idx="43" formatCode="#,##0">
                  <c:v>7860</c:v>
                </c:pt>
                <c:pt idx="44" formatCode="#,##0">
                  <c:v>7902</c:v>
                </c:pt>
                <c:pt idx="45" formatCode="#,##0">
                  <c:v>7943</c:v>
                </c:pt>
                <c:pt idx="46" formatCode="#,##0">
                  <c:v>7985</c:v>
                </c:pt>
                <c:pt idx="47" formatCode="#,##0">
                  <c:v>8027</c:v>
                </c:pt>
                <c:pt idx="48" formatCode="#,##0">
                  <c:v>8069</c:v>
                </c:pt>
                <c:pt idx="49" formatCode="#,##0">
                  <c:v>8110</c:v>
                </c:pt>
                <c:pt idx="50" formatCode="#,##0">
                  <c:v>8152</c:v>
                </c:pt>
                <c:pt idx="51" formatCode="#,##0">
                  <c:v>8194</c:v>
                </c:pt>
                <c:pt idx="52" formatCode="#,##0">
                  <c:v>8235</c:v>
                </c:pt>
                <c:pt idx="53" formatCode="#,##0">
                  <c:v>8277</c:v>
                </c:pt>
                <c:pt idx="54" formatCode="#,##0">
                  <c:v>8319</c:v>
                </c:pt>
                <c:pt idx="55" formatCode="#,##0">
                  <c:v>8361</c:v>
                </c:pt>
                <c:pt idx="56" formatCode="#,##0">
                  <c:v>8402</c:v>
                </c:pt>
                <c:pt idx="57" formatCode="#,##0">
                  <c:v>8444</c:v>
                </c:pt>
                <c:pt idx="58" formatCode="#,##0">
                  <c:v>8486</c:v>
                </c:pt>
                <c:pt idx="59" formatCode="#,##0">
                  <c:v>8528</c:v>
                </c:pt>
                <c:pt idx="60" formatCode="#,##0">
                  <c:v>8569</c:v>
                </c:pt>
                <c:pt idx="61" formatCode="#,##0">
                  <c:v>8611</c:v>
                </c:pt>
                <c:pt idx="62" formatCode="#,##0">
                  <c:v>8653</c:v>
                </c:pt>
                <c:pt idx="63" formatCode="#,##0">
                  <c:v>8695</c:v>
                </c:pt>
                <c:pt idx="64" formatCode="#,##0">
                  <c:v>8736</c:v>
                </c:pt>
                <c:pt idx="65" formatCode="#,##0">
                  <c:v>8778</c:v>
                </c:pt>
                <c:pt idx="66" formatCode="#,##0">
                  <c:v>8820</c:v>
                </c:pt>
                <c:pt idx="67" formatCode="#,##0">
                  <c:v>8862</c:v>
                </c:pt>
                <c:pt idx="68" formatCode="#,##0">
                  <c:v>8903</c:v>
                </c:pt>
                <c:pt idx="69" formatCode="#,##0">
                  <c:v>8945</c:v>
                </c:pt>
                <c:pt idx="70" formatCode="#,##0">
                  <c:v>8987</c:v>
                </c:pt>
                <c:pt idx="71" formatCode="#,##0">
                  <c:v>9029</c:v>
                </c:pt>
                <c:pt idx="72" formatCode="#,##0">
                  <c:v>9070</c:v>
                </c:pt>
                <c:pt idx="73" formatCode="#,##0">
                  <c:v>9112</c:v>
                </c:pt>
                <c:pt idx="74" formatCode="#,##0">
                  <c:v>9154</c:v>
                </c:pt>
                <c:pt idx="75" formatCode="#,##0">
                  <c:v>9196</c:v>
                </c:pt>
                <c:pt idx="76" formatCode="#,##0">
                  <c:v>9237</c:v>
                </c:pt>
                <c:pt idx="77" formatCode="#,##0">
                  <c:v>9279</c:v>
                </c:pt>
                <c:pt idx="78" formatCode="#,##0">
                  <c:v>9321</c:v>
                </c:pt>
                <c:pt idx="79" formatCode="#,##0">
                  <c:v>9363</c:v>
                </c:pt>
                <c:pt idx="80" formatCode="#,##0">
                  <c:v>9404</c:v>
                </c:pt>
                <c:pt idx="81" formatCode="#,##0">
                  <c:v>9446</c:v>
                </c:pt>
                <c:pt idx="82" formatCode="#,##0">
                  <c:v>9488</c:v>
                </c:pt>
                <c:pt idx="83" formatCode="#,##0">
                  <c:v>9530</c:v>
                </c:pt>
                <c:pt idx="84" formatCode="#,##0">
                  <c:v>9571</c:v>
                </c:pt>
                <c:pt idx="85" formatCode="#,##0">
                  <c:v>9613</c:v>
                </c:pt>
                <c:pt idx="86" formatCode="#,##0">
                  <c:v>9655</c:v>
                </c:pt>
                <c:pt idx="87" formatCode="#,##0">
                  <c:v>9697</c:v>
                </c:pt>
                <c:pt idx="88" formatCode="#,##0">
                  <c:v>9738</c:v>
                </c:pt>
                <c:pt idx="89" formatCode="#,##0">
                  <c:v>9780</c:v>
                </c:pt>
                <c:pt idx="90" formatCode="#,##0">
                  <c:v>9822</c:v>
                </c:pt>
                <c:pt idx="91" formatCode="#,##0">
                  <c:v>9864</c:v>
                </c:pt>
                <c:pt idx="92" formatCode="#,##0">
                  <c:v>9905</c:v>
                </c:pt>
                <c:pt idx="93" formatCode="#,##0">
                  <c:v>9947</c:v>
                </c:pt>
                <c:pt idx="94" formatCode="#,##0">
                  <c:v>9989</c:v>
                </c:pt>
                <c:pt idx="95" formatCode="#,##0">
                  <c:v>10031</c:v>
                </c:pt>
                <c:pt idx="96" formatCode="#,##0">
                  <c:v>10072</c:v>
                </c:pt>
                <c:pt idx="97" formatCode="#,##0">
                  <c:v>10114</c:v>
                </c:pt>
                <c:pt idx="98" formatCode="#,##0">
                  <c:v>10156</c:v>
                </c:pt>
                <c:pt idx="99" formatCode="#,##0">
                  <c:v>10198</c:v>
                </c:pt>
                <c:pt idx="100" formatCode="#,##0">
                  <c:v>10239</c:v>
                </c:pt>
                <c:pt idx="101" formatCode="#,##0">
                  <c:v>10281</c:v>
                </c:pt>
                <c:pt idx="102" formatCode="#,##0">
                  <c:v>10323</c:v>
                </c:pt>
                <c:pt idx="103" formatCode="#,##0">
                  <c:v>10365</c:v>
                </c:pt>
                <c:pt idx="104" formatCode="#,##0">
                  <c:v>10406</c:v>
                </c:pt>
                <c:pt idx="105" formatCode="#,##0">
                  <c:v>10448</c:v>
                </c:pt>
                <c:pt idx="106" formatCode="#,##0">
                  <c:v>10490</c:v>
                </c:pt>
                <c:pt idx="107" formatCode="#,##0">
                  <c:v>10532</c:v>
                </c:pt>
                <c:pt idx="108" formatCode="#,##0">
                  <c:v>10573</c:v>
                </c:pt>
                <c:pt idx="109" formatCode="#,##0">
                  <c:v>10615</c:v>
                </c:pt>
                <c:pt idx="110" formatCode="#,##0">
                  <c:v>10657</c:v>
                </c:pt>
                <c:pt idx="111" formatCode="#,##0">
                  <c:v>10699</c:v>
                </c:pt>
                <c:pt idx="112" formatCode="#,##0">
                  <c:v>10740</c:v>
                </c:pt>
                <c:pt idx="113" formatCode="#,##0">
                  <c:v>10782</c:v>
                </c:pt>
                <c:pt idx="114" formatCode="#,##0">
                  <c:v>10824</c:v>
                </c:pt>
                <c:pt idx="115" formatCode="#,##0">
                  <c:v>10866</c:v>
                </c:pt>
                <c:pt idx="116" formatCode="#,##0">
                  <c:v>10907</c:v>
                </c:pt>
                <c:pt idx="117" formatCode="#,##0">
                  <c:v>10949</c:v>
                </c:pt>
                <c:pt idx="118" formatCode="#,##0">
                  <c:v>10991</c:v>
                </c:pt>
                <c:pt idx="119" formatCode="#,##0">
                  <c:v>11033</c:v>
                </c:pt>
              </c:numCache>
            </c:numRef>
          </c:val>
          <c:smooth val="0"/>
        </c:ser>
        <c:dLbls>
          <c:showLegendKey val="0"/>
          <c:showVal val="0"/>
          <c:showCatName val="0"/>
          <c:showSerName val="0"/>
          <c:showPercent val="0"/>
          <c:showBubbleSize val="0"/>
        </c:dLbls>
        <c:marker val="1"/>
        <c:smooth val="0"/>
        <c:axId val="137161728"/>
        <c:axId val="137233152"/>
      </c:lineChart>
      <c:catAx>
        <c:axId val="137161728"/>
        <c:scaling>
          <c:orientation val="minMax"/>
        </c:scaling>
        <c:delete val="0"/>
        <c:axPos val="b"/>
        <c:majorTickMark val="none"/>
        <c:minorTickMark val="none"/>
        <c:tickLblPos val="nextTo"/>
        <c:crossAx val="137233152"/>
        <c:crosses val="autoZero"/>
        <c:auto val="1"/>
        <c:lblAlgn val="ctr"/>
        <c:lblOffset val="100"/>
        <c:noMultiLvlLbl val="0"/>
      </c:catAx>
      <c:valAx>
        <c:axId val="137233152"/>
        <c:scaling>
          <c:orientation val="minMax"/>
        </c:scaling>
        <c:delete val="0"/>
        <c:axPos val="l"/>
        <c:majorGridlines/>
        <c:numFmt formatCode="#,##0" sourceLinked="1"/>
        <c:majorTickMark val="none"/>
        <c:minorTickMark val="none"/>
        <c:tickLblPos val="nextTo"/>
        <c:spPr>
          <a:ln w="9525">
            <a:noFill/>
          </a:ln>
        </c:spPr>
        <c:crossAx val="137161728"/>
        <c:crosses val="autoZero"/>
        <c:crossBetween val="between"/>
      </c:valAx>
    </c:plotArea>
    <c:legend>
      <c:legendPos val="b"/>
      <c:overlay val="0"/>
    </c:legend>
    <c:plotVisOnly val="1"/>
    <c:dispBlanksAs val="gap"/>
    <c:showDLblsOverMax val="0"/>
  </c:chart>
  <c:txPr>
    <a:bodyPr/>
    <a:lstStyle/>
    <a:p>
      <a:pPr>
        <a:defRPr sz="700"/>
      </a:pPr>
      <a:endParaRPr lang="ca-ES"/>
    </a:p>
  </c:txPr>
  <c:externalData r:id="rId1">
    <c:autoUpdate val="1"/>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ca-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ca-ES"/>
              <a:t>Predicció de la població encarcerada i comparació amb la realitat (2016-2020)</a:t>
            </a:r>
          </a:p>
        </c:rich>
      </c:tx>
      <c:overlay val="0"/>
    </c:title>
    <c:autoTitleDeleted val="0"/>
    <c:plotArea>
      <c:layout/>
      <c:lineChart>
        <c:grouping val="standard"/>
        <c:varyColors val="0"/>
        <c:ser>
          <c:idx val="0"/>
          <c:order val="0"/>
          <c:tx>
            <c:strRef>
              <c:f>Predicció!$B$1</c:f>
              <c:strCache>
                <c:ptCount val="1"/>
                <c:pt idx="0">
                  <c:v>Dades reals població penitenciària</c:v>
                </c:pt>
              </c:strCache>
            </c:strRef>
          </c:tx>
          <c:marker>
            <c:symbol val="none"/>
          </c:marker>
          <c:cat>
            <c:strRef>
              <c:f>Predicció!$A$122:$A$241</c:f>
              <c:strCache>
                <c:ptCount val="120"/>
                <c:pt idx="0">
                  <c:v>31.01.2011</c:v>
                </c:pt>
                <c:pt idx="1">
                  <c:v>28.02.2011</c:v>
                </c:pt>
                <c:pt idx="2">
                  <c:v>31.03.2011</c:v>
                </c:pt>
                <c:pt idx="3">
                  <c:v>30.04.2011</c:v>
                </c:pt>
                <c:pt idx="4">
                  <c:v>31.05.2011</c:v>
                </c:pt>
                <c:pt idx="5">
                  <c:v>30.06.2011</c:v>
                </c:pt>
                <c:pt idx="6">
                  <c:v>31.07.2011</c:v>
                </c:pt>
                <c:pt idx="7">
                  <c:v>31.08.2011</c:v>
                </c:pt>
                <c:pt idx="8">
                  <c:v>30.09.2011</c:v>
                </c:pt>
                <c:pt idx="9">
                  <c:v>31.10.2011</c:v>
                </c:pt>
                <c:pt idx="10">
                  <c:v>30.11.2011</c:v>
                </c:pt>
                <c:pt idx="11">
                  <c:v>31.12.2011</c:v>
                </c:pt>
                <c:pt idx="12">
                  <c:v>31.01.2012</c:v>
                </c:pt>
                <c:pt idx="13">
                  <c:v>28.02.2012</c:v>
                </c:pt>
                <c:pt idx="14">
                  <c:v>31.03.2012</c:v>
                </c:pt>
                <c:pt idx="15">
                  <c:v>30.04.2012</c:v>
                </c:pt>
                <c:pt idx="16">
                  <c:v>31.05.2012</c:v>
                </c:pt>
                <c:pt idx="17">
                  <c:v>30.06.2012</c:v>
                </c:pt>
                <c:pt idx="18">
                  <c:v>31.07.2012</c:v>
                </c:pt>
                <c:pt idx="19">
                  <c:v>31.08.2012</c:v>
                </c:pt>
                <c:pt idx="20">
                  <c:v>30.09.2012</c:v>
                </c:pt>
                <c:pt idx="21">
                  <c:v>31.10.2012</c:v>
                </c:pt>
                <c:pt idx="22">
                  <c:v>30.11.2012</c:v>
                </c:pt>
                <c:pt idx="23">
                  <c:v>31.12.2012</c:v>
                </c:pt>
                <c:pt idx="24">
                  <c:v>31.01.2013</c:v>
                </c:pt>
                <c:pt idx="25">
                  <c:v>28.02.2013</c:v>
                </c:pt>
                <c:pt idx="26">
                  <c:v>31.03.2013</c:v>
                </c:pt>
                <c:pt idx="27">
                  <c:v>30.04.2013</c:v>
                </c:pt>
                <c:pt idx="28">
                  <c:v>31.05.2013</c:v>
                </c:pt>
                <c:pt idx="29">
                  <c:v>30.06.2013</c:v>
                </c:pt>
                <c:pt idx="30">
                  <c:v>31.07.2013</c:v>
                </c:pt>
                <c:pt idx="31">
                  <c:v>31.08.2013</c:v>
                </c:pt>
                <c:pt idx="32">
                  <c:v>30.09.2013</c:v>
                </c:pt>
                <c:pt idx="33">
                  <c:v>31.10.2013</c:v>
                </c:pt>
                <c:pt idx="34">
                  <c:v>30.11.2013</c:v>
                </c:pt>
                <c:pt idx="35">
                  <c:v>31.12.2013</c:v>
                </c:pt>
                <c:pt idx="36">
                  <c:v>31.01.2014</c:v>
                </c:pt>
                <c:pt idx="37">
                  <c:v>28.02.2014</c:v>
                </c:pt>
                <c:pt idx="38">
                  <c:v>31.03.2014</c:v>
                </c:pt>
                <c:pt idx="39">
                  <c:v>30.04.2014</c:v>
                </c:pt>
                <c:pt idx="40">
                  <c:v>31.05.2014</c:v>
                </c:pt>
                <c:pt idx="41">
                  <c:v>30.06.2014</c:v>
                </c:pt>
                <c:pt idx="42">
                  <c:v>31.07.2014</c:v>
                </c:pt>
                <c:pt idx="43">
                  <c:v>31.08.2014</c:v>
                </c:pt>
                <c:pt idx="44">
                  <c:v>30.09.2014</c:v>
                </c:pt>
                <c:pt idx="45">
                  <c:v>31.10.2014</c:v>
                </c:pt>
                <c:pt idx="46">
                  <c:v>30.11.2014</c:v>
                </c:pt>
                <c:pt idx="47">
                  <c:v>31.12.2014</c:v>
                </c:pt>
                <c:pt idx="48">
                  <c:v>31.01.2015</c:v>
                </c:pt>
                <c:pt idx="49">
                  <c:v>28.02.2015</c:v>
                </c:pt>
                <c:pt idx="50">
                  <c:v>31.03.2015</c:v>
                </c:pt>
                <c:pt idx="51">
                  <c:v>30.04.2015</c:v>
                </c:pt>
                <c:pt idx="52">
                  <c:v>31.05.2015</c:v>
                </c:pt>
                <c:pt idx="53">
                  <c:v>30.06.2015</c:v>
                </c:pt>
                <c:pt idx="54">
                  <c:v>31.07.2015</c:v>
                </c:pt>
                <c:pt idx="55">
                  <c:v>31.08.2015</c:v>
                </c:pt>
                <c:pt idx="56">
                  <c:v>30.09.2015</c:v>
                </c:pt>
                <c:pt idx="57">
                  <c:v>31.10.2015</c:v>
                </c:pt>
                <c:pt idx="58">
                  <c:v>30.11.2015</c:v>
                </c:pt>
                <c:pt idx="59">
                  <c:v>31.12.2015</c:v>
                </c:pt>
                <c:pt idx="60">
                  <c:v>31.01.2016</c:v>
                </c:pt>
                <c:pt idx="61">
                  <c:v>28.02.2016</c:v>
                </c:pt>
                <c:pt idx="62">
                  <c:v>31.03.2016</c:v>
                </c:pt>
                <c:pt idx="63">
                  <c:v>30.04.2016</c:v>
                </c:pt>
                <c:pt idx="64">
                  <c:v>31.05.2016</c:v>
                </c:pt>
                <c:pt idx="65">
                  <c:v>30.06.2016</c:v>
                </c:pt>
                <c:pt idx="66">
                  <c:v>31.07.2016</c:v>
                </c:pt>
                <c:pt idx="67">
                  <c:v>31.08.2016</c:v>
                </c:pt>
                <c:pt idx="68">
                  <c:v>30.09.2016</c:v>
                </c:pt>
                <c:pt idx="69">
                  <c:v>31.10.2016</c:v>
                </c:pt>
                <c:pt idx="70">
                  <c:v>30.11.2016</c:v>
                </c:pt>
                <c:pt idx="71">
                  <c:v>31.12.2016</c:v>
                </c:pt>
                <c:pt idx="72">
                  <c:v>31.01.2017</c:v>
                </c:pt>
                <c:pt idx="73">
                  <c:v>28.02.2017</c:v>
                </c:pt>
                <c:pt idx="74">
                  <c:v>31.03.2017</c:v>
                </c:pt>
                <c:pt idx="75">
                  <c:v>30.04.2017</c:v>
                </c:pt>
                <c:pt idx="76">
                  <c:v>31.05.2017</c:v>
                </c:pt>
                <c:pt idx="77">
                  <c:v>30.06.2017</c:v>
                </c:pt>
                <c:pt idx="78">
                  <c:v>31.07.2017</c:v>
                </c:pt>
                <c:pt idx="79">
                  <c:v>31.08.2017</c:v>
                </c:pt>
                <c:pt idx="80">
                  <c:v>30.09.2017</c:v>
                </c:pt>
                <c:pt idx="81">
                  <c:v>31.10.2017</c:v>
                </c:pt>
                <c:pt idx="82">
                  <c:v>30.11.2017</c:v>
                </c:pt>
                <c:pt idx="83">
                  <c:v>31.12.2017</c:v>
                </c:pt>
                <c:pt idx="84">
                  <c:v>31.01.2018</c:v>
                </c:pt>
                <c:pt idx="85">
                  <c:v>28.02.2018</c:v>
                </c:pt>
                <c:pt idx="86">
                  <c:v>31.03.2018</c:v>
                </c:pt>
                <c:pt idx="87">
                  <c:v>30.04.2018</c:v>
                </c:pt>
                <c:pt idx="88">
                  <c:v>31.05.2018</c:v>
                </c:pt>
                <c:pt idx="89">
                  <c:v>30.06.2018</c:v>
                </c:pt>
                <c:pt idx="90">
                  <c:v>31.07.2018</c:v>
                </c:pt>
                <c:pt idx="91">
                  <c:v>31.08.2018</c:v>
                </c:pt>
                <c:pt idx="92">
                  <c:v>30.09.2018</c:v>
                </c:pt>
                <c:pt idx="93">
                  <c:v>31.10.2018</c:v>
                </c:pt>
                <c:pt idx="94">
                  <c:v>30.11.2018</c:v>
                </c:pt>
                <c:pt idx="95">
                  <c:v>31.12.2018</c:v>
                </c:pt>
                <c:pt idx="96">
                  <c:v>31.01.2019</c:v>
                </c:pt>
                <c:pt idx="97">
                  <c:v>28.02.2019</c:v>
                </c:pt>
                <c:pt idx="98">
                  <c:v>31.03.2019</c:v>
                </c:pt>
                <c:pt idx="99">
                  <c:v>30.04.2019</c:v>
                </c:pt>
                <c:pt idx="100">
                  <c:v>31.05.2019</c:v>
                </c:pt>
                <c:pt idx="101">
                  <c:v>30.06.2019</c:v>
                </c:pt>
                <c:pt idx="102">
                  <c:v>31.07.2019</c:v>
                </c:pt>
                <c:pt idx="103">
                  <c:v>31.08.2019</c:v>
                </c:pt>
                <c:pt idx="104">
                  <c:v>30.09.2019</c:v>
                </c:pt>
                <c:pt idx="105">
                  <c:v>31.10.2019</c:v>
                </c:pt>
                <c:pt idx="106">
                  <c:v>30.11.2019</c:v>
                </c:pt>
                <c:pt idx="107">
                  <c:v>31.12.2019</c:v>
                </c:pt>
                <c:pt idx="108">
                  <c:v>31.01.2020</c:v>
                </c:pt>
                <c:pt idx="109">
                  <c:v>28.02.2020</c:v>
                </c:pt>
                <c:pt idx="110">
                  <c:v>31.03.2020</c:v>
                </c:pt>
                <c:pt idx="111">
                  <c:v>30.04.2020</c:v>
                </c:pt>
                <c:pt idx="112">
                  <c:v>31.05.2020</c:v>
                </c:pt>
                <c:pt idx="113">
                  <c:v>30.06.2020</c:v>
                </c:pt>
                <c:pt idx="114">
                  <c:v>31.07.2020</c:v>
                </c:pt>
                <c:pt idx="115">
                  <c:v>31.08.2020</c:v>
                </c:pt>
                <c:pt idx="116">
                  <c:v>30.09.2020</c:v>
                </c:pt>
                <c:pt idx="117">
                  <c:v>31.10.2020</c:v>
                </c:pt>
                <c:pt idx="118">
                  <c:v>30.11.2020</c:v>
                </c:pt>
                <c:pt idx="119">
                  <c:v>31.12.2020</c:v>
                </c:pt>
              </c:strCache>
            </c:strRef>
          </c:cat>
          <c:val>
            <c:numRef>
              <c:f>Predicció!$B$122:$B$241</c:f>
              <c:numCache>
                <c:formatCode>#,##0</c:formatCode>
                <c:ptCount val="120"/>
                <c:pt idx="0">
                  <c:v>10513</c:v>
                </c:pt>
                <c:pt idx="1">
                  <c:v>10679</c:v>
                </c:pt>
                <c:pt idx="2">
                  <c:v>10723</c:v>
                </c:pt>
                <c:pt idx="3">
                  <c:v>10840</c:v>
                </c:pt>
                <c:pt idx="4">
                  <c:v>10857</c:v>
                </c:pt>
                <c:pt idx="5">
                  <c:v>10827</c:v>
                </c:pt>
                <c:pt idx="6">
                  <c:v>10717</c:v>
                </c:pt>
                <c:pt idx="7">
                  <c:v>10716</c:v>
                </c:pt>
                <c:pt idx="8">
                  <c:v>10688</c:v>
                </c:pt>
                <c:pt idx="9">
                  <c:v>10701</c:v>
                </c:pt>
                <c:pt idx="10">
                  <c:v>10644</c:v>
                </c:pt>
                <c:pt idx="11">
                  <c:v>10513</c:v>
                </c:pt>
                <c:pt idx="12">
                  <c:v>10463</c:v>
                </c:pt>
                <c:pt idx="13">
                  <c:v>10418</c:v>
                </c:pt>
                <c:pt idx="14">
                  <c:v>10523</c:v>
                </c:pt>
                <c:pt idx="15">
                  <c:v>10494</c:v>
                </c:pt>
                <c:pt idx="16">
                  <c:v>10468</c:v>
                </c:pt>
                <c:pt idx="17">
                  <c:v>10384</c:v>
                </c:pt>
                <c:pt idx="18">
                  <c:v>10278</c:v>
                </c:pt>
                <c:pt idx="19">
                  <c:v>10211</c:v>
                </c:pt>
                <c:pt idx="20">
                  <c:v>10228</c:v>
                </c:pt>
                <c:pt idx="21">
                  <c:v>10206</c:v>
                </c:pt>
                <c:pt idx="22">
                  <c:v>10148</c:v>
                </c:pt>
                <c:pt idx="23">
                  <c:v>10062</c:v>
                </c:pt>
                <c:pt idx="24">
                  <c:v>10014</c:v>
                </c:pt>
                <c:pt idx="25">
                  <c:v>10086</c:v>
                </c:pt>
                <c:pt idx="26">
                  <c:v>10080</c:v>
                </c:pt>
                <c:pt idx="27">
                  <c:v>10093</c:v>
                </c:pt>
                <c:pt idx="28">
                  <c:v>10074</c:v>
                </c:pt>
                <c:pt idx="29">
                  <c:v>10086</c:v>
                </c:pt>
                <c:pt idx="30">
                  <c:v>9992</c:v>
                </c:pt>
                <c:pt idx="31">
                  <c:v>10010</c:v>
                </c:pt>
                <c:pt idx="32">
                  <c:v>9944</c:v>
                </c:pt>
                <c:pt idx="33">
                  <c:v>9900</c:v>
                </c:pt>
                <c:pt idx="34">
                  <c:v>9925</c:v>
                </c:pt>
                <c:pt idx="35">
                  <c:v>9818</c:v>
                </c:pt>
                <c:pt idx="36">
                  <c:v>9798</c:v>
                </c:pt>
                <c:pt idx="37">
                  <c:v>9722</c:v>
                </c:pt>
                <c:pt idx="38">
                  <c:v>9789</c:v>
                </c:pt>
                <c:pt idx="39">
                  <c:v>9712</c:v>
                </c:pt>
                <c:pt idx="40">
                  <c:v>9708</c:v>
                </c:pt>
                <c:pt idx="41">
                  <c:v>9685</c:v>
                </c:pt>
                <c:pt idx="42">
                  <c:v>9603</c:v>
                </c:pt>
                <c:pt idx="43">
                  <c:v>9540</c:v>
                </c:pt>
                <c:pt idx="44">
                  <c:v>9447</c:v>
                </c:pt>
                <c:pt idx="45">
                  <c:v>9451</c:v>
                </c:pt>
                <c:pt idx="46">
                  <c:v>9368</c:v>
                </c:pt>
                <c:pt idx="47">
                  <c:v>9294</c:v>
                </c:pt>
                <c:pt idx="48">
                  <c:v>9308</c:v>
                </c:pt>
                <c:pt idx="49">
                  <c:v>9278</c:v>
                </c:pt>
                <c:pt idx="50">
                  <c:v>9281</c:v>
                </c:pt>
                <c:pt idx="51">
                  <c:v>9208</c:v>
                </c:pt>
                <c:pt idx="52">
                  <c:v>9213</c:v>
                </c:pt>
                <c:pt idx="53">
                  <c:v>9195</c:v>
                </c:pt>
                <c:pt idx="54">
                  <c:v>9000</c:v>
                </c:pt>
                <c:pt idx="55">
                  <c:v>8932</c:v>
                </c:pt>
                <c:pt idx="56">
                  <c:v>8922</c:v>
                </c:pt>
                <c:pt idx="57">
                  <c:v>8817</c:v>
                </c:pt>
                <c:pt idx="58">
                  <c:v>8941</c:v>
                </c:pt>
                <c:pt idx="59">
                  <c:v>8810</c:v>
                </c:pt>
                <c:pt idx="60">
                  <c:v>8758</c:v>
                </c:pt>
                <c:pt idx="61">
                  <c:v>8786</c:v>
                </c:pt>
                <c:pt idx="62">
                  <c:v>8815</c:v>
                </c:pt>
                <c:pt idx="63">
                  <c:v>8861</c:v>
                </c:pt>
                <c:pt idx="64">
                  <c:v>8815</c:v>
                </c:pt>
                <c:pt idx="65">
                  <c:v>8793</c:v>
                </c:pt>
                <c:pt idx="66">
                  <c:v>8735</c:v>
                </c:pt>
                <c:pt idx="67">
                  <c:v>8678</c:v>
                </c:pt>
              </c:numCache>
            </c:numRef>
          </c:val>
          <c:smooth val="0"/>
        </c:ser>
        <c:ser>
          <c:idx val="1"/>
          <c:order val="1"/>
          <c:tx>
            <c:strRef>
              <c:f>Predicció!$C$1</c:f>
              <c:strCache>
                <c:ptCount val="1"/>
                <c:pt idx="0">
                  <c:v>Predicció</c:v>
                </c:pt>
              </c:strCache>
            </c:strRef>
          </c:tx>
          <c:marker>
            <c:symbol val="none"/>
          </c:marker>
          <c:cat>
            <c:strRef>
              <c:f>Predicció!$A$122:$A$241</c:f>
              <c:strCache>
                <c:ptCount val="120"/>
                <c:pt idx="0">
                  <c:v>31.01.2011</c:v>
                </c:pt>
                <c:pt idx="1">
                  <c:v>28.02.2011</c:v>
                </c:pt>
                <c:pt idx="2">
                  <c:v>31.03.2011</c:v>
                </c:pt>
                <c:pt idx="3">
                  <c:v>30.04.2011</c:v>
                </c:pt>
                <c:pt idx="4">
                  <c:v>31.05.2011</c:v>
                </c:pt>
                <c:pt idx="5">
                  <c:v>30.06.2011</c:v>
                </c:pt>
                <c:pt idx="6">
                  <c:v>31.07.2011</c:v>
                </c:pt>
                <c:pt idx="7">
                  <c:v>31.08.2011</c:v>
                </c:pt>
                <c:pt idx="8">
                  <c:v>30.09.2011</c:v>
                </c:pt>
                <c:pt idx="9">
                  <c:v>31.10.2011</c:v>
                </c:pt>
                <c:pt idx="10">
                  <c:v>30.11.2011</c:v>
                </c:pt>
                <c:pt idx="11">
                  <c:v>31.12.2011</c:v>
                </c:pt>
                <c:pt idx="12">
                  <c:v>31.01.2012</c:v>
                </c:pt>
                <c:pt idx="13">
                  <c:v>28.02.2012</c:v>
                </c:pt>
                <c:pt idx="14">
                  <c:v>31.03.2012</c:v>
                </c:pt>
                <c:pt idx="15">
                  <c:v>30.04.2012</c:v>
                </c:pt>
                <c:pt idx="16">
                  <c:v>31.05.2012</c:v>
                </c:pt>
                <c:pt idx="17">
                  <c:v>30.06.2012</c:v>
                </c:pt>
                <c:pt idx="18">
                  <c:v>31.07.2012</c:v>
                </c:pt>
                <c:pt idx="19">
                  <c:v>31.08.2012</c:v>
                </c:pt>
                <c:pt idx="20">
                  <c:v>30.09.2012</c:v>
                </c:pt>
                <c:pt idx="21">
                  <c:v>31.10.2012</c:v>
                </c:pt>
                <c:pt idx="22">
                  <c:v>30.11.2012</c:v>
                </c:pt>
                <c:pt idx="23">
                  <c:v>31.12.2012</c:v>
                </c:pt>
                <c:pt idx="24">
                  <c:v>31.01.2013</c:v>
                </c:pt>
                <c:pt idx="25">
                  <c:v>28.02.2013</c:v>
                </c:pt>
                <c:pt idx="26">
                  <c:v>31.03.2013</c:v>
                </c:pt>
                <c:pt idx="27">
                  <c:v>30.04.2013</c:v>
                </c:pt>
                <c:pt idx="28">
                  <c:v>31.05.2013</c:v>
                </c:pt>
                <c:pt idx="29">
                  <c:v>30.06.2013</c:v>
                </c:pt>
                <c:pt idx="30">
                  <c:v>31.07.2013</c:v>
                </c:pt>
                <c:pt idx="31">
                  <c:v>31.08.2013</c:v>
                </c:pt>
                <c:pt idx="32">
                  <c:v>30.09.2013</c:v>
                </c:pt>
                <c:pt idx="33">
                  <c:v>31.10.2013</c:v>
                </c:pt>
                <c:pt idx="34">
                  <c:v>30.11.2013</c:v>
                </c:pt>
                <c:pt idx="35">
                  <c:v>31.12.2013</c:v>
                </c:pt>
                <c:pt idx="36">
                  <c:v>31.01.2014</c:v>
                </c:pt>
                <c:pt idx="37">
                  <c:v>28.02.2014</c:v>
                </c:pt>
                <c:pt idx="38">
                  <c:v>31.03.2014</c:v>
                </c:pt>
                <c:pt idx="39">
                  <c:v>30.04.2014</c:v>
                </c:pt>
                <c:pt idx="40">
                  <c:v>31.05.2014</c:v>
                </c:pt>
                <c:pt idx="41">
                  <c:v>30.06.2014</c:v>
                </c:pt>
                <c:pt idx="42">
                  <c:v>31.07.2014</c:v>
                </c:pt>
                <c:pt idx="43">
                  <c:v>31.08.2014</c:v>
                </c:pt>
                <c:pt idx="44">
                  <c:v>30.09.2014</c:v>
                </c:pt>
                <c:pt idx="45">
                  <c:v>31.10.2014</c:v>
                </c:pt>
                <c:pt idx="46">
                  <c:v>30.11.2014</c:v>
                </c:pt>
                <c:pt idx="47">
                  <c:v>31.12.2014</c:v>
                </c:pt>
                <c:pt idx="48">
                  <c:v>31.01.2015</c:v>
                </c:pt>
                <c:pt idx="49">
                  <c:v>28.02.2015</c:v>
                </c:pt>
                <c:pt idx="50">
                  <c:v>31.03.2015</c:v>
                </c:pt>
                <c:pt idx="51">
                  <c:v>30.04.2015</c:v>
                </c:pt>
                <c:pt idx="52">
                  <c:v>31.05.2015</c:v>
                </c:pt>
                <c:pt idx="53">
                  <c:v>30.06.2015</c:v>
                </c:pt>
                <c:pt idx="54">
                  <c:v>31.07.2015</c:v>
                </c:pt>
                <c:pt idx="55">
                  <c:v>31.08.2015</c:v>
                </c:pt>
                <c:pt idx="56">
                  <c:v>30.09.2015</c:v>
                </c:pt>
                <c:pt idx="57">
                  <c:v>31.10.2015</c:v>
                </c:pt>
                <c:pt idx="58">
                  <c:v>30.11.2015</c:v>
                </c:pt>
                <c:pt idx="59">
                  <c:v>31.12.2015</c:v>
                </c:pt>
                <c:pt idx="60">
                  <c:v>31.01.2016</c:v>
                </c:pt>
                <c:pt idx="61">
                  <c:v>28.02.2016</c:v>
                </c:pt>
                <c:pt idx="62">
                  <c:v>31.03.2016</c:v>
                </c:pt>
                <c:pt idx="63">
                  <c:v>30.04.2016</c:v>
                </c:pt>
                <c:pt idx="64">
                  <c:v>31.05.2016</c:v>
                </c:pt>
                <c:pt idx="65">
                  <c:v>30.06.2016</c:v>
                </c:pt>
                <c:pt idx="66">
                  <c:v>31.07.2016</c:v>
                </c:pt>
                <c:pt idx="67">
                  <c:v>31.08.2016</c:v>
                </c:pt>
                <c:pt idx="68">
                  <c:v>30.09.2016</c:v>
                </c:pt>
                <c:pt idx="69">
                  <c:v>31.10.2016</c:v>
                </c:pt>
                <c:pt idx="70">
                  <c:v>30.11.2016</c:v>
                </c:pt>
                <c:pt idx="71">
                  <c:v>31.12.2016</c:v>
                </c:pt>
                <c:pt idx="72">
                  <c:v>31.01.2017</c:v>
                </c:pt>
                <c:pt idx="73">
                  <c:v>28.02.2017</c:v>
                </c:pt>
                <c:pt idx="74">
                  <c:v>31.03.2017</c:v>
                </c:pt>
                <c:pt idx="75">
                  <c:v>30.04.2017</c:v>
                </c:pt>
                <c:pt idx="76">
                  <c:v>31.05.2017</c:v>
                </c:pt>
                <c:pt idx="77">
                  <c:v>30.06.2017</c:v>
                </c:pt>
                <c:pt idx="78">
                  <c:v>31.07.2017</c:v>
                </c:pt>
                <c:pt idx="79">
                  <c:v>31.08.2017</c:v>
                </c:pt>
                <c:pt idx="80">
                  <c:v>30.09.2017</c:v>
                </c:pt>
                <c:pt idx="81">
                  <c:v>31.10.2017</c:v>
                </c:pt>
                <c:pt idx="82">
                  <c:v>30.11.2017</c:v>
                </c:pt>
                <c:pt idx="83">
                  <c:v>31.12.2017</c:v>
                </c:pt>
                <c:pt idx="84">
                  <c:v>31.01.2018</c:v>
                </c:pt>
                <c:pt idx="85">
                  <c:v>28.02.2018</c:v>
                </c:pt>
                <c:pt idx="86">
                  <c:v>31.03.2018</c:v>
                </c:pt>
                <c:pt idx="87">
                  <c:v>30.04.2018</c:v>
                </c:pt>
                <c:pt idx="88">
                  <c:v>31.05.2018</c:v>
                </c:pt>
                <c:pt idx="89">
                  <c:v>30.06.2018</c:v>
                </c:pt>
                <c:pt idx="90">
                  <c:v>31.07.2018</c:v>
                </c:pt>
                <c:pt idx="91">
                  <c:v>31.08.2018</c:v>
                </c:pt>
                <c:pt idx="92">
                  <c:v>30.09.2018</c:v>
                </c:pt>
                <c:pt idx="93">
                  <c:v>31.10.2018</c:v>
                </c:pt>
                <c:pt idx="94">
                  <c:v>30.11.2018</c:v>
                </c:pt>
                <c:pt idx="95">
                  <c:v>31.12.2018</c:v>
                </c:pt>
                <c:pt idx="96">
                  <c:v>31.01.2019</c:v>
                </c:pt>
                <c:pt idx="97">
                  <c:v>28.02.2019</c:v>
                </c:pt>
                <c:pt idx="98">
                  <c:v>31.03.2019</c:v>
                </c:pt>
                <c:pt idx="99">
                  <c:v>30.04.2019</c:v>
                </c:pt>
                <c:pt idx="100">
                  <c:v>31.05.2019</c:v>
                </c:pt>
                <c:pt idx="101">
                  <c:v>30.06.2019</c:v>
                </c:pt>
                <c:pt idx="102">
                  <c:v>31.07.2019</c:v>
                </c:pt>
                <c:pt idx="103">
                  <c:v>31.08.2019</c:v>
                </c:pt>
                <c:pt idx="104">
                  <c:v>30.09.2019</c:v>
                </c:pt>
                <c:pt idx="105">
                  <c:v>31.10.2019</c:v>
                </c:pt>
                <c:pt idx="106">
                  <c:v>30.11.2019</c:v>
                </c:pt>
                <c:pt idx="107">
                  <c:v>31.12.2019</c:v>
                </c:pt>
                <c:pt idx="108">
                  <c:v>31.01.2020</c:v>
                </c:pt>
                <c:pt idx="109">
                  <c:v>28.02.2020</c:v>
                </c:pt>
                <c:pt idx="110">
                  <c:v>31.03.2020</c:v>
                </c:pt>
                <c:pt idx="111">
                  <c:v>30.04.2020</c:v>
                </c:pt>
                <c:pt idx="112">
                  <c:v>31.05.2020</c:v>
                </c:pt>
                <c:pt idx="113">
                  <c:v>30.06.2020</c:v>
                </c:pt>
                <c:pt idx="114">
                  <c:v>31.07.2020</c:v>
                </c:pt>
                <c:pt idx="115">
                  <c:v>31.08.2020</c:v>
                </c:pt>
                <c:pt idx="116">
                  <c:v>30.09.2020</c:v>
                </c:pt>
                <c:pt idx="117">
                  <c:v>31.10.2020</c:v>
                </c:pt>
                <c:pt idx="118">
                  <c:v>30.11.2020</c:v>
                </c:pt>
                <c:pt idx="119">
                  <c:v>31.12.2020</c:v>
                </c:pt>
              </c:strCache>
            </c:strRef>
          </c:cat>
          <c:val>
            <c:numRef>
              <c:f>Predicció!$C$122:$C$241</c:f>
              <c:numCache>
                <c:formatCode>General</c:formatCode>
                <c:ptCount val="120"/>
                <c:pt idx="63" formatCode="#,##0">
                  <c:v>8849.3483268740838</c:v>
                </c:pt>
                <c:pt idx="64" formatCode="#,##0">
                  <c:v>8818.7552553188361</c:v>
                </c:pt>
                <c:pt idx="65" formatCode="#,##0">
                  <c:v>8783.2369542840697</c:v>
                </c:pt>
                <c:pt idx="66" formatCode="#,##0">
                  <c:v>8716.2476405377893</c:v>
                </c:pt>
                <c:pt idx="67" formatCode="#,##0">
                  <c:v>8714.1251812170904</c:v>
                </c:pt>
                <c:pt idx="68" formatCode="#,##0">
                  <c:v>8695.7202381947882</c:v>
                </c:pt>
                <c:pt idx="69" formatCode="#,##0">
                  <c:v>8742.9324602160523</c:v>
                </c:pt>
                <c:pt idx="70" formatCode="#,##0">
                  <c:v>8690.4951260116486</c:v>
                </c:pt>
                <c:pt idx="71" formatCode="#,##0">
                  <c:v>8653.0532438103182</c:v>
                </c:pt>
                <c:pt idx="72" formatCode="#,##0">
                  <c:v>8561.5406199788576</c:v>
                </c:pt>
                <c:pt idx="73" formatCode="#,##0">
                  <c:v>8542.7975042445069</c:v>
                </c:pt>
                <c:pt idx="74" formatCode="#,##0">
                  <c:v>8536.0591761982851</c:v>
                </c:pt>
                <c:pt idx="75" formatCode="#,##0">
                  <c:v>8544.4725329100147</c:v>
                </c:pt>
                <c:pt idx="76" formatCode="#,##0">
                  <c:v>8525.5325869517546</c:v>
                </c:pt>
                <c:pt idx="77" formatCode="#,##0">
                  <c:v>8452.3713835456656</c:v>
                </c:pt>
                <c:pt idx="78" formatCode="#,##0">
                  <c:v>8404.9589297786115</c:v>
                </c:pt>
                <c:pt idx="79" formatCode="#,##0">
                  <c:v>8348.9347684460754</c:v>
                </c:pt>
                <c:pt idx="80" formatCode="#,##0">
                  <c:v>8369.2593227423513</c:v>
                </c:pt>
                <c:pt idx="81" formatCode="#,##0">
                  <c:v>8350.8650293215014</c:v>
                </c:pt>
                <c:pt idx="82" formatCode="#,##0">
                  <c:v>8343.6419374309426</c:v>
                </c:pt>
                <c:pt idx="83" formatCode="#,##0">
                  <c:v>8272.7005809749062</c:v>
                </c:pt>
                <c:pt idx="84" formatCode="#,##0">
                  <c:v>8219.9215841411515</c:v>
                </c:pt>
                <c:pt idx="85" formatCode="#,##0">
                  <c:v>8182.437970497951</c:v>
                </c:pt>
                <c:pt idx="86" formatCode="#,##0">
                  <c:v>8174.0698415328752</c:v>
                </c:pt>
                <c:pt idx="87" formatCode="#,##0">
                  <c:v>8181.5156760363971</c:v>
                </c:pt>
                <c:pt idx="88" formatCode="#,##0">
                  <c:v>8143.0159830014682</c:v>
                </c:pt>
                <c:pt idx="89" formatCode="#,##0">
                  <c:v>8104.6465565058297</c:v>
                </c:pt>
                <c:pt idx="90" formatCode="#,##0">
                  <c:v>8030.0526626527781</c:v>
                </c:pt>
                <c:pt idx="91" formatCode="#,##0">
                  <c:v>8011.8846084217703</c:v>
                </c:pt>
                <c:pt idx="92" formatCode="#,##0">
                  <c:v>7989.1743388221093</c:v>
                </c:pt>
                <c:pt idx="93" formatCode="#,##0">
                  <c:v>7996.3591327343393</c:v>
                </c:pt>
                <c:pt idx="94" formatCode="#,##0">
                  <c:v>7962.7165074184777</c:v>
                </c:pt>
                <c:pt idx="95" formatCode="#,##0">
                  <c:v>7914.6868406072044</c:v>
                </c:pt>
                <c:pt idx="96" formatCode="#,##0">
                  <c:v>7861.419950537319</c:v>
                </c:pt>
                <c:pt idx="97" formatCode="#,##0">
                  <c:v>7821.4804592816417</c:v>
                </c:pt>
                <c:pt idx="98" formatCode="#,##0">
                  <c:v>7819.8046768222293</c:v>
                </c:pt>
                <c:pt idx="99" formatCode="#,##0">
                  <c:v>7801.0581282736975</c:v>
                </c:pt>
                <c:pt idx="100" formatCode="#,##0">
                  <c:v>7787.4197180661386</c:v>
                </c:pt>
                <c:pt idx="101" formatCode="#,##0">
                  <c:v>7726.0152644518257</c:v>
                </c:pt>
                <c:pt idx="102" formatCode="#,##0">
                  <c:v>7685.6559256040528</c:v>
                </c:pt>
                <c:pt idx="103" formatCode="#,##0">
                  <c:v>7642.1593184078192</c:v>
                </c:pt>
                <c:pt idx="104" formatCode="#,##0">
                  <c:v>7635.6432947760168</c:v>
                </c:pt>
                <c:pt idx="105" formatCode="#,##0">
                  <c:v>7622.6410741993868</c:v>
                </c:pt>
                <c:pt idx="106" formatCode="#,##0">
                  <c:v>7595.6411923630603</c:v>
                </c:pt>
                <c:pt idx="107" formatCode="#,##0">
                  <c:v>7552.8154706823398</c:v>
                </c:pt>
                <c:pt idx="108" formatCode="#,##0">
                  <c:v>7496.844516231602</c:v>
                </c:pt>
                <c:pt idx="109" formatCode="#,##0">
                  <c:v>7471.5776535541308</c:v>
                </c:pt>
                <c:pt idx="110" formatCode="#,##0">
                  <c:v>7446.7869895506701</c:v>
                </c:pt>
                <c:pt idx="111" formatCode="#,##0">
                  <c:v>7444.5885775680517</c:v>
                </c:pt>
                <c:pt idx="112" formatCode="#,##0">
                  <c:v>7408.3953608627489</c:v>
                </c:pt>
                <c:pt idx="113" formatCode="#,##0">
                  <c:v>7371.6402140064583</c:v>
                </c:pt>
                <c:pt idx="114" formatCode="#,##0">
                  <c:v>7318.6007847272112</c:v>
                </c:pt>
                <c:pt idx="115" formatCode="#,##0">
                  <c:v>7288.2256411017643</c:v>
                </c:pt>
                <c:pt idx="116" formatCode="#,##0">
                  <c:v>7270.8722593318844</c:v>
                </c:pt>
                <c:pt idx="117" formatCode="#,##0">
                  <c:v>7254.5620835203072</c:v>
                </c:pt>
                <c:pt idx="118" formatCode="#,##0">
                  <c:v>7231.7718328998481</c:v>
                </c:pt>
                <c:pt idx="119" formatCode="#,##0">
                  <c:v>7182.8056703414295</c:v>
                </c:pt>
              </c:numCache>
            </c:numRef>
          </c:val>
          <c:smooth val="0"/>
        </c:ser>
        <c:dLbls>
          <c:showLegendKey val="0"/>
          <c:showVal val="0"/>
          <c:showCatName val="0"/>
          <c:showSerName val="0"/>
          <c:showPercent val="0"/>
          <c:showBubbleSize val="0"/>
        </c:dLbls>
        <c:marker val="1"/>
        <c:smooth val="0"/>
        <c:axId val="137270784"/>
        <c:axId val="137272320"/>
      </c:lineChart>
      <c:catAx>
        <c:axId val="137270784"/>
        <c:scaling>
          <c:orientation val="minMax"/>
        </c:scaling>
        <c:delete val="0"/>
        <c:axPos val="b"/>
        <c:majorTickMark val="none"/>
        <c:minorTickMark val="none"/>
        <c:tickLblPos val="nextTo"/>
        <c:crossAx val="137272320"/>
        <c:crosses val="autoZero"/>
        <c:auto val="1"/>
        <c:lblAlgn val="ctr"/>
        <c:lblOffset val="100"/>
        <c:noMultiLvlLbl val="0"/>
      </c:catAx>
      <c:valAx>
        <c:axId val="137272320"/>
        <c:scaling>
          <c:orientation val="minMax"/>
        </c:scaling>
        <c:delete val="0"/>
        <c:axPos val="l"/>
        <c:majorGridlines/>
        <c:numFmt formatCode="#,##0" sourceLinked="1"/>
        <c:majorTickMark val="none"/>
        <c:minorTickMark val="none"/>
        <c:tickLblPos val="nextTo"/>
        <c:spPr>
          <a:ln w="9525">
            <a:noFill/>
          </a:ln>
        </c:spPr>
        <c:crossAx val="137270784"/>
        <c:crosses val="autoZero"/>
        <c:crossBetween val="between"/>
      </c:valAx>
    </c:plotArea>
    <c:legend>
      <c:legendPos val="b"/>
      <c:overlay val="0"/>
    </c:legend>
    <c:plotVisOnly val="1"/>
    <c:dispBlanksAs val="gap"/>
    <c:showDLblsOverMax val="0"/>
  </c:chart>
  <c:txPr>
    <a:bodyPr/>
    <a:lstStyle/>
    <a:p>
      <a:pPr>
        <a:defRPr sz="700"/>
      </a:pPr>
      <a:endParaRPr lang="ca-ES"/>
    </a:p>
  </c:txPr>
  <c:externalData r:id="rId1">
    <c:autoUpdate val="1"/>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ca-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doughnutChart>
        <c:varyColors val="1"/>
        <c:ser>
          <c:idx val="0"/>
          <c:order val="0"/>
          <c:dLbls>
            <c:txPr>
              <a:bodyPr/>
              <a:lstStyle/>
              <a:p>
                <a:pPr>
                  <a:defRPr sz="1000" b="1">
                    <a:solidFill>
                      <a:schemeClr val="bg1"/>
                    </a:solidFill>
                    <a:latin typeface="Arial" panose="020B0604020202020204" pitchFamily="34" charset="0"/>
                    <a:cs typeface="Arial" panose="020B0604020202020204" pitchFamily="34" charset="0"/>
                  </a:defRPr>
                </a:pPr>
                <a:endParaRPr lang="ca-ES"/>
              </a:p>
            </c:txPr>
            <c:showLegendKey val="0"/>
            <c:showVal val="1"/>
            <c:showCatName val="0"/>
            <c:showSerName val="0"/>
            <c:showPercent val="0"/>
            <c:showBubbleSize val="0"/>
            <c:showLeaderLines val="1"/>
          </c:dLbls>
          <c:cat>
            <c:strRef>
              <c:f>Full3!$A$2:$A$6</c:f>
              <c:strCache>
                <c:ptCount val="5"/>
                <c:pt idx="0">
                  <c:v>Formació instrumental</c:v>
                </c:pt>
                <c:pt idx="1">
                  <c:v>Educació secundària</c:v>
                </c:pt>
                <c:pt idx="2">
                  <c:v>Batxillerat / CCFF</c:v>
                </c:pt>
                <c:pt idx="3">
                  <c:v>Estudis universitaris</c:v>
                </c:pt>
                <c:pt idx="4">
                  <c:v>No consten dades</c:v>
                </c:pt>
              </c:strCache>
            </c:strRef>
          </c:cat>
          <c:val>
            <c:numRef>
              <c:f>Full3!$B$2:$B$6</c:f>
              <c:numCache>
                <c:formatCode>0%</c:formatCode>
                <c:ptCount val="5"/>
                <c:pt idx="0">
                  <c:v>0.43</c:v>
                </c:pt>
                <c:pt idx="1">
                  <c:v>0.36</c:v>
                </c:pt>
                <c:pt idx="2">
                  <c:v>0.09</c:v>
                </c:pt>
                <c:pt idx="3">
                  <c:v>0.06</c:v>
                </c:pt>
                <c:pt idx="4">
                  <c:v>0.06</c:v>
                </c:pt>
              </c:numCache>
            </c:numRef>
          </c:val>
        </c:ser>
        <c:dLbls>
          <c:showLegendKey val="0"/>
          <c:showVal val="1"/>
          <c:showCatName val="0"/>
          <c:showSerName val="0"/>
          <c:showPercent val="0"/>
          <c:showBubbleSize val="0"/>
          <c:showLeaderLines val="1"/>
        </c:dLbls>
        <c:firstSliceAng val="0"/>
        <c:holeSize val="50"/>
      </c:doughnutChart>
    </c:plotArea>
    <c:legend>
      <c:legendPos val="r"/>
      <c:overlay val="0"/>
      <c:txPr>
        <a:bodyPr/>
        <a:lstStyle/>
        <a:p>
          <a:pPr>
            <a:defRPr sz="1000">
              <a:latin typeface="Arial" panose="020B0604020202020204" pitchFamily="34" charset="0"/>
              <a:cs typeface="Arial" panose="020B0604020202020204" pitchFamily="34" charset="0"/>
            </a:defRPr>
          </a:pPr>
          <a:endParaRPr lang="ca-ES"/>
        </a:p>
      </c:txPr>
    </c:legend>
    <c:plotVisOnly val="1"/>
    <c:dispBlanksAs val="gap"/>
    <c:showDLblsOverMax val="0"/>
  </c:chart>
  <c:spPr>
    <a:ln>
      <a:noFill/>
    </a:ln>
  </c:sp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ca-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floor>
    <c:sideWall>
      <c:thickness val="0"/>
    </c:sideWall>
    <c:backWall>
      <c:thickness val="0"/>
    </c:backWall>
    <c:plotArea>
      <c:layout/>
      <c:bar3DChart>
        <c:barDir val="col"/>
        <c:grouping val="clustered"/>
        <c:varyColors val="1"/>
        <c:ser>
          <c:idx val="0"/>
          <c:order val="0"/>
          <c:tx>
            <c:strRef>
              <c:f>Full1!$B$57</c:f>
              <c:strCache>
                <c:ptCount val="1"/>
                <c:pt idx="0">
                  <c:v>Persones ocupades </c:v>
                </c:pt>
              </c:strCache>
            </c:strRef>
          </c:tx>
          <c:invertIfNegative val="0"/>
          <c:dPt>
            <c:idx val="0"/>
            <c:invertIfNegative val="0"/>
            <c:bubble3D val="0"/>
            <c:spPr>
              <a:solidFill>
                <a:schemeClr val="accent6">
                  <a:lumMod val="20000"/>
                  <a:lumOff val="80000"/>
                </a:schemeClr>
              </a:solidFill>
            </c:spPr>
          </c:dPt>
          <c:dPt>
            <c:idx val="1"/>
            <c:invertIfNegative val="0"/>
            <c:bubble3D val="0"/>
            <c:spPr>
              <a:solidFill>
                <a:schemeClr val="accent6">
                  <a:lumMod val="40000"/>
                  <a:lumOff val="60000"/>
                </a:schemeClr>
              </a:solidFill>
            </c:spPr>
          </c:dPt>
          <c:dPt>
            <c:idx val="2"/>
            <c:invertIfNegative val="0"/>
            <c:bubble3D val="0"/>
            <c:spPr>
              <a:solidFill>
                <a:schemeClr val="accent6">
                  <a:lumMod val="60000"/>
                  <a:lumOff val="40000"/>
                </a:schemeClr>
              </a:solidFill>
            </c:spPr>
          </c:dPt>
          <c:dPt>
            <c:idx val="3"/>
            <c:invertIfNegative val="0"/>
            <c:bubble3D val="0"/>
            <c:spPr>
              <a:solidFill>
                <a:schemeClr val="accent2">
                  <a:lumMod val="40000"/>
                  <a:lumOff val="60000"/>
                </a:schemeClr>
              </a:solidFill>
            </c:spPr>
          </c:dPt>
          <c:dPt>
            <c:idx val="4"/>
            <c:invertIfNegative val="0"/>
            <c:bubble3D val="0"/>
            <c:spPr>
              <a:solidFill>
                <a:srgbClr val="C55E5B"/>
              </a:solidFill>
            </c:spPr>
          </c:dPt>
          <c:dPt>
            <c:idx val="5"/>
            <c:invertIfNegative val="0"/>
            <c:bubble3D val="0"/>
            <c:spPr>
              <a:solidFill>
                <a:srgbClr val="8E3432"/>
              </a:solidFill>
            </c:spPr>
          </c:dPt>
          <c:dPt>
            <c:idx val="6"/>
            <c:invertIfNegative val="0"/>
            <c:bubble3D val="0"/>
            <c:spPr>
              <a:solidFill>
                <a:srgbClr val="FFFFCC"/>
              </a:solidFill>
            </c:spPr>
          </c:dPt>
          <c:dPt>
            <c:idx val="7"/>
            <c:invertIfNegative val="0"/>
            <c:bubble3D val="0"/>
            <c:spPr>
              <a:solidFill>
                <a:srgbClr val="F4FC8E"/>
              </a:solidFill>
            </c:spPr>
          </c:dPt>
          <c:dPt>
            <c:idx val="8"/>
            <c:invertIfNegative val="0"/>
            <c:bubble3D val="0"/>
          </c:dPt>
          <c:dPt>
            <c:idx val="9"/>
            <c:invertIfNegative val="0"/>
            <c:bubble3D val="0"/>
            <c:spPr>
              <a:solidFill>
                <a:srgbClr val="FFC000"/>
              </a:solidFill>
            </c:spPr>
          </c:dPt>
          <c:dPt>
            <c:idx val="10"/>
            <c:invertIfNegative val="0"/>
            <c:bubble3D val="0"/>
            <c:spPr>
              <a:solidFill>
                <a:schemeClr val="accent6">
                  <a:lumMod val="75000"/>
                </a:schemeClr>
              </a:solidFill>
            </c:spPr>
          </c:dPt>
          <c:dPt>
            <c:idx val="11"/>
            <c:invertIfNegative val="0"/>
            <c:bubble3D val="0"/>
            <c:spPr>
              <a:solidFill>
                <a:schemeClr val="accent6">
                  <a:lumMod val="50000"/>
                </a:schemeClr>
              </a:solidFill>
            </c:spPr>
          </c:dPt>
          <c:dPt>
            <c:idx val="12"/>
            <c:invertIfNegative val="0"/>
            <c:bubble3D val="0"/>
            <c:spPr>
              <a:solidFill>
                <a:srgbClr val="3B1C03"/>
              </a:solidFill>
            </c:spPr>
          </c:dPt>
          <c:dLbls>
            <c:dLbl>
              <c:idx val="0"/>
              <c:layout>
                <c:manualLayout>
                  <c:x val="9.8039203072512598E-3"/>
                  <c:y val="-2.1621621621621623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3.2679734357504201E-3"/>
                  <c:y val="-1.8018018018018018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1.63398671787521E-3"/>
                  <c:y val="-2.1621621621621689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1.63398671787521E-3"/>
                  <c:y val="-1.8018018018018018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0"/>
                  <c:y val="-2.5225225225225224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0"/>
                  <c:y val="-1.8018018018018018E-2"/>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5.9912154211773071E-17"/>
                  <c:y val="-2.8828828828828812E-2"/>
                </c:manualLayout>
              </c:layout>
              <c:showLegendKey val="0"/>
              <c:showVal val="1"/>
              <c:showCatName val="0"/>
              <c:showSerName val="0"/>
              <c:showPercent val="0"/>
              <c:showBubbleSize val="0"/>
              <c:extLst>
                <c:ext xmlns:c15="http://schemas.microsoft.com/office/drawing/2012/chart" uri="{CE6537A1-D6FC-4f65-9D91-7224C49458BB}"/>
              </c:extLst>
            </c:dLbl>
            <c:dLbl>
              <c:idx val="7"/>
              <c:layout>
                <c:manualLayout>
                  <c:x val="4.9019601536256299E-3"/>
                  <c:y val="-2.8828828828828829E-2"/>
                </c:manualLayout>
              </c:layout>
              <c:showLegendKey val="0"/>
              <c:showVal val="1"/>
              <c:showCatName val="0"/>
              <c:showSerName val="0"/>
              <c:showPercent val="0"/>
              <c:showBubbleSize val="0"/>
              <c:extLst>
                <c:ext xmlns:c15="http://schemas.microsoft.com/office/drawing/2012/chart" uri="{CE6537A1-D6FC-4f65-9D91-7224C49458BB}"/>
              </c:extLst>
            </c:dLbl>
            <c:dLbl>
              <c:idx val="8"/>
              <c:layout>
                <c:manualLayout>
                  <c:x val="4.9019601536256299E-3"/>
                  <c:y val="-2.5225508973540471E-2"/>
                </c:manualLayout>
              </c:layout>
              <c:showLegendKey val="0"/>
              <c:showVal val="1"/>
              <c:showCatName val="0"/>
              <c:showSerName val="0"/>
              <c:showPercent val="0"/>
              <c:showBubbleSize val="0"/>
              <c:extLst>
                <c:ext xmlns:c15="http://schemas.microsoft.com/office/drawing/2012/chart" uri="{CE6537A1-D6FC-4f65-9D91-7224C49458BB}"/>
              </c:extLst>
            </c:dLbl>
            <c:dLbl>
              <c:idx val="9"/>
              <c:layout>
                <c:manualLayout>
                  <c:x val="0"/>
                  <c:y val="-1.8018301766333261E-2"/>
                </c:manualLayout>
              </c:layout>
              <c:showLegendKey val="0"/>
              <c:showVal val="1"/>
              <c:showCatName val="0"/>
              <c:showSerName val="0"/>
              <c:showPercent val="0"/>
              <c:showBubbleSize val="0"/>
              <c:extLst>
                <c:ext xmlns:c15="http://schemas.microsoft.com/office/drawing/2012/chart" uri="{CE6537A1-D6FC-4f65-9D91-7224C49458BB}"/>
              </c:extLst>
            </c:dLbl>
            <c:dLbl>
              <c:idx val="10"/>
              <c:layout>
                <c:manualLayout>
                  <c:x val="0"/>
                  <c:y val="-1.8018018018018001E-2"/>
                </c:manualLayout>
              </c:layout>
              <c:showLegendKey val="0"/>
              <c:showVal val="1"/>
              <c:showCatName val="0"/>
              <c:showSerName val="0"/>
              <c:showPercent val="0"/>
              <c:showBubbleSize val="0"/>
              <c:extLst>
                <c:ext xmlns:c15="http://schemas.microsoft.com/office/drawing/2012/chart" uri="{CE6537A1-D6FC-4f65-9D91-7224C49458BB}"/>
              </c:extLst>
            </c:dLbl>
            <c:dLbl>
              <c:idx val="11"/>
              <c:layout>
                <c:manualLayout>
                  <c:x val="1.1437907025126469E-2"/>
                  <c:y val="-1.8018018018018018E-2"/>
                </c:manualLayout>
              </c:layout>
              <c:showLegendKey val="0"/>
              <c:showVal val="1"/>
              <c:showCatName val="0"/>
              <c:showSerName val="0"/>
              <c:showPercent val="0"/>
              <c:showBubbleSize val="0"/>
              <c:extLst>
                <c:ext xmlns:c15="http://schemas.microsoft.com/office/drawing/2012/chart" uri="{CE6537A1-D6FC-4f65-9D91-7224C49458BB}"/>
              </c:extLst>
            </c:dLbl>
            <c:dLbl>
              <c:idx val="12"/>
              <c:layout>
                <c:manualLayout>
                  <c:x val="4.9019601536256299E-3"/>
                  <c:y val="-3.2432432432432434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800">
                    <a:latin typeface="Arial" panose="020B0604020202020204" pitchFamily="34" charset="0"/>
                    <a:cs typeface="Arial" panose="020B0604020202020204" pitchFamily="34" charset="0"/>
                  </a:defRPr>
                </a:pPr>
                <a:endParaRPr lang="ca-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Full1!$D$59:$P$59</c:f>
              <c:numCache>
                <c:formatCode>General</c:formatCode>
                <c:ptCount val="13"/>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numCache>
            </c:numRef>
          </c:cat>
          <c:val>
            <c:numRef>
              <c:f>Full1!$D$57:$P$57</c:f>
              <c:numCache>
                <c:formatCode>#,##0</c:formatCode>
                <c:ptCount val="13"/>
                <c:pt idx="0">
                  <c:v>1263</c:v>
                </c:pt>
                <c:pt idx="1">
                  <c:v>1466</c:v>
                </c:pt>
                <c:pt idx="2">
                  <c:v>1665</c:v>
                </c:pt>
                <c:pt idx="3">
                  <c:v>1924</c:v>
                </c:pt>
                <c:pt idx="4">
                  <c:v>2332</c:v>
                </c:pt>
                <c:pt idx="5">
                  <c:v>3124</c:v>
                </c:pt>
                <c:pt idx="6">
                  <c:v>3778</c:v>
                </c:pt>
                <c:pt idx="7">
                  <c:v>3902</c:v>
                </c:pt>
                <c:pt idx="8">
                  <c:v>3738</c:v>
                </c:pt>
                <c:pt idx="9">
                  <c:v>3727</c:v>
                </c:pt>
                <c:pt idx="10">
                  <c:v>3764</c:v>
                </c:pt>
                <c:pt idx="11">
                  <c:v>4011</c:v>
                </c:pt>
                <c:pt idx="12">
                  <c:v>4107</c:v>
                </c:pt>
              </c:numCache>
            </c:numRef>
          </c:val>
        </c:ser>
        <c:dLbls>
          <c:showLegendKey val="0"/>
          <c:showVal val="0"/>
          <c:showCatName val="0"/>
          <c:showSerName val="0"/>
          <c:showPercent val="0"/>
          <c:showBubbleSize val="0"/>
        </c:dLbls>
        <c:gapWidth val="26"/>
        <c:gapDepth val="0"/>
        <c:shape val="cylinder"/>
        <c:axId val="137440640"/>
        <c:axId val="137446528"/>
        <c:axId val="0"/>
      </c:bar3DChart>
      <c:catAx>
        <c:axId val="137440640"/>
        <c:scaling>
          <c:orientation val="minMax"/>
        </c:scaling>
        <c:delete val="0"/>
        <c:axPos val="b"/>
        <c:numFmt formatCode="General" sourceLinked="1"/>
        <c:majorTickMark val="none"/>
        <c:minorTickMark val="none"/>
        <c:tickLblPos val="nextTo"/>
        <c:txPr>
          <a:bodyPr/>
          <a:lstStyle/>
          <a:p>
            <a:pPr>
              <a:defRPr sz="900">
                <a:latin typeface="Arial" panose="020B0604020202020204" pitchFamily="34" charset="0"/>
                <a:cs typeface="Arial" panose="020B0604020202020204" pitchFamily="34" charset="0"/>
              </a:defRPr>
            </a:pPr>
            <a:endParaRPr lang="ca-ES"/>
          </a:p>
        </c:txPr>
        <c:crossAx val="137446528"/>
        <c:crosses val="autoZero"/>
        <c:auto val="1"/>
        <c:lblAlgn val="ctr"/>
        <c:lblOffset val="100"/>
        <c:noMultiLvlLbl val="0"/>
      </c:catAx>
      <c:valAx>
        <c:axId val="137446528"/>
        <c:scaling>
          <c:orientation val="minMax"/>
        </c:scaling>
        <c:delete val="1"/>
        <c:axPos val="l"/>
        <c:numFmt formatCode="#,##0" sourceLinked="1"/>
        <c:majorTickMark val="out"/>
        <c:minorTickMark val="none"/>
        <c:tickLblPos val="nextTo"/>
        <c:crossAx val="137440640"/>
        <c:crosses val="autoZero"/>
        <c:crossBetween val="between"/>
      </c:valAx>
      <c:spPr>
        <a:noFill/>
        <a:ln w="25400">
          <a:noFill/>
        </a:ln>
      </c:spPr>
    </c:plotArea>
    <c:plotVisOnly val="1"/>
    <c:dispBlanksAs val="gap"/>
    <c:showDLblsOverMax val="0"/>
  </c:chart>
  <c:spPr>
    <a:ln>
      <a:no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ca-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3609265442850449E-2"/>
          <c:y val="0.10068375724134228"/>
          <c:w val="0.88689132124738279"/>
          <c:h val="0.70816206408598048"/>
        </c:manualLayout>
      </c:layout>
      <c:lineChart>
        <c:grouping val="standard"/>
        <c:varyColors val="0"/>
        <c:ser>
          <c:idx val="0"/>
          <c:order val="0"/>
          <c:tx>
            <c:strRef>
              <c:f>'1984-2015'!$B$1</c:f>
              <c:strCache>
                <c:ptCount val="1"/>
                <c:pt idx="0">
                  <c:v>Població encarcerada</c:v>
                </c:pt>
              </c:strCache>
            </c:strRef>
          </c:tx>
          <c:spPr>
            <a:ln>
              <a:solidFill>
                <a:schemeClr val="accent1">
                  <a:lumMod val="75000"/>
                </a:schemeClr>
              </a:solidFill>
            </a:ln>
          </c:spPr>
          <c:marker>
            <c:symbol val="none"/>
          </c:marker>
          <c:dLbls>
            <c:dLbl>
              <c:idx val="4"/>
              <c:layout>
                <c:manualLayout>
                  <c:x val="-2.5605027335767708E-2"/>
                  <c:y val="6.7829135003682706E-2"/>
                </c:manualLayout>
              </c:layout>
              <c:dLblPos val="r"/>
              <c:showLegendKey val="0"/>
              <c:showVal val="1"/>
              <c:showCatName val="0"/>
              <c:showSerName val="0"/>
              <c:showPercent val="0"/>
              <c:showBubbleSize val="0"/>
            </c:dLbl>
            <c:dLbl>
              <c:idx val="5"/>
              <c:layout>
                <c:manualLayout>
                  <c:x val="-2.5605027335767708E-2"/>
                  <c:y val="6.3418918163391236E-2"/>
                </c:manualLayout>
              </c:layout>
              <c:dLblPos val="r"/>
              <c:showLegendKey val="0"/>
              <c:showVal val="1"/>
              <c:showCatName val="0"/>
              <c:showSerName val="0"/>
              <c:showPercent val="0"/>
              <c:showBubbleSize val="0"/>
            </c:dLbl>
            <c:dLbl>
              <c:idx val="6"/>
              <c:layout>
                <c:manualLayout>
                  <c:x val="-2.7957885688136962E-2"/>
                  <c:y val="6.7829135003682706E-2"/>
                </c:manualLayout>
              </c:layout>
              <c:dLblPos val="r"/>
              <c:showLegendKey val="0"/>
              <c:showVal val="1"/>
              <c:showCatName val="0"/>
              <c:showSerName val="0"/>
              <c:showPercent val="0"/>
              <c:showBubbleSize val="0"/>
            </c:dLbl>
            <c:txPr>
              <a:bodyPr rot="-5400000" vert="horz"/>
              <a:lstStyle/>
              <a:p>
                <a:pPr>
                  <a:defRPr/>
                </a:pPr>
                <a:endParaRPr lang="ca-ES"/>
              </a:p>
            </c:txPr>
            <c:dLblPos val="t"/>
            <c:showLegendKey val="0"/>
            <c:showVal val="1"/>
            <c:showCatName val="0"/>
            <c:showSerName val="0"/>
            <c:showPercent val="0"/>
            <c:showBubbleSize val="0"/>
            <c:showLeaderLines val="0"/>
          </c:dLbls>
          <c:cat>
            <c:numRef>
              <c:f>'1984-2015'!$A$5:$A$36</c:f>
              <c:numCache>
                <c:formatCode>General</c:formatCode>
                <c:ptCount val="32"/>
                <c:pt idx="0">
                  <c:v>1984</c:v>
                </c:pt>
                <c:pt idx="1">
                  <c:v>1985</c:v>
                </c:pt>
                <c:pt idx="2">
                  <c:v>1986</c:v>
                </c:pt>
                <c:pt idx="3">
                  <c:v>1987</c:v>
                </c:pt>
                <c:pt idx="4">
                  <c:v>1988</c:v>
                </c:pt>
                <c:pt idx="5">
                  <c:v>1989</c:v>
                </c:pt>
                <c:pt idx="6">
                  <c:v>1990</c:v>
                </c:pt>
                <c:pt idx="7">
                  <c:v>1991</c:v>
                </c:pt>
                <c:pt idx="8">
                  <c:v>1992</c:v>
                </c:pt>
                <c:pt idx="9">
                  <c:v>1993</c:v>
                </c:pt>
                <c:pt idx="10">
                  <c:v>1994</c:v>
                </c:pt>
                <c:pt idx="11">
                  <c:v>1995</c:v>
                </c:pt>
                <c:pt idx="12">
                  <c:v>1996</c:v>
                </c:pt>
                <c:pt idx="13">
                  <c:v>1997</c:v>
                </c:pt>
                <c:pt idx="14">
                  <c:v>1998</c:v>
                </c:pt>
                <c:pt idx="15">
                  <c:v>1999</c:v>
                </c:pt>
                <c:pt idx="16">
                  <c:v>2000</c:v>
                </c:pt>
                <c:pt idx="17">
                  <c:v>2001</c:v>
                </c:pt>
                <c:pt idx="18">
                  <c:v>2002</c:v>
                </c:pt>
                <c:pt idx="19">
                  <c:v>2003</c:v>
                </c:pt>
                <c:pt idx="20">
                  <c:v>2004</c:v>
                </c:pt>
                <c:pt idx="21">
                  <c:v>2005</c:v>
                </c:pt>
                <c:pt idx="22">
                  <c:v>2006</c:v>
                </c:pt>
                <c:pt idx="23">
                  <c:v>2007</c:v>
                </c:pt>
                <c:pt idx="24">
                  <c:v>2008</c:v>
                </c:pt>
                <c:pt idx="25">
                  <c:v>2009</c:v>
                </c:pt>
                <c:pt idx="26">
                  <c:v>2010</c:v>
                </c:pt>
                <c:pt idx="27">
                  <c:v>2011</c:v>
                </c:pt>
                <c:pt idx="28">
                  <c:v>2012</c:v>
                </c:pt>
                <c:pt idx="29">
                  <c:v>2013</c:v>
                </c:pt>
                <c:pt idx="30">
                  <c:v>2014</c:v>
                </c:pt>
                <c:pt idx="31">
                  <c:v>2015</c:v>
                </c:pt>
              </c:numCache>
            </c:numRef>
          </c:cat>
          <c:val>
            <c:numRef>
              <c:f>'1984-2015'!$B$5:$B$36</c:f>
              <c:numCache>
                <c:formatCode>#,##0</c:formatCode>
                <c:ptCount val="32"/>
                <c:pt idx="0">
                  <c:v>2650</c:v>
                </c:pt>
                <c:pt idx="1">
                  <c:v>3447</c:v>
                </c:pt>
                <c:pt idx="2">
                  <c:v>3723</c:v>
                </c:pt>
                <c:pt idx="3">
                  <c:v>4000</c:v>
                </c:pt>
                <c:pt idx="4">
                  <c:v>4250</c:v>
                </c:pt>
                <c:pt idx="5">
                  <c:v>4478</c:v>
                </c:pt>
                <c:pt idx="6">
                  <c:v>4700</c:v>
                </c:pt>
                <c:pt idx="7">
                  <c:v>5458</c:v>
                </c:pt>
                <c:pt idx="8">
                  <c:v>5976</c:v>
                </c:pt>
                <c:pt idx="9">
                  <c:v>6436</c:v>
                </c:pt>
                <c:pt idx="10">
                  <c:v>6662</c:v>
                </c:pt>
                <c:pt idx="11">
                  <c:v>6344</c:v>
                </c:pt>
                <c:pt idx="12">
                  <c:v>5988</c:v>
                </c:pt>
                <c:pt idx="13">
                  <c:v>5934</c:v>
                </c:pt>
                <c:pt idx="14">
                  <c:v>5956</c:v>
                </c:pt>
                <c:pt idx="15">
                  <c:v>5945</c:v>
                </c:pt>
                <c:pt idx="16">
                  <c:v>6073</c:v>
                </c:pt>
                <c:pt idx="17">
                  <c:v>6405</c:v>
                </c:pt>
                <c:pt idx="18">
                  <c:v>6924</c:v>
                </c:pt>
                <c:pt idx="19">
                  <c:v>7416</c:v>
                </c:pt>
                <c:pt idx="20">
                  <c:v>8094</c:v>
                </c:pt>
                <c:pt idx="21">
                  <c:v>8305</c:v>
                </c:pt>
                <c:pt idx="22">
                  <c:v>8970</c:v>
                </c:pt>
                <c:pt idx="23">
                  <c:v>9395</c:v>
                </c:pt>
                <c:pt idx="24">
                  <c:v>10051</c:v>
                </c:pt>
                <c:pt idx="25">
                  <c:v>10525</c:v>
                </c:pt>
                <c:pt idx="26">
                  <c:v>10520</c:v>
                </c:pt>
                <c:pt idx="27">
                  <c:v>10513</c:v>
                </c:pt>
                <c:pt idx="28">
                  <c:v>10062</c:v>
                </c:pt>
                <c:pt idx="29">
                  <c:v>9818</c:v>
                </c:pt>
                <c:pt idx="30">
                  <c:v>9294</c:v>
                </c:pt>
                <c:pt idx="31">
                  <c:v>8810</c:v>
                </c:pt>
              </c:numCache>
            </c:numRef>
          </c:val>
          <c:smooth val="0"/>
        </c:ser>
        <c:dLbls>
          <c:dLblPos val="b"/>
          <c:showLegendKey val="0"/>
          <c:showVal val="1"/>
          <c:showCatName val="0"/>
          <c:showSerName val="0"/>
          <c:showPercent val="0"/>
          <c:showBubbleSize val="0"/>
        </c:dLbls>
        <c:marker val="1"/>
        <c:smooth val="0"/>
        <c:axId val="130564480"/>
        <c:axId val="130567168"/>
      </c:lineChart>
      <c:lineChart>
        <c:grouping val="standard"/>
        <c:varyColors val="0"/>
        <c:ser>
          <c:idx val="1"/>
          <c:order val="1"/>
          <c:tx>
            <c:strRef>
              <c:f>'1984-2015'!$E$1</c:f>
              <c:strCache>
                <c:ptCount val="1"/>
                <c:pt idx="0">
                  <c:v>Taxa de victimització</c:v>
                </c:pt>
              </c:strCache>
            </c:strRef>
          </c:tx>
          <c:spPr>
            <a:ln>
              <a:solidFill>
                <a:schemeClr val="accent2">
                  <a:lumMod val="75000"/>
                </a:schemeClr>
              </a:solidFill>
            </a:ln>
          </c:spPr>
          <c:marker>
            <c:symbol val="none"/>
          </c:marker>
          <c:dLbls>
            <c:dLbl>
              <c:idx val="0"/>
              <c:layout>
                <c:manualLayout>
                  <c:x val="-2.7957885688136962E-2"/>
                  <c:y val="-6.8005543677294403E-2"/>
                </c:manualLayout>
              </c:layout>
              <c:dLblPos val="r"/>
              <c:showLegendKey val="0"/>
              <c:showVal val="1"/>
              <c:showCatName val="0"/>
              <c:showSerName val="0"/>
              <c:showPercent val="0"/>
              <c:showBubbleSize val="0"/>
            </c:dLbl>
            <c:dLbl>
              <c:idx val="1"/>
              <c:layout>
                <c:manualLayout>
                  <c:x val="-2.7957885688136962E-2"/>
                  <c:y val="-5.9185109996711394E-2"/>
                </c:manualLayout>
              </c:layout>
              <c:dLblPos val="r"/>
              <c:showLegendKey val="0"/>
              <c:showVal val="1"/>
              <c:showCatName val="0"/>
              <c:showSerName val="0"/>
              <c:showPercent val="0"/>
              <c:showBubbleSize val="0"/>
            </c:dLbl>
            <c:dLbl>
              <c:idx val="2"/>
              <c:layout>
                <c:manualLayout>
                  <c:x val="-2.7957885688136962E-2"/>
                  <c:y val="-5.0364676316128509E-2"/>
                </c:manualLayout>
              </c:layout>
              <c:dLblPos val="r"/>
              <c:showLegendKey val="0"/>
              <c:showVal val="1"/>
              <c:showCatName val="0"/>
              <c:showSerName val="0"/>
              <c:showPercent val="0"/>
              <c:showBubbleSize val="0"/>
            </c:dLbl>
            <c:dLbl>
              <c:idx val="3"/>
              <c:layout>
                <c:manualLayout>
                  <c:x val="-2.3252168983398453E-2"/>
                  <c:y val="-4.5954459475837005E-2"/>
                </c:manualLayout>
              </c:layout>
              <c:dLblPos val="r"/>
              <c:showLegendKey val="0"/>
              <c:showVal val="1"/>
              <c:showCatName val="0"/>
              <c:showSerName val="0"/>
              <c:showPercent val="0"/>
              <c:showBubbleSize val="0"/>
            </c:dLbl>
            <c:dLbl>
              <c:idx val="4"/>
              <c:layout>
                <c:manualLayout>
                  <c:x val="-1.7566588670338609E-2"/>
                  <c:y val="-3.72823063142151E-2"/>
                </c:manualLayout>
              </c:layout>
              <c:dLblPos val="r"/>
              <c:showLegendKey val="0"/>
              <c:showVal val="1"/>
              <c:showCatName val="0"/>
              <c:showSerName val="0"/>
              <c:showPercent val="0"/>
              <c:showBubbleSize val="0"/>
            </c:dLbl>
            <c:dLbl>
              <c:idx val="5"/>
              <c:layout>
                <c:manualLayout>
                  <c:x val="-1.8793409773440121E-2"/>
                  <c:y val="-7.9905142139205201E-2"/>
                </c:manualLayout>
              </c:layout>
              <c:dLblPos val="r"/>
              <c:showLegendKey val="0"/>
              <c:showVal val="1"/>
              <c:showCatName val="0"/>
              <c:showSerName val="0"/>
              <c:showPercent val="0"/>
              <c:showBubbleSize val="0"/>
            </c:dLbl>
            <c:dLbl>
              <c:idx val="6"/>
              <c:layout>
                <c:manualLayout>
                  <c:x val="-1.6440551421070867E-2"/>
                  <c:y val="-5.1705798948979351E-2"/>
                </c:manualLayout>
              </c:layout>
              <c:dLblPos val="r"/>
              <c:showLegendKey val="0"/>
              <c:showVal val="1"/>
              <c:showCatName val="0"/>
              <c:showSerName val="0"/>
              <c:showPercent val="0"/>
              <c:showBubbleSize val="0"/>
            </c:dLbl>
            <c:txPr>
              <a:bodyPr rot="-5400000" vert="horz"/>
              <a:lstStyle/>
              <a:p>
                <a:pPr>
                  <a:defRPr/>
                </a:pPr>
                <a:endParaRPr lang="ca-ES"/>
              </a:p>
            </c:txPr>
            <c:dLblPos val="b"/>
            <c:showLegendKey val="0"/>
            <c:showVal val="1"/>
            <c:showCatName val="0"/>
            <c:showSerName val="0"/>
            <c:showPercent val="0"/>
            <c:showBubbleSize val="0"/>
            <c:showLeaderLines val="0"/>
          </c:dLbls>
          <c:cat>
            <c:numRef>
              <c:f>'1984-2015'!$A$5:$A$36</c:f>
              <c:numCache>
                <c:formatCode>General</c:formatCode>
                <c:ptCount val="32"/>
                <c:pt idx="0">
                  <c:v>1984</c:v>
                </c:pt>
                <c:pt idx="1">
                  <c:v>1985</c:v>
                </c:pt>
                <c:pt idx="2">
                  <c:v>1986</c:v>
                </c:pt>
                <c:pt idx="3">
                  <c:v>1987</c:v>
                </c:pt>
                <c:pt idx="4">
                  <c:v>1988</c:v>
                </c:pt>
                <c:pt idx="5">
                  <c:v>1989</c:v>
                </c:pt>
                <c:pt idx="6">
                  <c:v>1990</c:v>
                </c:pt>
                <c:pt idx="7">
                  <c:v>1991</c:v>
                </c:pt>
                <c:pt idx="8">
                  <c:v>1992</c:v>
                </c:pt>
                <c:pt idx="9">
                  <c:v>1993</c:v>
                </c:pt>
                <c:pt idx="10">
                  <c:v>1994</c:v>
                </c:pt>
                <c:pt idx="11">
                  <c:v>1995</c:v>
                </c:pt>
                <c:pt idx="12">
                  <c:v>1996</c:v>
                </c:pt>
                <c:pt idx="13">
                  <c:v>1997</c:v>
                </c:pt>
                <c:pt idx="14">
                  <c:v>1998</c:v>
                </c:pt>
                <c:pt idx="15">
                  <c:v>1999</c:v>
                </c:pt>
                <c:pt idx="16">
                  <c:v>2000</c:v>
                </c:pt>
                <c:pt idx="17">
                  <c:v>2001</c:v>
                </c:pt>
                <c:pt idx="18">
                  <c:v>2002</c:v>
                </c:pt>
                <c:pt idx="19">
                  <c:v>2003</c:v>
                </c:pt>
                <c:pt idx="20">
                  <c:v>2004</c:v>
                </c:pt>
                <c:pt idx="21">
                  <c:v>2005</c:v>
                </c:pt>
                <c:pt idx="22">
                  <c:v>2006</c:v>
                </c:pt>
                <c:pt idx="23">
                  <c:v>2007</c:v>
                </c:pt>
                <c:pt idx="24">
                  <c:v>2008</c:v>
                </c:pt>
                <c:pt idx="25">
                  <c:v>2009</c:v>
                </c:pt>
                <c:pt idx="26">
                  <c:v>2010</c:v>
                </c:pt>
                <c:pt idx="27">
                  <c:v>2011</c:v>
                </c:pt>
                <c:pt idx="28">
                  <c:v>2012</c:v>
                </c:pt>
                <c:pt idx="29">
                  <c:v>2013</c:v>
                </c:pt>
                <c:pt idx="30">
                  <c:v>2014</c:v>
                </c:pt>
                <c:pt idx="31">
                  <c:v>2015</c:v>
                </c:pt>
              </c:numCache>
            </c:numRef>
          </c:cat>
          <c:val>
            <c:numRef>
              <c:f>'1984-2015'!$E$5:$E$36</c:f>
              <c:numCache>
                <c:formatCode>0.0</c:formatCode>
                <c:ptCount val="32"/>
                <c:pt idx="0">
                  <c:v>24.9</c:v>
                </c:pt>
                <c:pt idx="1">
                  <c:v>25.5</c:v>
                </c:pt>
                <c:pt idx="2">
                  <c:v>26.2</c:v>
                </c:pt>
                <c:pt idx="3">
                  <c:v>25.4</c:v>
                </c:pt>
                <c:pt idx="4">
                  <c:v>21.3</c:v>
                </c:pt>
                <c:pt idx="5">
                  <c:v>17.600000000000001</c:v>
                </c:pt>
                <c:pt idx="6">
                  <c:v>18</c:v>
                </c:pt>
                <c:pt idx="7">
                  <c:v>17.100000000000001</c:v>
                </c:pt>
                <c:pt idx="8">
                  <c:v>17</c:v>
                </c:pt>
                <c:pt idx="9">
                  <c:v>13.6</c:v>
                </c:pt>
                <c:pt idx="10">
                  <c:v>18</c:v>
                </c:pt>
                <c:pt idx="11">
                  <c:v>15.8</c:v>
                </c:pt>
                <c:pt idx="12">
                  <c:v>14.1</c:v>
                </c:pt>
                <c:pt idx="13">
                  <c:v>14.3</c:v>
                </c:pt>
                <c:pt idx="14">
                  <c:v>13.4</c:v>
                </c:pt>
                <c:pt idx="15">
                  <c:v>14.3</c:v>
                </c:pt>
                <c:pt idx="16">
                  <c:v>16.399999999999999</c:v>
                </c:pt>
                <c:pt idx="17">
                  <c:v>17.3</c:v>
                </c:pt>
                <c:pt idx="18">
                  <c:v>18.399999999999999</c:v>
                </c:pt>
                <c:pt idx="19">
                  <c:v>19.899999999999999</c:v>
                </c:pt>
                <c:pt idx="20">
                  <c:v>20.2</c:v>
                </c:pt>
                <c:pt idx="21">
                  <c:v>20.7</c:v>
                </c:pt>
                <c:pt idx="22">
                  <c:v>21.1</c:v>
                </c:pt>
                <c:pt idx="23">
                  <c:v>20.3</c:v>
                </c:pt>
                <c:pt idx="24">
                  <c:v>20.100000000000001</c:v>
                </c:pt>
                <c:pt idx="25">
                  <c:v>25.6</c:v>
                </c:pt>
                <c:pt idx="26">
                  <c:v>24.8</c:v>
                </c:pt>
                <c:pt idx="27">
                  <c:v>24.2</c:v>
                </c:pt>
                <c:pt idx="28">
                  <c:v>25.3</c:v>
                </c:pt>
                <c:pt idx="29">
                  <c:v>20.8</c:v>
                </c:pt>
                <c:pt idx="30">
                  <c:v>23.7</c:v>
                </c:pt>
                <c:pt idx="31">
                  <c:v>23.3</c:v>
                </c:pt>
              </c:numCache>
            </c:numRef>
          </c:val>
          <c:smooth val="0"/>
        </c:ser>
        <c:dLbls>
          <c:dLblPos val="b"/>
          <c:showLegendKey val="0"/>
          <c:showVal val="1"/>
          <c:showCatName val="0"/>
          <c:showSerName val="0"/>
          <c:showPercent val="0"/>
          <c:showBubbleSize val="0"/>
        </c:dLbls>
        <c:marker val="1"/>
        <c:smooth val="0"/>
        <c:axId val="130586880"/>
        <c:axId val="130585344"/>
      </c:lineChart>
      <c:catAx>
        <c:axId val="130564480"/>
        <c:scaling>
          <c:orientation val="minMax"/>
        </c:scaling>
        <c:delete val="0"/>
        <c:axPos val="b"/>
        <c:numFmt formatCode="General" sourceLinked="1"/>
        <c:majorTickMark val="none"/>
        <c:minorTickMark val="none"/>
        <c:tickLblPos val="nextTo"/>
        <c:txPr>
          <a:bodyPr rot="-5400000" vert="horz"/>
          <a:lstStyle/>
          <a:p>
            <a:pPr>
              <a:defRPr/>
            </a:pPr>
            <a:endParaRPr lang="ca-ES"/>
          </a:p>
        </c:txPr>
        <c:crossAx val="130567168"/>
        <c:crosses val="autoZero"/>
        <c:auto val="1"/>
        <c:lblAlgn val="ctr"/>
        <c:lblOffset val="100"/>
        <c:noMultiLvlLbl val="0"/>
      </c:catAx>
      <c:valAx>
        <c:axId val="130567168"/>
        <c:scaling>
          <c:orientation val="minMax"/>
        </c:scaling>
        <c:delete val="0"/>
        <c:axPos val="l"/>
        <c:majorGridlines/>
        <c:numFmt formatCode="#,##0" sourceLinked="1"/>
        <c:majorTickMark val="none"/>
        <c:minorTickMark val="none"/>
        <c:tickLblPos val="nextTo"/>
        <c:spPr>
          <a:ln w="9525">
            <a:noFill/>
          </a:ln>
        </c:spPr>
        <c:crossAx val="130564480"/>
        <c:crosses val="autoZero"/>
        <c:crossBetween val="between"/>
      </c:valAx>
      <c:valAx>
        <c:axId val="130585344"/>
        <c:scaling>
          <c:orientation val="minMax"/>
          <c:max val="40"/>
        </c:scaling>
        <c:delete val="0"/>
        <c:axPos val="r"/>
        <c:numFmt formatCode="0.0" sourceLinked="1"/>
        <c:majorTickMark val="out"/>
        <c:minorTickMark val="none"/>
        <c:tickLblPos val="nextTo"/>
        <c:crossAx val="130586880"/>
        <c:crosses val="max"/>
        <c:crossBetween val="between"/>
      </c:valAx>
      <c:catAx>
        <c:axId val="130586880"/>
        <c:scaling>
          <c:orientation val="minMax"/>
        </c:scaling>
        <c:delete val="1"/>
        <c:axPos val="b"/>
        <c:numFmt formatCode="General" sourceLinked="1"/>
        <c:majorTickMark val="out"/>
        <c:minorTickMark val="none"/>
        <c:tickLblPos val="nextTo"/>
        <c:crossAx val="130585344"/>
        <c:crosses val="autoZero"/>
        <c:auto val="1"/>
        <c:lblAlgn val="ctr"/>
        <c:lblOffset val="100"/>
        <c:noMultiLvlLbl val="0"/>
      </c:catAx>
      <c:spPr>
        <a:ln>
          <a:prstDash val="sysDot"/>
        </a:ln>
      </c:spPr>
    </c:plotArea>
    <c:legend>
      <c:legendPos val="b"/>
      <c:overlay val="0"/>
    </c:legend>
    <c:plotVisOnly val="1"/>
    <c:dispBlanksAs val="gap"/>
    <c:showDLblsOverMax val="0"/>
  </c:chart>
  <c:txPr>
    <a:bodyPr/>
    <a:lstStyle/>
    <a:p>
      <a:pPr>
        <a:defRPr sz="700"/>
      </a:pPr>
      <a:endParaRPr lang="ca-ES"/>
    </a:p>
  </c:txPr>
  <c:externalData r:id="rId1">
    <c:autoUpdate val="1"/>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ca-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3609203104931039E-2"/>
          <c:y val="9.7232996176079209E-2"/>
          <c:w val="0.88689132124738279"/>
          <c:h val="0.66658385191770375"/>
        </c:manualLayout>
      </c:layout>
      <c:lineChart>
        <c:grouping val="standard"/>
        <c:varyColors val="0"/>
        <c:ser>
          <c:idx val="0"/>
          <c:order val="0"/>
          <c:tx>
            <c:strRef>
              <c:f>'1984-2015'!$B$1</c:f>
              <c:strCache>
                <c:ptCount val="1"/>
                <c:pt idx="0">
                  <c:v>Població encarcerada</c:v>
                </c:pt>
              </c:strCache>
            </c:strRef>
          </c:tx>
          <c:spPr>
            <a:ln>
              <a:solidFill>
                <a:schemeClr val="accent1">
                  <a:lumMod val="75000"/>
                </a:schemeClr>
              </a:solidFill>
            </a:ln>
          </c:spPr>
          <c:marker>
            <c:symbol val="none"/>
          </c:marker>
          <c:dLbls>
            <c:dLbl>
              <c:idx val="28"/>
              <c:layout>
                <c:manualLayout>
                  <c:x val="-1.998673703021165E-2"/>
                  <c:y val="4.2064180855148618E-2"/>
                </c:manualLayout>
              </c:layout>
              <c:dLblPos val="r"/>
              <c:showLegendKey val="0"/>
              <c:showVal val="1"/>
              <c:showCatName val="0"/>
              <c:showSerName val="0"/>
              <c:showPercent val="0"/>
              <c:showBubbleSize val="0"/>
            </c:dLbl>
            <c:dLbl>
              <c:idx val="29"/>
              <c:layout>
                <c:manualLayout>
                  <c:x val="-1.998673703021165E-2"/>
                  <c:y val="4.4135094335652936E-2"/>
                </c:manualLayout>
              </c:layout>
              <c:dLblPos val="r"/>
              <c:showLegendKey val="0"/>
              <c:showVal val="1"/>
              <c:showCatName val="0"/>
              <c:showSerName val="0"/>
              <c:showPercent val="0"/>
              <c:showBubbleSize val="0"/>
            </c:dLbl>
            <c:dLbl>
              <c:idx val="30"/>
              <c:layout>
                <c:manualLayout>
                  <c:x val="-1.998673703021165E-2"/>
                  <c:y val="3.3447051583481928E-2"/>
                </c:manualLayout>
              </c:layout>
              <c:dLblPos val="r"/>
              <c:showLegendKey val="0"/>
              <c:showVal val="1"/>
              <c:showCatName val="0"/>
              <c:showSerName val="0"/>
              <c:showPercent val="0"/>
              <c:showBubbleSize val="0"/>
            </c:dLbl>
            <c:dLbl>
              <c:idx val="31"/>
              <c:layout>
                <c:manualLayout>
                  <c:x val="-2.530588596638186E-2"/>
                  <c:y val="3.8791072959567428E-2"/>
                </c:manualLayout>
              </c:layout>
              <c:dLblPos val="r"/>
              <c:showLegendKey val="0"/>
              <c:showVal val="1"/>
              <c:showCatName val="0"/>
              <c:showSerName val="0"/>
              <c:showPercent val="0"/>
              <c:showBubbleSize val="0"/>
            </c:dLbl>
            <c:txPr>
              <a:bodyPr rot="-5400000" vert="horz"/>
              <a:lstStyle/>
              <a:p>
                <a:pPr>
                  <a:defRPr/>
                </a:pPr>
                <a:endParaRPr lang="ca-ES"/>
              </a:p>
            </c:txPr>
            <c:dLblPos val="t"/>
            <c:showLegendKey val="0"/>
            <c:showVal val="1"/>
            <c:showCatName val="0"/>
            <c:showSerName val="0"/>
            <c:showPercent val="0"/>
            <c:showBubbleSize val="0"/>
            <c:showLeaderLines val="0"/>
          </c:dLbls>
          <c:cat>
            <c:numRef>
              <c:f>'1984-2015'!$A$5:$A$36</c:f>
              <c:numCache>
                <c:formatCode>General</c:formatCode>
                <c:ptCount val="32"/>
                <c:pt idx="0">
                  <c:v>1984</c:v>
                </c:pt>
                <c:pt idx="1">
                  <c:v>1985</c:v>
                </c:pt>
                <c:pt idx="2">
                  <c:v>1986</c:v>
                </c:pt>
                <c:pt idx="3">
                  <c:v>1987</c:v>
                </c:pt>
                <c:pt idx="4">
                  <c:v>1988</c:v>
                </c:pt>
                <c:pt idx="5">
                  <c:v>1989</c:v>
                </c:pt>
                <c:pt idx="6">
                  <c:v>1990</c:v>
                </c:pt>
                <c:pt idx="7">
                  <c:v>1991</c:v>
                </c:pt>
                <c:pt idx="8">
                  <c:v>1992</c:v>
                </c:pt>
                <c:pt idx="9">
                  <c:v>1993</c:v>
                </c:pt>
                <c:pt idx="10">
                  <c:v>1994</c:v>
                </c:pt>
                <c:pt idx="11">
                  <c:v>1995</c:v>
                </c:pt>
                <c:pt idx="12">
                  <c:v>1996</c:v>
                </c:pt>
                <c:pt idx="13">
                  <c:v>1997</c:v>
                </c:pt>
                <c:pt idx="14">
                  <c:v>1998</c:v>
                </c:pt>
                <c:pt idx="15">
                  <c:v>1999</c:v>
                </c:pt>
                <c:pt idx="16">
                  <c:v>2000</c:v>
                </c:pt>
                <c:pt idx="17">
                  <c:v>2001</c:v>
                </c:pt>
                <c:pt idx="18">
                  <c:v>2002</c:v>
                </c:pt>
                <c:pt idx="19">
                  <c:v>2003</c:v>
                </c:pt>
                <c:pt idx="20">
                  <c:v>2004</c:v>
                </c:pt>
                <c:pt idx="21">
                  <c:v>2005</c:v>
                </c:pt>
                <c:pt idx="22">
                  <c:v>2006</c:v>
                </c:pt>
                <c:pt idx="23">
                  <c:v>2007</c:v>
                </c:pt>
                <c:pt idx="24">
                  <c:v>2008</c:v>
                </c:pt>
                <c:pt idx="25">
                  <c:v>2009</c:v>
                </c:pt>
                <c:pt idx="26">
                  <c:v>2010</c:v>
                </c:pt>
                <c:pt idx="27">
                  <c:v>2011</c:v>
                </c:pt>
                <c:pt idx="28">
                  <c:v>2012</c:v>
                </c:pt>
                <c:pt idx="29">
                  <c:v>2013</c:v>
                </c:pt>
                <c:pt idx="30">
                  <c:v>2014</c:v>
                </c:pt>
                <c:pt idx="31">
                  <c:v>2015</c:v>
                </c:pt>
              </c:numCache>
            </c:numRef>
          </c:cat>
          <c:val>
            <c:numRef>
              <c:f>'1984-2015'!$B$5:$B$36</c:f>
              <c:numCache>
                <c:formatCode>#,##0</c:formatCode>
                <c:ptCount val="32"/>
                <c:pt idx="0">
                  <c:v>2650</c:v>
                </c:pt>
                <c:pt idx="1">
                  <c:v>3447</c:v>
                </c:pt>
                <c:pt idx="2">
                  <c:v>3723</c:v>
                </c:pt>
                <c:pt idx="3">
                  <c:v>4000</c:v>
                </c:pt>
                <c:pt idx="4">
                  <c:v>4250</c:v>
                </c:pt>
                <c:pt idx="5">
                  <c:v>4478</c:v>
                </c:pt>
                <c:pt idx="6">
                  <c:v>4700</c:v>
                </c:pt>
                <c:pt idx="7">
                  <c:v>5458</c:v>
                </c:pt>
                <c:pt idx="8">
                  <c:v>5976</c:v>
                </c:pt>
                <c:pt idx="9">
                  <c:v>6436</c:v>
                </c:pt>
                <c:pt idx="10">
                  <c:v>6662</c:v>
                </c:pt>
                <c:pt idx="11">
                  <c:v>6344</c:v>
                </c:pt>
                <c:pt idx="12">
                  <c:v>5988</c:v>
                </c:pt>
                <c:pt idx="13">
                  <c:v>5934</c:v>
                </c:pt>
                <c:pt idx="14">
                  <c:v>5956</c:v>
                </c:pt>
                <c:pt idx="15">
                  <c:v>5945</c:v>
                </c:pt>
                <c:pt idx="16">
                  <c:v>6073</c:v>
                </c:pt>
                <c:pt idx="17">
                  <c:v>6405</c:v>
                </c:pt>
                <c:pt idx="18">
                  <c:v>6924</c:v>
                </c:pt>
                <c:pt idx="19">
                  <c:v>7416</c:v>
                </c:pt>
                <c:pt idx="20">
                  <c:v>8094</c:v>
                </c:pt>
                <c:pt idx="21">
                  <c:v>8305</c:v>
                </c:pt>
                <c:pt idx="22">
                  <c:v>8970</c:v>
                </c:pt>
                <c:pt idx="23">
                  <c:v>9395</c:v>
                </c:pt>
                <c:pt idx="24">
                  <c:v>10051</c:v>
                </c:pt>
                <c:pt idx="25">
                  <c:v>10525</c:v>
                </c:pt>
                <c:pt idx="26">
                  <c:v>10520</c:v>
                </c:pt>
                <c:pt idx="27">
                  <c:v>10513</c:v>
                </c:pt>
                <c:pt idx="28">
                  <c:v>10062</c:v>
                </c:pt>
                <c:pt idx="29">
                  <c:v>9818</c:v>
                </c:pt>
                <c:pt idx="30">
                  <c:v>9294</c:v>
                </c:pt>
                <c:pt idx="31">
                  <c:v>8810</c:v>
                </c:pt>
              </c:numCache>
            </c:numRef>
          </c:val>
          <c:smooth val="0"/>
        </c:ser>
        <c:dLbls>
          <c:dLblPos val="b"/>
          <c:showLegendKey val="0"/>
          <c:showVal val="1"/>
          <c:showCatName val="0"/>
          <c:showSerName val="0"/>
          <c:showPercent val="0"/>
          <c:showBubbleSize val="0"/>
        </c:dLbls>
        <c:marker val="1"/>
        <c:smooth val="0"/>
        <c:axId val="130898176"/>
        <c:axId val="130909312"/>
      </c:lineChart>
      <c:lineChart>
        <c:grouping val="standard"/>
        <c:varyColors val="0"/>
        <c:ser>
          <c:idx val="1"/>
          <c:order val="1"/>
          <c:tx>
            <c:strRef>
              <c:f>'1984-2015'!$F$1</c:f>
              <c:strCache>
                <c:ptCount val="1"/>
                <c:pt idx="0">
                  <c:v>Policia per cada 100.000hab</c:v>
                </c:pt>
              </c:strCache>
            </c:strRef>
          </c:tx>
          <c:spPr>
            <a:ln>
              <a:solidFill>
                <a:srgbClr val="FFC000"/>
              </a:solidFill>
            </a:ln>
          </c:spPr>
          <c:marker>
            <c:symbol val="none"/>
          </c:marker>
          <c:dLbls>
            <c:dLbl>
              <c:idx val="4"/>
              <c:layout>
                <c:manualLayout>
                  <c:x val="-5.8023398670910813E-3"/>
                  <c:y val="-3.2872253693739181E-2"/>
                </c:manualLayout>
              </c:layout>
              <c:dLblPos val="r"/>
              <c:showLegendKey val="0"/>
              <c:showVal val="1"/>
              <c:showCatName val="0"/>
              <c:showSerName val="0"/>
              <c:showPercent val="0"/>
              <c:showBubbleSize val="0"/>
            </c:dLbl>
            <c:dLbl>
              <c:idx val="5"/>
              <c:layout>
                <c:manualLayout>
                  <c:x val="-1.6440637739431507E-2"/>
                  <c:y val="-6.2264371262209461E-2"/>
                </c:manualLayout>
              </c:layout>
              <c:dLblPos val="r"/>
              <c:showLegendKey val="0"/>
              <c:showVal val="1"/>
              <c:showCatName val="0"/>
              <c:showSerName val="0"/>
              <c:showPercent val="0"/>
              <c:showBubbleSize val="0"/>
            </c:dLbl>
            <c:dLbl>
              <c:idx val="6"/>
              <c:layout>
                <c:manualLayout>
                  <c:x val="-1.6440637739431507E-2"/>
                  <c:y val="-6.4936381950252212E-2"/>
                </c:manualLayout>
              </c:layout>
              <c:dLblPos val="r"/>
              <c:showLegendKey val="0"/>
              <c:showVal val="1"/>
              <c:showCatName val="0"/>
              <c:showSerName val="0"/>
              <c:showPercent val="0"/>
              <c:showBubbleSize val="0"/>
            </c:dLbl>
            <c:dLbl>
              <c:idx val="28"/>
              <c:layout>
                <c:manualLayout>
                  <c:x val="-1.998673703021165E-2"/>
                  <c:y val="-4.1489593359948229E-2"/>
                </c:manualLayout>
              </c:layout>
              <c:dLblPos val="r"/>
              <c:showLegendKey val="0"/>
              <c:showVal val="1"/>
              <c:showCatName val="0"/>
              <c:showSerName val="0"/>
              <c:showPercent val="0"/>
              <c:showBubbleSize val="0"/>
            </c:dLbl>
            <c:dLbl>
              <c:idx val="29"/>
              <c:layout>
                <c:manualLayout>
                  <c:x val="-1.8213687384821577E-2"/>
                  <c:y val="-3.88175826719055E-2"/>
                </c:manualLayout>
              </c:layout>
              <c:dLblPos val="r"/>
              <c:showLegendKey val="0"/>
              <c:showVal val="1"/>
              <c:showCatName val="0"/>
              <c:showSerName val="0"/>
              <c:showPercent val="0"/>
              <c:showBubbleSize val="0"/>
            </c:dLbl>
            <c:dLbl>
              <c:idx val="30"/>
              <c:layout>
                <c:manualLayout>
                  <c:x val="-1.998673703021165E-2"/>
                  <c:y val="-3.3473561295820013E-2"/>
                </c:manualLayout>
              </c:layout>
              <c:dLblPos val="r"/>
              <c:showLegendKey val="0"/>
              <c:showVal val="1"/>
              <c:showCatName val="0"/>
              <c:showSerName val="0"/>
              <c:showPercent val="0"/>
              <c:showBubbleSize val="0"/>
            </c:dLbl>
            <c:dLbl>
              <c:idx val="31"/>
              <c:layout>
                <c:manualLayout>
                  <c:x val="-1.998673703021165E-2"/>
                  <c:y val="-2.8129539919734506E-2"/>
                </c:manualLayout>
              </c:layout>
              <c:dLblPos val="r"/>
              <c:showLegendKey val="0"/>
              <c:showVal val="1"/>
              <c:showCatName val="0"/>
              <c:showSerName val="0"/>
              <c:showPercent val="0"/>
              <c:showBubbleSize val="0"/>
            </c:dLbl>
            <c:numFmt formatCode="#,##0.0" sourceLinked="0"/>
            <c:txPr>
              <a:bodyPr rot="-5400000" vert="horz"/>
              <a:lstStyle/>
              <a:p>
                <a:pPr>
                  <a:defRPr/>
                </a:pPr>
                <a:endParaRPr lang="ca-ES"/>
              </a:p>
            </c:txPr>
            <c:dLblPos val="b"/>
            <c:showLegendKey val="0"/>
            <c:showVal val="1"/>
            <c:showCatName val="0"/>
            <c:showSerName val="0"/>
            <c:showPercent val="0"/>
            <c:showBubbleSize val="0"/>
            <c:showLeaderLines val="0"/>
          </c:dLbls>
          <c:cat>
            <c:numRef>
              <c:f>'1984-2015'!$A$5:$A$36</c:f>
              <c:numCache>
                <c:formatCode>General</c:formatCode>
                <c:ptCount val="32"/>
                <c:pt idx="0">
                  <c:v>1984</c:v>
                </c:pt>
                <c:pt idx="1">
                  <c:v>1985</c:v>
                </c:pt>
                <c:pt idx="2">
                  <c:v>1986</c:v>
                </c:pt>
                <c:pt idx="3">
                  <c:v>1987</c:v>
                </c:pt>
                <c:pt idx="4">
                  <c:v>1988</c:v>
                </c:pt>
                <c:pt idx="5">
                  <c:v>1989</c:v>
                </c:pt>
                <c:pt idx="6">
                  <c:v>1990</c:v>
                </c:pt>
                <c:pt idx="7">
                  <c:v>1991</c:v>
                </c:pt>
                <c:pt idx="8">
                  <c:v>1992</c:v>
                </c:pt>
                <c:pt idx="9">
                  <c:v>1993</c:v>
                </c:pt>
                <c:pt idx="10">
                  <c:v>1994</c:v>
                </c:pt>
                <c:pt idx="11">
                  <c:v>1995</c:v>
                </c:pt>
                <c:pt idx="12">
                  <c:v>1996</c:v>
                </c:pt>
                <c:pt idx="13">
                  <c:v>1997</c:v>
                </c:pt>
                <c:pt idx="14">
                  <c:v>1998</c:v>
                </c:pt>
                <c:pt idx="15">
                  <c:v>1999</c:v>
                </c:pt>
                <c:pt idx="16">
                  <c:v>2000</c:v>
                </c:pt>
                <c:pt idx="17">
                  <c:v>2001</c:v>
                </c:pt>
                <c:pt idx="18">
                  <c:v>2002</c:v>
                </c:pt>
                <c:pt idx="19">
                  <c:v>2003</c:v>
                </c:pt>
                <c:pt idx="20">
                  <c:v>2004</c:v>
                </c:pt>
                <c:pt idx="21">
                  <c:v>2005</c:v>
                </c:pt>
                <c:pt idx="22">
                  <c:v>2006</c:v>
                </c:pt>
                <c:pt idx="23">
                  <c:v>2007</c:v>
                </c:pt>
                <c:pt idx="24">
                  <c:v>2008</c:v>
                </c:pt>
                <c:pt idx="25">
                  <c:v>2009</c:v>
                </c:pt>
                <c:pt idx="26">
                  <c:v>2010</c:v>
                </c:pt>
                <c:pt idx="27">
                  <c:v>2011</c:v>
                </c:pt>
                <c:pt idx="28">
                  <c:v>2012</c:v>
                </c:pt>
                <c:pt idx="29">
                  <c:v>2013</c:v>
                </c:pt>
                <c:pt idx="30">
                  <c:v>2014</c:v>
                </c:pt>
                <c:pt idx="31">
                  <c:v>2015</c:v>
                </c:pt>
              </c:numCache>
            </c:numRef>
          </c:cat>
          <c:val>
            <c:numRef>
              <c:f>'1984-2015'!$F$5:$F$36</c:f>
              <c:numCache>
                <c:formatCode>General</c:formatCode>
                <c:ptCount val="32"/>
                <c:pt idx="10" formatCode="#,##0.00">
                  <c:v>32.422471690576195</c:v>
                </c:pt>
                <c:pt idx="11" formatCode="#,##0.00">
                  <c:v>39.309309702959915</c:v>
                </c:pt>
                <c:pt idx="12" formatCode="#,##0.00">
                  <c:v>50.529172737890313</c:v>
                </c:pt>
                <c:pt idx="13" formatCode="#,##0.00">
                  <c:v>61.869565878337795</c:v>
                </c:pt>
                <c:pt idx="14" formatCode="#,##0.00">
                  <c:v>73.282517385653932</c:v>
                </c:pt>
                <c:pt idx="15" formatCode="#,##0.00">
                  <c:v>84.984327565565835</c:v>
                </c:pt>
                <c:pt idx="16" formatCode="#,##0.00">
                  <c:v>96.509376392039528</c:v>
                </c:pt>
                <c:pt idx="17" formatCode="#,##0.00">
                  <c:v>105.61618531285298</c:v>
                </c:pt>
                <c:pt idx="18" formatCode="#,##0.00">
                  <c:v>113.82283739310201</c:v>
                </c:pt>
                <c:pt idx="19" formatCode="#,##0.00">
                  <c:v>125.00545191591267</c:v>
                </c:pt>
                <c:pt idx="20" formatCode="#,##0.00">
                  <c:v>137.45909535785304</c:v>
                </c:pt>
                <c:pt idx="21" formatCode="#,##0.00">
                  <c:v>152.8289097910635</c:v>
                </c:pt>
                <c:pt idx="22" formatCode="#,##0.00">
                  <c:v>166.40243479884199</c:v>
                </c:pt>
                <c:pt idx="23" formatCode="#,##0.00">
                  <c:v>178.32888230471892</c:v>
                </c:pt>
                <c:pt idx="24" formatCode="#,##0.00">
                  <c:v>190.69372037475367</c:v>
                </c:pt>
                <c:pt idx="25" formatCode="#,##0.00">
                  <c:v>202.59864455369063</c:v>
                </c:pt>
                <c:pt idx="26" formatCode="#,##0.00">
                  <c:v>212.01428500398504</c:v>
                </c:pt>
                <c:pt idx="27" formatCode="#,##0.00">
                  <c:v>221.59837709193843</c:v>
                </c:pt>
                <c:pt idx="28" formatCode="#,##0.00">
                  <c:v>226.65709317825551</c:v>
                </c:pt>
                <c:pt idx="29" formatCode="#,##0.00">
                  <c:v>226.11585127719712</c:v>
                </c:pt>
                <c:pt idx="30" formatCode="#,##0.00">
                  <c:v>225.73771732392348</c:v>
                </c:pt>
                <c:pt idx="31" formatCode="#,##0.00">
                  <c:v>224.67716891583578</c:v>
                </c:pt>
              </c:numCache>
            </c:numRef>
          </c:val>
          <c:smooth val="0"/>
        </c:ser>
        <c:dLbls>
          <c:dLblPos val="b"/>
          <c:showLegendKey val="0"/>
          <c:showVal val="1"/>
          <c:showCatName val="0"/>
          <c:showSerName val="0"/>
          <c:showPercent val="0"/>
          <c:showBubbleSize val="0"/>
        </c:dLbls>
        <c:marker val="1"/>
        <c:smooth val="0"/>
        <c:axId val="130920832"/>
        <c:axId val="130910848"/>
      </c:lineChart>
      <c:catAx>
        <c:axId val="130898176"/>
        <c:scaling>
          <c:orientation val="minMax"/>
        </c:scaling>
        <c:delete val="0"/>
        <c:axPos val="b"/>
        <c:numFmt formatCode="General" sourceLinked="1"/>
        <c:majorTickMark val="none"/>
        <c:minorTickMark val="none"/>
        <c:tickLblPos val="nextTo"/>
        <c:txPr>
          <a:bodyPr rot="-5400000" vert="horz"/>
          <a:lstStyle/>
          <a:p>
            <a:pPr>
              <a:defRPr/>
            </a:pPr>
            <a:endParaRPr lang="ca-ES"/>
          </a:p>
        </c:txPr>
        <c:crossAx val="130909312"/>
        <c:crosses val="autoZero"/>
        <c:auto val="1"/>
        <c:lblAlgn val="ctr"/>
        <c:lblOffset val="100"/>
        <c:noMultiLvlLbl val="0"/>
      </c:catAx>
      <c:valAx>
        <c:axId val="130909312"/>
        <c:scaling>
          <c:orientation val="minMax"/>
        </c:scaling>
        <c:delete val="0"/>
        <c:axPos val="l"/>
        <c:majorGridlines/>
        <c:numFmt formatCode="#,##0" sourceLinked="1"/>
        <c:majorTickMark val="none"/>
        <c:minorTickMark val="none"/>
        <c:tickLblPos val="nextTo"/>
        <c:spPr>
          <a:ln w="9525">
            <a:noFill/>
          </a:ln>
        </c:spPr>
        <c:crossAx val="130898176"/>
        <c:crosses val="autoZero"/>
        <c:crossBetween val="between"/>
      </c:valAx>
      <c:valAx>
        <c:axId val="130910848"/>
        <c:scaling>
          <c:orientation val="minMax"/>
        </c:scaling>
        <c:delete val="0"/>
        <c:axPos val="r"/>
        <c:numFmt formatCode="General" sourceLinked="1"/>
        <c:majorTickMark val="out"/>
        <c:minorTickMark val="none"/>
        <c:tickLblPos val="nextTo"/>
        <c:crossAx val="130920832"/>
        <c:crosses val="max"/>
        <c:crossBetween val="between"/>
      </c:valAx>
      <c:catAx>
        <c:axId val="130920832"/>
        <c:scaling>
          <c:orientation val="minMax"/>
        </c:scaling>
        <c:delete val="1"/>
        <c:axPos val="b"/>
        <c:numFmt formatCode="General" sourceLinked="1"/>
        <c:majorTickMark val="out"/>
        <c:minorTickMark val="none"/>
        <c:tickLblPos val="nextTo"/>
        <c:crossAx val="130910848"/>
        <c:crosses val="autoZero"/>
        <c:auto val="1"/>
        <c:lblAlgn val="ctr"/>
        <c:lblOffset val="100"/>
        <c:noMultiLvlLbl val="0"/>
      </c:catAx>
    </c:plotArea>
    <c:legend>
      <c:legendPos val="b"/>
      <c:overlay val="0"/>
    </c:legend>
    <c:plotVisOnly val="1"/>
    <c:dispBlanksAs val="gap"/>
    <c:showDLblsOverMax val="0"/>
  </c:chart>
  <c:txPr>
    <a:bodyPr/>
    <a:lstStyle/>
    <a:p>
      <a:pPr>
        <a:defRPr sz="700"/>
      </a:pPr>
      <a:endParaRPr lang="ca-ES"/>
    </a:p>
  </c:txPr>
  <c:externalData r:id="rId1">
    <c:autoUpdate val="1"/>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ca-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3609203104931039E-2"/>
          <c:y val="9.7232996176079209E-2"/>
          <c:w val="0.88689132124738279"/>
          <c:h val="0.76739031869513319"/>
        </c:manualLayout>
      </c:layout>
      <c:lineChart>
        <c:grouping val="standard"/>
        <c:varyColors val="0"/>
        <c:ser>
          <c:idx val="0"/>
          <c:order val="0"/>
          <c:tx>
            <c:strRef>
              <c:f>'1984-2015'!$B$1</c:f>
              <c:strCache>
                <c:ptCount val="1"/>
                <c:pt idx="0">
                  <c:v>Població encarcerada</c:v>
                </c:pt>
              </c:strCache>
            </c:strRef>
          </c:tx>
          <c:spPr>
            <a:ln>
              <a:solidFill>
                <a:schemeClr val="accent1">
                  <a:lumMod val="75000"/>
                </a:schemeClr>
              </a:solidFill>
            </a:ln>
          </c:spPr>
          <c:marker>
            <c:symbol val="none"/>
          </c:marker>
          <c:dLbls>
            <c:dLblPos val="t"/>
            <c:showLegendKey val="0"/>
            <c:showVal val="1"/>
            <c:showCatName val="0"/>
            <c:showSerName val="0"/>
            <c:showPercent val="0"/>
            <c:showBubbleSize val="0"/>
            <c:showLeaderLines val="0"/>
          </c:dLbls>
          <c:cat>
            <c:numRef>
              <c:f>'1984-2015'!$A$24:$A$36</c:f>
              <c:numCache>
                <c:formatCode>General</c:formatCode>
                <c:ptCount val="13"/>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numCache>
            </c:numRef>
          </c:cat>
          <c:val>
            <c:numRef>
              <c:f>'1984-2015'!$B$24:$B$36</c:f>
              <c:numCache>
                <c:formatCode>#,##0</c:formatCode>
                <c:ptCount val="13"/>
                <c:pt idx="0">
                  <c:v>7416</c:v>
                </c:pt>
                <c:pt idx="1">
                  <c:v>8094</c:v>
                </c:pt>
                <c:pt idx="2">
                  <c:v>8305</c:v>
                </c:pt>
                <c:pt idx="3">
                  <c:v>8970</c:v>
                </c:pt>
                <c:pt idx="4">
                  <c:v>9395</c:v>
                </c:pt>
                <c:pt idx="5">
                  <c:v>10051</c:v>
                </c:pt>
                <c:pt idx="6">
                  <c:v>10525</c:v>
                </c:pt>
                <c:pt idx="7">
                  <c:v>10520</c:v>
                </c:pt>
                <c:pt idx="8">
                  <c:v>10513</c:v>
                </c:pt>
                <c:pt idx="9">
                  <c:v>10062</c:v>
                </c:pt>
                <c:pt idx="10">
                  <c:v>9818</c:v>
                </c:pt>
                <c:pt idx="11">
                  <c:v>9294</c:v>
                </c:pt>
                <c:pt idx="12">
                  <c:v>8810</c:v>
                </c:pt>
              </c:numCache>
            </c:numRef>
          </c:val>
          <c:smooth val="0"/>
        </c:ser>
        <c:ser>
          <c:idx val="1"/>
          <c:order val="1"/>
          <c:tx>
            <c:strRef>
              <c:f>'1984-2015'!$G$1</c:f>
              <c:strCache>
                <c:ptCount val="1"/>
                <c:pt idx="0">
                  <c:v>Causes resoltes per sentència</c:v>
                </c:pt>
              </c:strCache>
            </c:strRef>
          </c:tx>
          <c:spPr>
            <a:ln>
              <a:solidFill>
                <a:srgbClr val="008000"/>
              </a:solidFill>
              <a:prstDash val="sysDot"/>
            </a:ln>
          </c:spPr>
          <c:marker>
            <c:symbol val="none"/>
          </c:marker>
          <c:cat>
            <c:numRef>
              <c:f>'1984-2015'!$A$24:$A$36</c:f>
              <c:numCache>
                <c:formatCode>General</c:formatCode>
                <c:ptCount val="13"/>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numCache>
            </c:numRef>
          </c:cat>
          <c:val>
            <c:numRef>
              <c:f>'1984-2015'!$G$24:$G$36</c:f>
              <c:numCache>
                <c:formatCode>#,##0</c:formatCode>
                <c:ptCount val="13"/>
                <c:pt idx="0">
                  <c:v>21849</c:v>
                </c:pt>
                <c:pt idx="1">
                  <c:v>22389</c:v>
                </c:pt>
                <c:pt idx="2">
                  <c:v>22831</c:v>
                </c:pt>
                <c:pt idx="3">
                  <c:v>22335</c:v>
                </c:pt>
                <c:pt idx="4">
                  <c:v>23884</c:v>
                </c:pt>
                <c:pt idx="5">
                  <c:v>25449</c:v>
                </c:pt>
                <c:pt idx="6">
                  <c:v>25413</c:v>
                </c:pt>
                <c:pt idx="7">
                  <c:v>26939</c:v>
                </c:pt>
                <c:pt idx="8">
                  <c:v>28544</c:v>
                </c:pt>
                <c:pt idx="9">
                  <c:v>28837</c:v>
                </c:pt>
                <c:pt idx="10">
                  <c:v>29263</c:v>
                </c:pt>
                <c:pt idx="11">
                  <c:v>29414</c:v>
                </c:pt>
                <c:pt idx="12">
                  <c:v>31268</c:v>
                </c:pt>
              </c:numCache>
            </c:numRef>
          </c:val>
          <c:smooth val="0"/>
        </c:ser>
        <c:ser>
          <c:idx val="2"/>
          <c:order val="2"/>
          <c:tx>
            <c:strRef>
              <c:f>'1984-2015'!$H$1</c:f>
              <c:strCache>
                <c:ptCount val="1"/>
                <c:pt idx="0">
                  <c:v>Causes registrades</c:v>
                </c:pt>
              </c:strCache>
            </c:strRef>
          </c:tx>
          <c:spPr>
            <a:ln>
              <a:solidFill>
                <a:srgbClr val="008000"/>
              </a:solidFill>
              <a:prstDash val="sysDash"/>
            </a:ln>
          </c:spPr>
          <c:marker>
            <c:symbol val="none"/>
          </c:marker>
          <c:dLbls>
            <c:dLblPos val="t"/>
            <c:showLegendKey val="0"/>
            <c:showVal val="1"/>
            <c:showCatName val="0"/>
            <c:showSerName val="0"/>
            <c:showPercent val="0"/>
            <c:showBubbleSize val="0"/>
            <c:showLeaderLines val="0"/>
          </c:dLbls>
          <c:cat>
            <c:numRef>
              <c:f>'1984-2015'!$A$24:$A$36</c:f>
              <c:numCache>
                <c:formatCode>General</c:formatCode>
                <c:ptCount val="13"/>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numCache>
            </c:numRef>
          </c:cat>
          <c:val>
            <c:numRef>
              <c:f>'1984-2015'!$H$24:$H$36</c:f>
              <c:numCache>
                <c:formatCode>#,##0</c:formatCode>
                <c:ptCount val="13"/>
                <c:pt idx="0">
                  <c:v>21698</c:v>
                </c:pt>
                <c:pt idx="1">
                  <c:v>22572</c:v>
                </c:pt>
                <c:pt idx="2">
                  <c:v>24606</c:v>
                </c:pt>
                <c:pt idx="3">
                  <c:v>24788</c:v>
                </c:pt>
                <c:pt idx="4">
                  <c:v>28121</c:v>
                </c:pt>
                <c:pt idx="5">
                  <c:v>31489</c:v>
                </c:pt>
                <c:pt idx="6">
                  <c:v>33523</c:v>
                </c:pt>
                <c:pt idx="7">
                  <c:v>32288</c:v>
                </c:pt>
                <c:pt idx="8">
                  <c:v>32143</c:v>
                </c:pt>
                <c:pt idx="9">
                  <c:v>33101</c:v>
                </c:pt>
                <c:pt idx="10">
                  <c:v>32685</c:v>
                </c:pt>
                <c:pt idx="11">
                  <c:v>32294</c:v>
                </c:pt>
                <c:pt idx="12">
                  <c:v>31268</c:v>
                </c:pt>
              </c:numCache>
            </c:numRef>
          </c:val>
          <c:smooth val="0"/>
        </c:ser>
        <c:dLbls>
          <c:dLblPos val="b"/>
          <c:showLegendKey val="0"/>
          <c:showVal val="1"/>
          <c:showCatName val="0"/>
          <c:showSerName val="0"/>
          <c:showPercent val="0"/>
          <c:showBubbleSize val="0"/>
        </c:dLbls>
        <c:marker val="1"/>
        <c:smooth val="0"/>
        <c:axId val="133379968"/>
        <c:axId val="133407488"/>
      </c:lineChart>
      <c:lineChart>
        <c:grouping val="standard"/>
        <c:varyColors val="0"/>
        <c:ser>
          <c:idx val="3"/>
          <c:order val="3"/>
          <c:tx>
            <c:strRef>
              <c:f>'1984-2015'!$I$1</c:f>
              <c:strCache>
                <c:ptCount val="1"/>
                <c:pt idx="0">
                  <c:v>Fets penals</c:v>
                </c:pt>
              </c:strCache>
            </c:strRef>
          </c:tx>
          <c:spPr>
            <a:ln>
              <a:solidFill>
                <a:srgbClr val="008000"/>
              </a:solidFill>
            </a:ln>
          </c:spPr>
          <c:marker>
            <c:symbol val="none"/>
          </c:marker>
          <c:dLbls>
            <c:dLblPos val="t"/>
            <c:showLegendKey val="0"/>
            <c:showVal val="1"/>
            <c:showCatName val="0"/>
            <c:showSerName val="0"/>
            <c:showPercent val="0"/>
            <c:showBubbleSize val="0"/>
            <c:showLeaderLines val="0"/>
          </c:dLbls>
          <c:cat>
            <c:numRef>
              <c:f>'1984-2015'!$A$24:$A$36</c:f>
              <c:numCache>
                <c:formatCode>General</c:formatCode>
                <c:ptCount val="13"/>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numCache>
            </c:numRef>
          </c:cat>
          <c:val>
            <c:numRef>
              <c:f>'1984-2015'!$I$24:$I$36</c:f>
              <c:numCache>
                <c:formatCode>#,##0</c:formatCode>
                <c:ptCount val="13"/>
                <c:pt idx="0">
                  <c:v>387248</c:v>
                </c:pt>
                <c:pt idx="1">
                  <c:v>413144</c:v>
                </c:pt>
                <c:pt idx="2">
                  <c:v>455676</c:v>
                </c:pt>
                <c:pt idx="3">
                  <c:v>361673</c:v>
                </c:pt>
                <c:pt idx="4">
                  <c:v>401025</c:v>
                </c:pt>
                <c:pt idx="5">
                  <c:v>424486</c:v>
                </c:pt>
                <c:pt idx="6">
                  <c:v>553217</c:v>
                </c:pt>
                <c:pt idx="7">
                  <c:v>545370</c:v>
                </c:pt>
                <c:pt idx="8">
                  <c:v>531195</c:v>
                </c:pt>
                <c:pt idx="9">
                  <c:v>529229</c:v>
                </c:pt>
                <c:pt idx="10">
                  <c:v>507976</c:v>
                </c:pt>
                <c:pt idx="11">
                  <c:v>493544</c:v>
                </c:pt>
                <c:pt idx="12">
                  <c:v>481881</c:v>
                </c:pt>
              </c:numCache>
            </c:numRef>
          </c:val>
          <c:smooth val="0"/>
        </c:ser>
        <c:dLbls>
          <c:dLblPos val="b"/>
          <c:showLegendKey val="0"/>
          <c:showVal val="1"/>
          <c:showCatName val="0"/>
          <c:showSerName val="0"/>
          <c:showPercent val="0"/>
          <c:showBubbleSize val="0"/>
        </c:dLbls>
        <c:marker val="1"/>
        <c:smooth val="0"/>
        <c:axId val="133410816"/>
        <c:axId val="133409024"/>
      </c:lineChart>
      <c:catAx>
        <c:axId val="133379968"/>
        <c:scaling>
          <c:orientation val="minMax"/>
        </c:scaling>
        <c:delete val="0"/>
        <c:axPos val="b"/>
        <c:numFmt formatCode="General" sourceLinked="1"/>
        <c:majorTickMark val="none"/>
        <c:minorTickMark val="none"/>
        <c:tickLblPos val="nextTo"/>
        <c:txPr>
          <a:bodyPr rot="0" vert="horz"/>
          <a:lstStyle/>
          <a:p>
            <a:pPr>
              <a:defRPr/>
            </a:pPr>
            <a:endParaRPr lang="ca-ES"/>
          </a:p>
        </c:txPr>
        <c:crossAx val="133407488"/>
        <c:crosses val="autoZero"/>
        <c:auto val="1"/>
        <c:lblAlgn val="ctr"/>
        <c:lblOffset val="100"/>
        <c:noMultiLvlLbl val="0"/>
      </c:catAx>
      <c:valAx>
        <c:axId val="133407488"/>
        <c:scaling>
          <c:orientation val="minMax"/>
          <c:max val="50000"/>
        </c:scaling>
        <c:delete val="0"/>
        <c:axPos val="l"/>
        <c:majorGridlines/>
        <c:numFmt formatCode="#,##0" sourceLinked="1"/>
        <c:majorTickMark val="none"/>
        <c:minorTickMark val="none"/>
        <c:tickLblPos val="nextTo"/>
        <c:spPr>
          <a:ln w="9525">
            <a:noFill/>
          </a:ln>
        </c:spPr>
        <c:crossAx val="133379968"/>
        <c:crosses val="autoZero"/>
        <c:crossBetween val="between"/>
      </c:valAx>
      <c:valAx>
        <c:axId val="133409024"/>
        <c:scaling>
          <c:orientation val="minMax"/>
        </c:scaling>
        <c:delete val="0"/>
        <c:axPos val="r"/>
        <c:numFmt formatCode="#,##0" sourceLinked="1"/>
        <c:majorTickMark val="out"/>
        <c:minorTickMark val="none"/>
        <c:tickLblPos val="nextTo"/>
        <c:crossAx val="133410816"/>
        <c:crosses val="max"/>
        <c:crossBetween val="between"/>
      </c:valAx>
      <c:catAx>
        <c:axId val="133410816"/>
        <c:scaling>
          <c:orientation val="minMax"/>
        </c:scaling>
        <c:delete val="1"/>
        <c:axPos val="b"/>
        <c:numFmt formatCode="General" sourceLinked="1"/>
        <c:majorTickMark val="out"/>
        <c:minorTickMark val="none"/>
        <c:tickLblPos val="nextTo"/>
        <c:crossAx val="133409024"/>
        <c:crosses val="autoZero"/>
        <c:auto val="1"/>
        <c:lblAlgn val="ctr"/>
        <c:lblOffset val="100"/>
        <c:noMultiLvlLbl val="0"/>
      </c:catAx>
    </c:plotArea>
    <c:legend>
      <c:legendPos val="b"/>
      <c:overlay val="0"/>
    </c:legend>
    <c:plotVisOnly val="1"/>
    <c:dispBlanksAs val="gap"/>
    <c:showDLblsOverMax val="0"/>
  </c:chart>
  <c:txPr>
    <a:bodyPr/>
    <a:lstStyle/>
    <a:p>
      <a:pPr>
        <a:defRPr sz="700"/>
      </a:pPr>
      <a:endParaRPr lang="ca-ES"/>
    </a:p>
  </c:txPr>
  <c:externalData r:id="rId1">
    <c:autoUpdate val="1"/>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ca-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006311130613317E-2"/>
          <c:y val="9.7232949867401761E-2"/>
          <c:w val="0.88689132124738279"/>
          <c:h val="0.72142093664638896"/>
        </c:manualLayout>
      </c:layout>
      <c:lineChart>
        <c:grouping val="standard"/>
        <c:varyColors val="0"/>
        <c:ser>
          <c:idx val="0"/>
          <c:order val="0"/>
          <c:tx>
            <c:strRef>
              <c:f>'1984-2015'!$B$1</c:f>
              <c:strCache>
                <c:ptCount val="1"/>
                <c:pt idx="0">
                  <c:v>Població encarcerada</c:v>
                </c:pt>
              </c:strCache>
            </c:strRef>
          </c:tx>
          <c:spPr>
            <a:ln>
              <a:solidFill>
                <a:schemeClr val="accent1">
                  <a:lumMod val="75000"/>
                </a:schemeClr>
              </a:solidFill>
            </a:ln>
          </c:spPr>
          <c:marker>
            <c:symbol val="none"/>
          </c:marker>
          <c:dLbls>
            <c:txPr>
              <a:bodyPr rot="-5400000" vert="horz"/>
              <a:lstStyle/>
              <a:p>
                <a:pPr>
                  <a:defRPr/>
                </a:pPr>
                <a:endParaRPr lang="ca-ES"/>
              </a:p>
            </c:txPr>
            <c:dLblPos val="t"/>
            <c:showLegendKey val="0"/>
            <c:showVal val="1"/>
            <c:showCatName val="0"/>
            <c:showSerName val="0"/>
            <c:showPercent val="0"/>
            <c:showBubbleSize val="0"/>
            <c:showLeaderLines val="0"/>
          </c:dLbls>
          <c:cat>
            <c:numRef>
              <c:f>'1984-2015'!$A$5:$A$36</c:f>
              <c:numCache>
                <c:formatCode>General</c:formatCode>
                <c:ptCount val="32"/>
                <c:pt idx="0">
                  <c:v>1984</c:v>
                </c:pt>
                <c:pt idx="1">
                  <c:v>1985</c:v>
                </c:pt>
                <c:pt idx="2">
                  <c:v>1986</c:v>
                </c:pt>
                <c:pt idx="3">
                  <c:v>1987</c:v>
                </c:pt>
                <c:pt idx="4">
                  <c:v>1988</c:v>
                </c:pt>
                <c:pt idx="5">
                  <c:v>1989</c:v>
                </c:pt>
                <c:pt idx="6">
                  <c:v>1990</c:v>
                </c:pt>
                <c:pt idx="7">
                  <c:v>1991</c:v>
                </c:pt>
                <c:pt idx="8">
                  <c:v>1992</c:v>
                </c:pt>
                <c:pt idx="9">
                  <c:v>1993</c:v>
                </c:pt>
                <c:pt idx="10">
                  <c:v>1994</c:v>
                </c:pt>
                <c:pt idx="11">
                  <c:v>1995</c:v>
                </c:pt>
                <c:pt idx="12">
                  <c:v>1996</c:v>
                </c:pt>
                <c:pt idx="13">
                  <c:v>1997</c:v>
                </c:pt>
                <c:pt idx="14">
                  <c:v>1998</c:v>
                </c:pt>
                <c:pt idx="15">
                  <c:v>1999</c:v>
                </c:pt>
                <c:pt idx="16">
                  <c:v>2000</c:v>
                </c:pt>
                <c:pt idx="17">
                  <c:v>2001</c:v>
                </c:pt>
                <c:pt idx="18">
                  <c:v>2002</c:v>
                </c:pt>
                <c:pt idx="19">
                  <c:v>2003</c:v>
                </c:pt>
                <c:pt idx="20">
                  <c:v>2004</c:v>
                </c:pt>
                <c:pt idx="21">
                  <c:v>2005</c:v>
                </c:pt>
                <c:pt idx="22">
                  <c:v>2006</c:v>
                </c:pt>
                <c:pt idx="23">
                  <c:v>2007</c:v>
                </c:pt>
                <c:pt idx="24">
                  <c:v>2008</c:v>
                </c:pt>
                <c:pt idx="25">
                  <c:v>2009</c:v>
                </c:pt>
                <c:pt idx="26">
                  <c:v>2010</c:v>
                </c:pt>
                <c:pt idx="27">
                  <c:v>2011</c:v>
                </c:pt>
                <c:pt idx="28">
                  <c:v>2012</c:v>
                </c:pt>
                <c:pt idx="29">
                  <c:v>2013</c:v>
                </c:pt>
                <c:pt idx="30">
                  <c:v>2014</c:v>
                </c:pt>
                <c:pt idx="31">
                  <c:v>2015</c:v>
                </c:pt>
              </c:numCache>
            </c:numRef>
          </c:cat>
          <c:val>
            <c:numRef>
              <c:f>'1984-2015'!$B$5:$B$36</c:f>
              <c:numCache>
                <c:formatCode>#,##0</c:formatCode>
                <c:ptCount val="32"/>
                <c:pt idx="0">
                  <c:v>2650</c:v>
                </c:pt>
                <c:pt idx="1">
                  <c:v>3447</c:v>
                </c:pt>
                <c:pt idx="2">
                  <c:v>3723</c:v>
                </c:pt>
                <c:pt idx="3">
                  <c:v>4000</c:v>
                </c:pt>
                <c:pt idx="4">
                  <c:v>4250</c:v>
                </c:pt>
                <c:pt idx="5">
                  <c:v>4478</c:v>
                </c:pt>
                <c:pt idx="6">
                  <c:v>4700</c:v>
                </c:pt>
                <c:pt idx="7">
                  <c:v>5458</c:v>
                </c:pt>
                <c:pt idx="8">
                  <c:v>5976</c:v>
                </c:pt>
                <c:pt idx="9">
                  <c:v>6436</c:v>
                </c:pt>
                <c:pt idx="10">
                  <c:v>6662</c:v>
                </c:pt>
                <c:pt idx="11">
                  <c:v>6344</c:v>
                </c:pt>
                <c:pt idx="12">
                  <c:v>5988</c:v>
                </c:pt>
                <c:pt idx="13">
                  <c:v>5934</c:v>
                </c:pt>
                <c:pt idx="14">
                  <c:v>5956</c:v>
                </c:pt>
                <c:pt idx="15">
                  <c:v>5945</c:v>
                </c:pt>
                <c:pt idx="16">
                  <c:v>6073</c:v>
                </c:pt>
                <c:pt idx="17">
                  <c:v>6405</c:v>
                </c:pt>
                <c:pt idx="18">
                  <c:v>6924</c:v>
                </c:pt>
                <c:pt idx="19">
                  <c:v>7416</c:v>
                </c:pt>
                <c:pt idx="20">
                  <c:v>8094</c:v>
                </c:pt>
                <c:pt idx="21">
                  <c:v>8305</c:v>
                </c:pt>
                <c:pt idx="22">
                  <c:v>8970</c:v>
                </c:pt>
                <c:pt idx="23">
                  <c:v>9395</c:v>
                </c:pt>
                <c:pt idx="24">
                  <c:v>10051</c:v>
                </c:pt>
                <c:pt idx="25">
                  <c:v>10525</c:v>
                </c:pt>
                <c:pt idx="26">
                  <c:v>10520</c:v>
                </c:pt>
                <c:pt idx="27">
                  <c:v>10513</c:v>
                </c:pt>
                <c:pt idx="28">
                  <c:v>10062</c:v>
                </c:pt>
                <c:pt idx="29">
                  <c:v>9818</c:v>
                </c:pt>
                <c:pt idx="30">
                  <c:v>9294</c:v>
                </c:pt>
                <c:pt idx="31">
                  <c:v>8810</c:v>
                </c:pt>
              </c:numCache>
            </c:numRef>
          </c:val>
          <c:smooth val="0"/>
        </c:ser>
        <c:dLbls>
          <c:dLblPos val="b"/>
          <c:showLegendKey val="0"/>
          <c:showVal val="1"/>
          <c:showCatName val="0"/>
          <c:showSerName val="0"/>
          <c:showPercent val="0"/>
          <c:showBubbleSize val="0"/>
        </c:dLbls>
        <c:marker val="1"/>
        <c:smooth val="0"/>
        <c:axId val="137004160"/>
        <c:axId val="137011200"/>
      </c:lineChart>
      <c:lineChart>
        <c:grouping val="standard"/>
        <c:varyColors val="0"/>
        <c:ser>
          <c:idx val="1"/>
          <c:order val="1"/>
          <c:tx>
            <c:strRef>
              <c:f>'1984-2015'!$D$1</c:f>
              <c:strCache>
                <c:ptCount val="1"/>
                <c:pt idx="0">
                  <c:v>Temps estada presó</c:v>
                </c:pt>
              </c:strCache>
            </c:strRef>
          </c:tx>
          <c:spPr>
            <a:ln>
              <a:solidFill>
                <a:schemeClr val="accent6">
                  <a:lumMod val="75000"/>
                </a:schemeClr>
              </a:solidFill>
            </a:ln>
          </c:spPr>
          <c:marker>
            <c:symbol val="none"/>
          </c:marker>
          <c:dLbls>
            <c:numFmt formatCode="#,##0" sourceLinked="0"/>
            <c:txPr>
              <a:bodyPr rot="-5400000" vert="horz"/>
              <a:lstStyle/>
              <a:p>
                <a:pPr>
                  <a:defRPr/>
                </a:pPr>
                <a:endParaRPr lang="ca-ES"/>
              </a:p>
            </c:txPr>
            <c:dLblPos val="b"/>
            <c:showLegendKey val="0"/>
            <c:showVal val="1"/>
            <c:showCatName val="0"/>
            <c:showSerName val="0"/>
            <c:showPercent val="0"/>
            <c:showBubbleSize val="0"/>
            <c:showLeaderLines val="0"/>
          </c:dLbls>
          <c:cat>
            <c:numRef>
              <c:f>'1984-2015'!$A$2:$A$36</c:f>
              <c:numCache>
                <c:formatCode>General</c:formatCode>
                <c:ptCount val="35"/>
                <c:pt idx="0">
                  <c:v>1981</c:v>
                </c:pt>
                <c:pt idx="1">
                  <c:v>1982</c:v>
                </c:pt>
                <c:pt idx="2">
                  <c:v>1983</c:v>
                </c:pt>
                <c:pt idx="3">
                  <c:v>1984</c:v>
                </c:pt>
                <c:pt idx="4">
                  <c:v>1985</c:v>
                </c:pt>
                <c:pt idx="5">
                  <c:v>1986</c:v>
                </c:pt>
                <c:pt idx="6">
                  <c:v>1987</c:v>
                </c:pt>
                <c:pt idx="7">
                  <c:v>1988</c:v>
                </c:pt>
                <c:pt idx="8">
                  <c:v>1989</c:v>
                </c:pt>
                <c:pt idx="9">
                  <c:v>1990</c:v>
                </c:pt>
                <c:pt idx="10">
                  <c:v>1991</c:v>
                </c:pt>
                <c:pt idx="11">
                  <c:v>1992</c:v>
                </c:pt>
                <c:pt idx="12">
                  <c:v>1993</c:v>
                </c:pt>
                <c:pt idx="13">
                  <c:v>1994</c:v>
                </c:pt>
                <c:pt idx="14">
                  <c:v>1995</c:v>
                </c:pt>
                <c:pt idx="15">
                  <c:v>1996</c:v>
                </c:pt>
                <c:pt idx="16">
                  <c:v>1997</c:v>
                </c:pt>
                <c:pt idx="17">
                  <c:v>1998</c:v>
                </c:pt>
                <c:pt idx="18">
                  <c:v>1999</c:v>
                </c:pt>
                <c:pt idx="19">
                  <c:v>2000</c:v>
                </c:pt>
                <c:pt idx="20">
                  <c:v>2001</c:v>
                </c:pt>
                <c:pt idx="21">
                  <c:v>2002</c:v>
                </c:pt>
                <c:pt idx="22">
                  <c:v>2003</c:v>
                </c:pt>
                <c:pt idx="23">
                  <c:v>2004</c:v>
                </c:pt>
                <c:pt idx="24">
                  <c:v>2005</c:v>
                </c:pt>
                <c:pt idx="25">
                  <c:v>2006</c:v>
                </c:pt>
                <c:pt idx="26">
                  <c:v>2007</c:v>
                </c:pt>
                <c:pt idx="27">
                  <c:v>2008</c:v>
                </c:pt>
                <c:pt idx="28">
                  <c:v>2009</c:v>
                </c:pt>
                <c:pt idx="29">
                  <c:v>2010</c:v>
                </c:pt>
                <c:pt idx="30">
                  <c:v>2011</c:v>
                </c:pt>
                <c:pt idx="31">
                  <c:v>2012</c:v>
                </c:pt>
                <c:pt idx="32">
                  <c:v>2013</c:v>
                </c:pt>
                <c:pt idx="33">
                  <c:v>2014</c:v>
                </c:pt>
                <c:pt idx="34">
                  <c:v>2015</c:v>
                </c:pt>
              </c:numCache>
            </c:numRef>
          </c:cat>
          <c:val>
            <c:numRef>
              <c:f>'1984-2015'!$D$5:$D$36</c:f>
              <c:numCache>
                <c:formatCode>General</c:formatCode>
                <c:ptCount val="32"/>
                <c:pt idx="10" formatCode="0.0">
                  <c:v>123.66</c:v>
                </c:pt>
                <c:pt idx="11" formatCode="0.0">
                  <c:v>157.32</c:v>
                </c:pt>
                <c:pt idx="12" formatCode="0.0">
                  <c:v>205.46</c:v>
                </c:pt>
                <c:pt idx="13" formatCode="0.0">
                  <c:v>224.87</c:v>
                </c:pt>
                <c:pt idx="14" formatCode="0.0">
                  <c:v>235.92</c:v>
                </c:pt>
                <c:pt idx="15" formatCode="0.0">
                  <c:v>260.56</c:v>
                </c:pt>
                <c:pt idx="16" formatCode="0.0">
                  <c:v>265.54000000000002</c:v>
                </c:pt>
                <c:pt idx="17" formatCode="0.0">
                  <c:v>254.96</c:v>
                </c:pt>
                <c:pt idx="18" formatCode="0.0">
                  <c:v>251.16</c:v>
                </c:pt>
                <c:pt idx="19" formatCode="0.0">
                  <c:v>283.43</c:v>
                </c:pt>
                <c:pt idx="20" formatCode="0.0">
                  <c:v>319.75</c:v>
                </c:pt>
                <c:pt idx="21" formatCode="0.0">
                  <c:v>373.75</c:v>
                </c:pt>
                <c:pt idx="22" formatCode="0.0">
                  <c:v>395.39</c:v>
                </c:pt>
                <c:pt idx="23" formatCode="0.0">
                  <c:v>411.63</c:v>
                </c:pt>
                <c:pt idx="24" formatCode="0.0">
                  <c:v>392.76</c:v>
                </c:pt>
                <c:pt idx="25" formatCode="0.0">
                  <c:v>400.41</c:v>
                </c:pt>
                <c:pt idx="26" formatCode="0.0">
                  <c:v>436</c:v>
                </c:pt>
                <c:pt idx="27" formatCode="0.0">
                  <c:v>451</c:v>
                </c:pt>
                <c:pt idx="28" formatCode="0.0">
                  <c:v>439.24</c:v>
                </c:pt>
                <c:pt idx="29" formatCode="0.0">
                  <c:v>443.53</c:v>
                </c:pt>
                <c:pt idx="30" formatCode="0.0">
                  <c:v>448.79</c:v>
                </c:pt>
                <c:pt idx="31" formatCode="0.0">
                  <c:v>496.06</c:v>
                </c:pt>
              </c:numCache>
            </c:numRef>
          </c:val>
          <c:smooth val="0"/>
        </c:ser>
        <c:dLbls>
          <c:dLblPos val="b"/>
          <c:showLegendKey val="0"/>
          <c:showVal val="1"/>
          <c:showCatName val="0"/>
          <c:showSerName val="0"/>
          <c:showPercent val="0"/>
          <c:showBubbleSize val="0"/>
        </c:dLbls>
        <c:marker val="1"/>
        <c:smooth val="0"/>
        <c:axId val="137014272"/>
        <c:axId val="137012736"/>
      </c:lineChart>
      <c:catAx>
        <c:axId val="137004160"/>
        <c:scaling>
          <c:orientation val="minMax"/>
        </c:scaling>
        <c:delete val="0"/>
        <c:axPos val="b"/>
        <c:numFmt formatCode="General" sourceLinked="1"/>
        <c:majorTickMark val="none"/>
        <c:minorTickMark val="none"/>
        <c:tickLblPos val="nextTo"/>
        <c:txPr>
          <a:bodyPr rot="-5400000" vert="horz"/>
          <a:lstStyle/>
          <a:p>
            <a:pPr>
              <a:defRPr/>
            </a:pPr>
            <a:endParaRPr lang="ca-ES"/>
          </a:p>
        </c:txPr>
        <c:crossAx val="137011200"/>
        <c:crosses val="autoZero"/>
        <c:auto val="1"/>
        <c:lblAlgn val="ctr"/>
        <c:lblOffset val="100"/>
        <c:noMultiLvlLbl val="0"/>
      </c:catAx>
      <c:valAx>
        <c:axId val="137011200"/>
        <c:scaling>
          <c:orientation val="minMax"/>
        </c:scaling>
        <c:delete val="0"/>
        <c:axPos val="l"/>
        <c:majorGridlines/>
        <c:numFmt formatCode="#,##0" sourceLinked="1"/>
        <c:majorTickMark val="none"/>
        <c:minorTickMark val="none"/>
        <c:tickLblPos val="nextTo"/>
        <c:spPr>
          <a:ln w="9525">
            <a:noFill/>
          </a:ln>
        </c:spPr>
        <c:crossAx val="137004160"/>
        <c:crosses val="autoZero"/>
        <c:crossBetween val="between"/>
      </c:valAx>
      <c:valAx>
        <c:axId val="137012736"/>
        <c:scaling>
          <c:orientation val="minMax"/>
          <c:max val="1000"/>
        </c:scaling>
        <c:delete val="0"/>
        <c:axPos val="r"/>
        <c:numFmt formatCode="#,##0" sourceLinked="0"/>
        <c:majorTickMark val="out"/>
        <c:minorTickMark val="none"/>
        <c:tickLblPos val="nextTo"/>
        <c:crossAx val="137014272"/>
        <c:crosses val="max"/>
        <c:crossBetween val="between"/>
      </c:valAx>
      <c:catAx>
        <c:axId val="137014272"/>
        <c:scaling>
          <c:orientation val="minMax"/>
        </c:scaling>
        <c:delete val="1"/>
        <c:axPos val="b"/>
        <c:numFmt formatCode="General" sourceLinked="1"/>
        <c:majorTickMark val="out"/>
        <c:minorTickMark val="none"/>
        <c:tickLblPos val="nextTo"/>
        <c:crossAx val="137012736"/>
        <c:crosses val="autoZero"/>
        <c:auto val="1"/>
        <c:lblAlgn val="ctr"/>
        <c:lblOffset val="100"/>
        <c:noMultiLvlLbl val="0"/>
      </c:catAx>
    </c:plotArea>
    <c:legend>
      <c:legendPos val="b"/>
      <c:overlay val="0"/>
    </c:legend>
    <c:plotVisOnly val="1"/>
    <c:dispBlanksAs val="gap"/>
    <c:showDLblsOverMax val="0"/>
  </c:chart>
  <c:txPr>
    <a:bodyPr/>
    <a:lstStyle/>
    <a:p>
      <a:pPr>
        <a:defRPr sz="700"/>
      </a:pPr>
      <a:endParaRPr lang="ca-ES"/>
    </a:p>
  </c:txPr>
  <c:externalData r:id="rId1">
    <c:autoUpdate val="1"/>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ca-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3609203104931039E-2"/>
          <c:y val="9.7232996176079209E-2"/>
          <c:w val="0.88689132124738279"/>
          <c:h val="0.68359756573978414"/>
        </c:manualLayout>
      </c:layout>
      <c:lineChart>
        <c:grouping val="standard"/>
        <c:varyColors val="0"/>
        <c:ser>
          <c:idx val="0"/>
          <c:order val="0"/>
          <c:tx>
            <c:strRef>
              <c:f>'1984-2015'!$B$1</c:f>
              <c:strCache>
                <c:ptCount val="1"/>
                <c:pt idx="0">
                  <c:v>Població encarcerada</c:v>
                </c:pt>
              </c:strCache>
            </c:strRef>
          </c:tx>
          <c:spPr>
            <a:ln>
              <a:solidFill>
                <a:schemeClr val="accent1">
                  <a:lumMod val="75000"/>
                </a:schemeClr>
              </a:solidFill>
            </a:ln>
          </c:spPr>
          <c:marker>
            <c:symbol val="none"/>
          </c:marker>
          <c:dLbls>
            <c:dLbl>
              <c:idx val="0"/>
              <c:layout>
                <c:manualLayout>
                  <c:x val="-2.6522642093191717E-2"/>
                  <c:y val="5.0794585642764879E-2"/>
                </c:manualLayout>
              </c:layout>
              <c:dLblPos val="r"/>
              <c:showLegendKey val="0"/>
              <c:showVal val="1"/>
              <c:showCatName val="0"/>
              <c:showSerName val="0"/>
              <c:showPercent val="0"/>
              <c:showBubbleSize val="0"/>
            </c:dLbl>
            <c:dLbl>
              <c:idx val="1"/>
              <c:layout>
                <c:manualLayout>
                  <c:x val="-2.6522642093191717E-2"/>
                  <c:y val="5.5204802483056259E-2"/>
                </c:manualLayout>
              </c:layout>
              <c:dLblPos val="r"/>
              <c:showLegendKey val="0"/>
              <c:showVal val="1"/>
              <c:showCatName val="0"/>
              <c:showSerName val="0"/>
              <c:showPercent val="0"/>
              <c:showBubbleSize val="0"/>
            </c:dLbl>
            <c:dLbl>
              <c:idx val="2"/>
              <c:layout>
                <c:manualLayout>
                  <c:x val="-2.6522642093191717E-2"/>
                  <c:y val="4.197415196218187E-2"/>
                </c:manualLayout>
              </c:layout>
              <c:dLblPos val="r"/>
              <c:showLegendKey val="0"/>
              <c:showVal val="1"/>
              <c:showCatName val="0"/>
              <c:showSerName val="0"/>
              <c:showPercent val="0"/>
              <c:showBubbleSize val="0"/>
            </c:dLbl>
            <c:dLbl>
              <c:idx val="3"/>
              <c:layout>
                <c:manualLayout>
                  <c:x val="-2.6522642093191717E-2"/>
                  <c:y val="3.3153718281598944E-2"/>
                </c:manualLayout>
              </c:layout>
              <c:dLblPos val="r"/>
              <c:showLegendKey val="0"/>
              <c:showVal val="1"/>
              <c:showCatName val="0"/>
              <c:showSerName val="0"/>
              <c:showPercent val="0"/>
              <c:showBubbleSize val="0"/>
            </c:dLbl>
            <c:dLbl>
              <c:idx val="4"/>
              <c:layout>
                <c:manualLayout>
                  <c:x val="-2.6522642093191717E-2"/>
                  <c:y val="3.7563935121890407E-2"/>
                </c:manualLayout>
              </c:layout>
              <c:dLblPos val="r"/>
              <c:showLegendKey val="0"/>
              <c:showVal val="1"/>
              <c:showCatName val="0"/>
              <c:showSerName val="0"/>
              <c:showPercent val="0"/>
              <c:showBubbleSize val="0"/>
            </c:dLbl>
            <c:dLbl>
              <c:idx val="5"/>
              <c:layout>
                <c:manualLayout>
                  <c:x val="-2.6522642093191717E-2"/>
                  <c:y val="4.197415196218187E-2"/>
                </c:manualLayout>
              </c:layout>
              <c:dLblPos val="r"/>
              <c:showLegendKey val="0"/>
              <c:showVal val="1"/>
              <c:showCatName val="0"/>
              <c:showSerName val="0"/>
              <c:showPercent val="0"/>
              <c:showBubbleSize val="0"/>
            </c:dLbl>
            <c:dLbl>
              <c:idx val="6"/>
              <c:layout>
                <c:manualLayout>
                  <c:x val="-2.6522642093191717E-2"/>
                  <c:y val="5.0794585642764796E-2"/>
                </c:manualLayout>
              </c:layout>
              <c:dLblPos val="r"/>
              <c:showLegendKey val="0"/>
              <c:showVal val="1"/>
              <c:showCatName val="0"/>
              <c:showSerName val="0"/>
              <c:showPercent val="0"/>
              <c:showBubbleSize val="0"/>
            </c:dLbl>
            <c:txPr>
              <a:bodyPr rot="-5400000" vert="horz"/>
              <a:lstStyle/>
              <a:p>
                <a:pPr>
                  <a:defRPr/>
                </a:pPr>
                <a:endParaRPr lang="ca-ES"/>
              </a:p>
            </c:txPr>
            <c:dLblPos val="t"/>
            <c:showLegendKey val="0"/>
            <c:showVal val="1"/>
            <c:showCatName val="0"/>
            <c:showSerName val="0"/>
            <c:showPercent val="0"/>
            <c:showBubbleSize val="0"/>
            <c:showLeaderLines val="0"/>
          </c:dLbls>
          <c:cat>
            <c:numRef>
              <c:f>'1984-2015'!$A$5:$A$36</c:f>
              <c:numCache>
                <c:formatCode>General</c:formatCode>
                <c:ptCount val="32"/>
                <c:pt idx="0">
                  <c:v>1984</c:v>
                </c:pt>
                <c:pt idx="1">
                  <c:v>1985</c:v>
                </c:pt>
                <c:pt idx="2">
                  <c:v>1986</c:v>
                </c:pt>
                <c:pt idx="3">
                  <c:v>1987</c:v>
                </c:pt>
                <c:pt idx="4">
                  <c:v>1988</c:v>
                </c:pt>
                <c:pt idx="5">
                  <c:v>1989</c:v>
                </c:pt>
                <c:pt idx="6">
                  <c:v>1990</c:v>
                </c:pt>
                <c:pt idx="7">
                  <c:v>1991</c:v>
                </c:pt>
                <c:pt idx="8">
                  <c:v>1992</c:v>
                </c:pt>
                <c:pt idx="9">
                  <c:v>1993</c:v>
                </c:pt>
                <c:pt idx="10">
                  <c:v>1994</c:v>
                </c:pt>
                <c:pt idx="11">
                  <c:v>1995</c:v>
                </c:pt>
                <c:pt idx="12">
                  <c:v>1996</c:v>
                </c:pt>
                <c:pt idx="13">
                  <c:v>1997</c:v>
                </c:pt>
                <c:pt idx="14">
                  <c:v>1998</c:v>
                </c:pt>
                <c:pt idx="15">
                  <c:v>1999</c:v>
                </c:pt>
                <c:pt idx="16">
                  <c:v>2000</c:v>
                </c:pt>
                <c:pt idx="17">
                  <c:v>2001</c:v>
                </c:pt>
                <c:pt idx="18">
                  <c:v>2002</c:v>
                </c:pt>
                <c:pt idx="19">
                  <c:v>2003</c:v>
                </c:pt>
                <c:pt idx="20">
                  <c:v>2004</c:v>
                </c:pt>
                <c:pt idx="21">
                  <c:v>2005</c:v>
                </c:pt>
                <c:pt idx="22">
                  <c:v>2006</c:v>
                </c:pt>
                <c:pt idx="23">
                  <c:v>2007</c:v>
                </c:pt>
                <c:pt idx="24">
                  <c:v>2008</c:v>
                </c:pt>
                <c:pt idx="25">
                  <c:v>2009</c:v>
                </c:pt>
                <c:pt idx="26">
                  <c:v>2010</c:v>
                </c:pt>
                <c:pt idx="27">
                  <c:v>2011</c:v>
                </c:pt>
                <c:pt idx="28">
                  <c:v>2012</c:v>
                </c:pt>
                <c:pt idx="29">
                  <c:v>2013</c:v>
                </c:pt>
                <c:pt idx="30">
                  <c:v>2014</c:v>
                </c:pt>
                <c:pt idx="31">
                  <c:v>2015</c:v>
                </c:pt>
              </c:numCache>
            </c:numRef>
          </c:cat>
          <c:val>
            <c:numRef>
              <c:f>'1984-2015'!$B$5:$B$36</c:f>
              <c:numCache>
                <c:formatCode>#,##0</c:formatCode>
                <c:ptCount val="32"/>
                <c:pt idx="0">
                  <c:v>2650</c:v>
                </c:pt>
                <c:pt idx="1">
                  <c:v>3447</c:v>
                </c:pt>
                <c:pt idx="2">
                  <c:v>3723</c:v>
                </c:pt>
                <c:pt idx="3">
                  <c:v>4000</c:v>
                </c:pt>
                <c:pt idx="4">
                  <c:v>4250</c:v>
                </c:pt>
                <c:pt idx="5">
                  <c:v>4478</c:v>
                </c:pt>
                <c:pt idx="6">
                  <c:v>4700</c:v>
                </c:pt>
                <c:pt idx="7">
                  <c:v>5458</c:v>
                </c:pt>
                <c:pt idx="8">
                  <c:v>5976</c:v>
                </c:pt>
                <c:pt idx="9">
                  <c:v>6436</c:v>
                </c:pt>
                <c:pt idx="10">
                  <c:v>6662</c:v>
                </c:pt>
                <c:pt idx="11">
                  <c:v>6344</c:v>
                </c:pt>
                <c:pt idx="12">
                  <c:v>5988</c:v>
                </c:pt>
                <c:pt idx="13">
                  <c:v>5934</c:v>
                </c:pt>
                <c:pt idx="14">
                  <c:v>5956</c:v>
                </c:pt>
                <c:pt idx="15">
                  <c:v>5945</c:v>
                </c:pt>
                <c:pt idx="16">
                  <c:v>6073</c:v>
                </c:pt>
                <c:pt idx="17">
                  <c:v>6405</c:v>
                </c:pt>
                <c:pt idx="18">
                  <c:v>6924</c:v>
                </c:pt>
                <c:pt idx="19">
                  <c:v>7416</c:v>
                </c:pt>
                <c:pt idx="20">
                  <c:v>8094</c:v>
                </c:pt>
                <c:pt idx="21">
                  <c:v>8305</c:v>
                </c:pt>
                <c:pt idx="22">
                  <c:v>8970</c:v>
                </c:pt>
                <c:pt idx="23">
                  <c:v>9395</c:v>
                </c:pt>
                <c:pt idx="24">
                  <c:v>10051</c:v>
                </c:pt>
                <c:pt idx="25">
                  <c:v>10525</c:v>
                </c:pt>
                <c:pt idx="26">
                  <c:v>10520</c:v>
                </c:pt>
                <c:pt idx="27">
                  <c:v>10513</c:v>
                </c:pt>
                <c:pt idx="28">
                  <c:v>10062</c:v>
                </c:pt>
                <c:pt idx="29">
                  <c:v>9818</c:v>
                </c:pt>
                <c:pt idx="30">
                  <c:v>9294</c:v>
                </c:pt>
                <c:pt idx="31">
                  <c:v>8810</c:v>
                </c:pt>
              </c:numCache>
            </c:numRef>
          </c:val>
          <c:smooth val="0"/>
        </c:ser>
        <c:dLbls>
          <c:dLblPos val="b"/>
          <c:showLegendKey val="0"/>
          <c:showVal val="1"/>
          <c:showCatName val="0"/>
          <c:showSerName val="0"/>
          <c:showPercent val="0"/>
          <c:showBubbleSize val="0"/>
        </c:dLbls>
        <c:marker val="1"/>
        <c:smooth val="0"/>
        <c:axId val="135410048"/>
        <c:axId val="135412736"/>
      </c:lineChart>
      <c:lineChart>
        <c:grouping val="standard"/>
        <c:varyColors val="0"/>
        <c:ser>
          <c:idx val="1"/>
          <c:order val="1"/>
          <c:tx>
            <c:strRef>
              <c:f>'1984-2015'!$J$1</c:f>
              <c:strCache>
                <c:ptCount val="1"/>
                <c:pt idx="0">
                  <c:v>% Preventius</c:v>
                </c:pt>
              </c:strCache>
            </c:strRef>
          </c:tx>
          <c:spPr>
            <a:ln>
              <a:solidFill>
                <a:srgbClr val="FF3399"/>
              </a:solidFill>
            </a:ln>
          </c:spPr>
          <c:marker>
            <c:symbol val="none"/>
          </c:marker>
          <c:dLbls>
            <c:numFmt formatCode="0%" sourceLinked="0"/>
            <c:txPr>
              <a:bodyPr rot="-5400000" vert="horz"/>
              <a:lstStyle/>
              <a:p>
                <a:pPr>
                  <a:defRPr/>
                </a:pPr>
                <a:endParaRPr lang="ca-ES"/>
              </a:p>
            </c:txPr>
            <c:dLblPos val="b"/>
            <c:showLegendKey val="0"/>
            <c:showVal val="1"/>
            <c:showCatName val="0"/>
            <c:showSerName val="0"/>
            <c:showPercent val="0"/>
            <c:showBubbleSize val="0"/>
            <c:showLeaderLines val="0"/>
          </c:dLbls>
          <c:cat>
            <c:numRef>
              <c:f>'1984-2015'!$A$5:$A$36</c:f>
              <c:numCache>
                <c:formatCode>General</c:formatCode>
                <c:ptCount val="32"/>
                <c:pt idx="0">
                  <c:v>1984</c:v>
                </c:pt>
                <c:pt idx="1">
                  <c:v>1985</c:v>
                </c:pt>
                <c:pt idx="2">
                  <c:v>1986</c:v>
                </c:pt>
                <c:pt idx="3">
                  <c:v>1987</c:v>
                </c:pt>
                <c:pt idx="4">
                  <c:v>1988</c:v>
                </c:pt>
                <c:pt idx="5">
                  <c:v>1989</c:v>
                </c:pt>
                <c:pt idx="6">
                  <c:v>1990</c:v>
                </c:pt>
                <c:pt idx="7">
                  <c:v>1991</c:v>
                </c:pt>
                <c:pt idx="8">
                  <c:v>1992</c:v>
                </c:pt>
                <c:pt idx="9">
                  <c:v>1993</c:v>
                </c:pt>
                <c:pt idx="10">
                  <c:v>1994</c:v>
                </c:pt>
                <c:pt idx="11">
                  <c:v>1995</c:v>
                </c:pt>
                <c:pt idx="12">
                  <c:v>1996</c:v>
                </c:pt>
                <c:pt idx="13">
                  <c:v>1997</c:v>
                </c:pt>
                <c:pt idx="14">
                  <c:v>1998</c:v>
                </c:pt>
                <c:pt idx="15">
                  <c:v>1999</c:v>
                </c:pt>
                <c:pt idx="16">
                  <c:v>2000</c:v>
                </c:pt>
                <c:pt idx="17">
                  <c:v>2001</c:v>
                </c:pt>
                <c:pt idx="18">
                  <c:v>2002</c:v>
                </c:pt>
                <c:pt idx="19">
                  <c:v>2003</c:v>
                </c:pt>
                <c:pt idx="20">
                  <c:v>2004</c:v>
                </c:pt>
                <c:pt idx="21">
                  <c:v>2005</c:v>
                </c:pt>
                <c:pt idx="22">
                  <c:v>2006</c:v>
                </c:pt>
                <c:pt idx="23">
                  <c:v>2007</c:v>
                </c:pt>
                <c:pt idx="24">
                  <c:v>2008</c:v>
                </c:pt>
                <c:pt idx="25">
                  <c:v>2009</c:v>
                </c:pt>
                <c:pt idx="26">
                  <c:v>2010</c:v>
                </c:pt>
                <c:pt idx="27">
                  <c:v>2011</c:v>
                </c:pt>
                <c:pt idx="28">
                  <c:v>2012</c:v>
                </c:pt>
                <c:pt idx="29">
                  <c:v>2013</c:v>
                </c:pt>
                <c:pt idx="30">
                  <c:v>2014</c:v>
                </c:pt>
                <c:pt idx="31">
                  <c:v>2015</c:v>
                </c:pt>
              </c:numCache>
            </c:numRef>
          </c:cat>
          <c:val>
            <c:numRef>
              <c:f>'1984-2015'!$J$5:$J$36</c:f>
              <c:numCache>
                <c:formatCode>0%</c:formatCode>
                <c:ptCount val="32"/>
                <c:pt idx="0">
                  <c:v>0.61773584905660373</c:v>
                </c:pt>
                <c:pt idx="1">
                  <c:v>0.56048738033072232</c:v>
                </c:pt>
                <c:pt idx="2">
                  <c:v>0.53639538006983611</c:v>
                </c:pt>
                <c:pt idx="3">
                  <c:v>0.39024999999999999</c:v>
                </c:pt>
                <c:pt idx="4">
                  <c:v>0.45458823529411763</c:v>
                </c:pt>
                <c:pt idx="5">
                  <c:v>0.45935685573916929</c:v>
                </c:pt>
                <c:pt idx="6">
                  <c:v>0.42446808510638295</c:v>
                </c:pt>
                <c:pt idx="7">
                  <c:v>0.35086112128984975</c:v>
                </c:pt>
                <c:pt idx="8">
                  <c:v>0.30338018741633199</c:v>
                </c:pt>
                <c:pt idx="9">
                  <c:v>0.28262896208825355</c:v>
                </c:pt>
                <c:pt idx="10">
                  <c:v>0.25743020114079856</c:v>
                </c:pt>
                <c:pt idx="11">
                  <c:v>0.22556746532156369</c:v>
                </c:pt>
                <c:pt idx="12">
                  <c:v>0.20908483633934535</c:v>
                </c:pt>
                <c:pt idx="13">
                  <c:v>0.20273003033367037</c:v>
                </c:pt>
                <c:pt idx="14">
                  <c:v>0.21692411014103424</c:v>
                </c:pt>
                <c:pt idx="15">
                  <c:v>0.20605550883095039</c:v>
                </c:pt>
                <c:pt idx="16">
                  <c:v>0.18359953894286185</c:v>
                </c:pt>
                <c:pt idx="17">
                  <c:v>0.1923497267759563</c:v>
                </c:pt>
                <c:pt idx="18">
                  <c:v>0.20103986135181975</c:v>
                </c:pt>
                <c:pt idx="19">
                  <c:v>0.19174757281553398</c:v>
                </c:pt>
                <c:pt idx="20">
                  <c:v>0.18692858907832963</c:v>
                </c:pt>
                <c:pt idx="21">
                  <c:v>0.19662853702588801</c:v>
                </c:pt>
                <c:pt idx="22">
                  <c:v>0.20211817168338908</c:v>
                </c:pt>
                <c:pt idx="23">
                  <c:v>0.21511442256519425</c:v>
                </c:pt>
                <c:pt idx="24">
                  <c:v>0.21938115610387027</c:v>
                </c:pt>
                <c:pt idx="25">
                  <c:v>0.20997624703087886</c:v>
                </c:pt>
                <c:pt idx="26">
                  <c:v>0.18602661596958175</c:v>
                </c:pt>
                <c:pt idx="27">
                  <c:v>0.18557975839436888</c:v>
                </c:pt>
                <c:pt idx="28">
                  <c:v>0.17580997813555954</c:v>
                </c:pt>
                <c:pt idx="29">
                  <c:v>0.15573436545121205</c:v>
                </c:pt>
                <c:pt idx="30">
                  <c:v>0.14278028835808049</c:v>
                </c:pt>
                <c:pt idx="31">
                  <c:v>0.13688989784335981</c:v>
                </c:pt>
              </c:numCache>
            </c:numRef>
          </c:val>
          <c:smooth val="0"/>
        </c:ser>
        <c:dLbls>
          <c:dLblPos val="b"/>
          <c:showLegendKey val="0"/>
          <c:showVal val="1"/>
          <c:showCatName val="0"/>
          <c:showSerName val="0"/>
          <c:showPercent val="0"/>
          <c:showBubbleSize val="0"/>
        </c:dLbls>
        <c:marker val="1"/>
        <c:smooth val="0"/>
        <c:axId val="135424256"/>
        <c:axId val="135422720"/>
      </c:lineChart>
      <c:catAx>
        <c:axId val="135410048"/>
        <c:scaling>
          <c:orientation val="minMax"/>
        </c:scaling>
        <c:delete val="0"/>
        <c:axPos val="b"/>
        <c:numFmt formatCode="General" sourceLinked="1"/>
        <c:majorTickMark val="none"/>
        <c:minorTickMark val="none"/>
        <c:tickLblPos val="nextTo"/>
        <c:txPr>
          <a:bodyPr rot="-5400000" vert="horz"/>
          <a:lstStyle/>
          <a:p>
            <a:pPr>
              <a:defRPr/>
            </a:pPr>
            <a:endParaRPr lang="ca-ES"/>
          </a:p>
        </c:txPr>
        <c:crossAx val="135412736"/>
        <c:crosses val="autoZero"/>
        <c:auto val="1"/>
        <c:lblAlgn val="ctr"/>
        <c:lblOffset val="100"/>
        <c:noMultiLvlLbl val="0"/>
      </c:catAx>
      <c:valAx>
        <c:axId val="135412736"/>
        <c:scaling>
          <c:orientation val="minMax"/>
        </c:scaling>
        <c:delete val="0"/>
        <c:axPos val="l"/>
        <c:majorGridlines/>
        <c:numFmt formatCode="#,##0" sourceLinked="1"/>
        <c:majorTickMark val="none"/>
        <c:minorTickMark val="none"/>
        <c:tickLblPos val="nextTo"/>
        <c:spPr>
          <a:ln w="9525">
            <a:noFill/>
          </a:ln>
        </c:spPr>
        <c:crossAx val="135410048"/>
        <c:crosses val="autoZero"/>
        <c:crossBetween val="between"/>
      </c:valAx>
      <c:valAx>
        <c:axId val="135422720"/>
        <c:scaling>
          <c:orientation val="minMax"/>
        </c:scaling>
        <c:delete val="0"/>
        <c:axPos val="r"/>
        <c:numFmt formatCode="0%" sourceLinked="1"/>
        <c:majorTickMark val="out"/>
        <c:minorTickMark val="none"/>
        <c:tickLblPos val="nextTo"/>
        <c:crossAx val="135424256"/>
        <c:crosses val="max"/>
        <c:crossBetween val="between"/>
      </c:valAx>
      <c:catAx>
        <c:axId val="135424256"/>
        <c:scaling>
          <c:orientation val="minMax"/>
        </c:scaling>
        <c:delete val="1"/>
        <c:axPos val="b"/>
        <c:numFmt formatCode="General" sourceLinked="1"/>
        <c:majorTickMark val="out"/>
        <c:minorTickMark val="none"/>
        <c:tickLblPos val="nextTo"/>
        <c:crossAx val="135422720"/>
        <c:crosses val="autoZero"/>
        <c:auto val="1"/>
        <c:lblAlgn val="ctr"/>
        <c:lblOffset val="100"/>
        <c:noMultiLvlLbl val="0"/>
      </c:catAx>
    </c:plotArea>
    <c:legend>
      <c:legendPos val="b"/>
      <c:overlay val="0"/>
    </c:legend>
    <c:plotVisOnly val="1"/>
    <c:dispBlanksAs val="gap"/>
    <c:showDLblsOverMax val="0"/>
  </c:chart>
  <c:txPr>
    <a:bodyPr/>
    <a:lstStyle/>
    <a:p>
      <a:pPr>
        <a:defRPr sz="700"/>
      </a:pPr>
      <a:endParaRPr lang="ca-ES"/>
    </a:p>
  </c:txPr>
  <c:externalData r:id="rId1">
    <c:autoUpdate val="1"/>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ca-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'1984-2015'!$B$1</c:f>
              <c:strCache>
                <c:ptCount val="1"/>
                <c:pt idx="0">
                  <c:v>Població encarcerada</c:v>
                </c:pt>
              </c:strCache>
            </c:strRef>
          </c:tx>
          <c:marker>
            <c:symbol val="none"/>
          </c:marker>
          <c:dLbls>
            <c:dLbl>
              <c:idx val="1"/>
              <c:layout>
                <c:manualLayout>
                  <c:x val="-1.82417996459673E-2"/>
                  <c:y val="4.6384368802473333E-2"/>
                </c:manualLayout>
              </c:layout>
              <c:dLblPos val="r"/>
              <c:showLegendKey val="0"/>
              <c:showVal val="1"/>
              <c:showCatName val="0"/>
              <c:showSerName val="0"/>
              <c:showPercent val="0"/>
              <c:showBubbleSize val="0"/>
            </c:dLbl>
            <c:dLbl>
              <c:idx val="2"/>
              <c:layout>
                <c:manualLayout>
                  <c:x val="-2.2652015720510371E-2"/>
                  <c:y val="6.4025236163639185E-2"/>
                </c:manualLayout>
              </c:layout>
              <c:dLblPos val="r"/>
              <c:showLegendKey val="0"/>
              <c:showVal val="1"/>
              <c:showCatName val="0"/>
              <c:showSerName val="0"/>
              <c:showPercent val="0"/>
              <c:showBubbleSize val="0"/>
            </c:dLbl>
            <c:dLbl>
              <c:idx val="3"/>
              <c:layout>
                <c:manualLayout>
                  <c:x val="-2.2652015720510371E-2"/>
                  <c:y val="7.2845669844222111E-2"/>
                </c:manualLayout>
              </c:layout>
              <c:dLblPos val="r"/>
              <c:showLegendKey val="0"/>
              <c:showVal val="1"/>
              <c:showCatName val="0"/>
              <c:showSerName val="0"/>
              <c:showPercent val="0"/>
              <c:showBubbleSize val="0"/>
            </c:dLbl>
            <c:dLbl>
              <c:idx val="4"/>
              <c:layout>
                <c:manualLayout>
                  <c:x val="-2.4857123757781905E-2"/>
                  <c:y val="5.5204802483056259E-2"/>
                </c:manualLayout>
              </c:layout>
              <c:dLblPos val="r"/>
              <c:showLegendKey val="0"/>
              <c:showVal val="1"/>
              <c:showCatName val="0"/>
              <c:showSerName val="0"/>
              <c:showPercent val="0"/>
              <c:showBubbleSize val="0"/>
            </c:dLbl>
            <c:txPr>
              <a:bodyPr rot="-5400000" vert="horz"/>
              <a:lstStyle/>
              <a:p>
                <a:pPr>
                  <a:defRPr/>
                </a:pPr>
                <a:endParaRPr lang="ca-ES"/>
              </a:p>
            </c:txPr>
            <c:dLblPos val="t"/>
            <c:showLegendKey val="0"/>
            <c:showVal val="1"/>
            <c:showCatName val="0"/>
            <c:showSerName val="0"/>
            <c:showPercent val="0"/>
            <c:showBubbleSize val="0"/>
            <c:showLeaderLines val="0"/>
          </c:dLbls>
          <c:cat>
            <c:numRef>
              <c:f>'1984-2015'!$A$12:$A$36</c:f>
              <c:numCache>
                <c:formatCode>General</c:formatCode>
                <c:ptCount val="25"/>
                <c:pt idx="0">
                  <c:v>1991</c:v>
                </c:pt>
                <c:pt idx="1">
                  <c:v>1992</c:v>
                </c:pt>
                <c:pt idx="2">
                  <c:v>1993</c:v>
                </c:pt>
                <c:pt idx="3">
                  <c:v>1994</c:v>
                </c:pt>
                <c:pt idx="4">
                  <c:v>1995</c:v>
                </c:pt>
                <c:pt idx="5">
                  <c:v>1996</c:v>
                </c:pt>
                <c:pt idx="6">
                  <c:v>1997</c:v>
                </c:pt>
                <c:pt idx="7">
                  <c:v>1998</c:v>
                </c:pt>
                <c:pt idx="8">
                  <c:v>1999</c:v>
                </c:pt>
                <c:pt idx="9">
                  <c:v>2000</c:v>
                </c:pt>
                <c:pt idx="10">
                  <c:v>2001</c:v>
                </c:pt>
                <c:pt idx="11">
                  <c:v>2002</c:v>
                </c:pt>
                <c:pt idx="12">
                  <c:v>2003</c:v>
                </c:pt>
                <c:pt idx="13">
                  <c:v>2004</c:v>
                </c:pt>
                <c:pt idx="14">
                  <c:v>2005</c:v>
                </c:pt>
                <c:pt idx="15">
                  <c:v>2006</c:v>
                </c:pt>
                <c:pt idx="16">
                  <c:v>2007</c:v>
                </c:pt>
                <c:pt idx="17">
                  <c:v>2008</c:v>
                </c:pt>
                <c:pt idx="18">
                  <c:v>2009</c:v>
                </c:pt>
                <c:pt idx="19">
                  <c:v>2010</c:v>
                </c:pt>
                <c:pt idx="20">
                  <c:v>2011</c:v>
                </c:pt>
                <c:pt idx="21">
                  <c:v>2012</c:v>
                </c:pt>
                <c:pt idx="22">
                  <c:v>2013</c:v>
                </c:pt>
                <c:pt idx="23">
                  <c:v>2014</c:v>
                </c:pt>
                <c:pt idx="24">
                  <c:v>2015</c:v>
                </c:pt>
              </c:numCache>
            </c:numRef>
          </c:cat>
          <c:val>
            <c:numRef>
              <c:f>'1984-2015'!$B$12:$B$36</c:f>
              <c:numCache>
                <c:formatCode>#,##0</c:formatCode>
                <c:ptCount val="25"/>
                <c:pt idx="0">
                  <c:v>5458</c:v>
                </c:pt>
                <c:pt idx="1">
                  <c:v>5976</c:v>
                </c:pt>
                <c:pt idx="2">
                  <c:v>6436</c:v>
                </c:pt>
                <c:pt idx="3">
                  <c:v>6662</c:v>
                </c:pt>
                <c:pt idx="4">
                  <c:v>6344</c:v>
                </c:pt>
                <c:pt idx="5">
                  <c:v>5988</c:v>
                </c:pt>
                <c:pt idx="6">
                  <c:v>5934</c:v>
                </c:pt>
                <c:pt idx="7">
                  <c:v>5956</c:v>
                </c:pt>
                <c:pt idx="8">
                  <c:v>5945</c:v>
                </c:pt>
                <c:pt idx="9">
                  <c:v>6073</c:v>
                </c:pt>
                <c:pt idx="10">
                  <c:v>6405</c:v>
                </c:pt>
                <c:pt idx="11">
                  <c:v>6924</c:v>
                </c:pt>
                <c:pt idx="12">
                  <c:v>7416</c:v>
                </c:pt>
                <c:pt idx="13">
                  <c:v>8094</c:v>
                </c:pt>
                <c:pt idx="14">
                  <c:v>8305</c:v>
                </c:pt>
                <c:pt idx="15">
                  <c:v>8970</c:v>
                </c:pt>
                <c:pt idx="16">
                  <c:v>9395</c:v>
                </c:pt>
                <c:pt idx="17">
                  <c:v>10051</c:v>
                </c:pt>
                <c:pt idx="18">
                  <c:v>10525</c:v>
                </c:pt>
                <c:pt idx="19">
                  <c:v>10520</c:v>
                </c:pt>
                <c:pt idx="20">
                  <c:v>10513</c:v>
                </c:pt>
                <c:pt idx="21">
                  <c:v>10062</c:v>
                </c:pt>
                <c:pt idx="22">
                  <c:v>9818</c:v>
                </c:pt>
                <c:pt idx="23">
                  <c:v>9294</c:v>
                </c:pt>
                <c:pt idx="24">
                  <c:v>8810</c:v>
                </c:pt>
              </c:numCache>
            </c:numRef>
          </c:val>
          <c:smooth val="0"/>
        </c:ser>
        <c:ser>
          <c:idx val="1"/>
          <c:order val="1"/>
          <c:tx>
            <c:strRef>
              <c:f>'1984-2015'!$M$1</c:f>
              <c:strCache>
                <c:ptCount val="1"/>
                <c:pt idx="0">
                  <c:v>Altes anuals de llibertat de preventius</c:v>
                </c:pt>
              </c:strCache>
            </c:strRef>
          </c:tx>
          <c:spPr>
            <a:ln>
              <a:solidFill>
                <a:srgbClr val="FF33CC"/>
              </a:solidFill>
              <a:prstDash val="sysDot"/>
            </a:ln>
          </c:spPr>
          <c:marker>
            <c:symbol val="none"/>
          </c:marker>
          <c:dLbls>
            <c:dLbl>
              <c:idx val="1"/>
              <c:layout>
                <c:manualLayout>
                  <c:x val="-2.7062231795053439E-2"/>
                  <c:y val="-5.961501932334768E-2"/>
                </c:manualLayout>
              </c:layout>
              <c:dLblPos val="r"/>
              <c:showLegendKey val="0"/>
              <c:showVal val="1"/>
              <c:showCatName val="0"/>
              <c:showSerName val="0"/>
              <c:showPercent val="0"/>
              <c:showBubbleSize val="0"/>
            </c:dLbl>
            <c:dLbl>
              <c:idx val="2"/>
              <c:layout>
                <c:manualLayout>
                  <c:x val="-2.4857123757781905E-2"/>
                  <c:y val="-5.0794585642764817E-2"/>
                </c:manualLayout>
              </c:layout>
              <c:dLblPos val="r"/>
              <c:showLegendKey val="0"/>
              <c:showVal val="1"/>
              <c:showCatName val="0"/>
              <c:showSerName val="0"/>
              <c:showPercent val="0"/>
              <c:showBubbleSize val="0"/>
            </c:dLbl>
            <c:dLbl>
              <c:idx val="3"/>
              <c:layout>
                <c:manualLayout>
                  <c:x val="-2.2652015720510371E-2"/>
                  <c:y val="-5.5204802483056259E-2"/>
                </c:manualLayout>
              </c:layout>
              <c:dLblPos val="r"/>
              <c:showLegendKey val="0"/>
              <c:showVal val="1"/>
              <c:showCatName val="0"/>
              <c:showSerName val="0"/>
              <c:showPercent val="0"/>
              <c:showBubbleSize val="0"/>
            </c:dLbl>
            <c:dLbl>
              <c:idx val="4"/>
              <c:layout>
                <c:manualLayout>
                  <c:x val="-2.0446907683238834E-2"/>
                  <c:y val="-5.9615019323347722E-2"/>
                </c:manualLayout>
              </c:layout>
              <c:dLblPos val="r"/>
              <c:showLegendKey val="0"/>
              <c:showVal val="1"/>
              <c:showCatName val="0"/>
              <c:showSerName val="0"/>
              <c:showPercent val="0"/>
              <c:showBubbleSize val="0"/>
            </c:dLbl>
            <c:numFmt formatCode="#,##0" sourceLinked="0"/>
            <c:txPr>
              <a:bodyPr rot="-5400000" vert="horz"/>
              <a:lstStyle/>
              <a:p>
                <a:pPr>
                  <a:defRPr/>
                </a:pPr>
                <a:endParaRPr lang="ca-ES"/>
              </a:p>
            </c:txPr>
            <c:dLblPos val="b"/>
            <c:showLegendKey val="0"/>
            <c:showVal val="1"/>
            <c:showCatName val="0"/>
            <c:showSerName val="0"/>
            <c:showPercent val="0"/>
            <c:showBubbleSize val="0"/>
            <c:showLeaderLines val="0"/>
          </c:dLbls>
          <c:cat>
            <c:numRef>
              <c:f>'1984-2015'!$A$12:$A$36</c:f>
              <c:numCache>
                <c:formatCode>General</c:formatCode>
                <c:ptCount val="25"/>
                <c:pt idx="0">
                  <c:v>1991</c:v>
                </c:pt>
                <c:pt idx="1">
                  <c:v>1992</c:v>
                </c:pt>
                <c:pt idx="2">
                  <c:v>1993</c:v>
                </c:pt>
                <c:pt idx="3">
                  <c:v>1994</c:v>
                </c:pt>
                <c:pt idx="4">
                  <c:v>1995</c:v>
                </c:pt>
                <c:pt idx="5">
                  <c:v>1996</c:v>
                </c:pt>
                <c:pt idx="6">
                  <c:v>1997</c:v>
                </c:pt>
                <c:pt idx="7">
                  <c:v>1998</c:v>
                </c:pt>
                <c:pt idx="8">
                  <c:v>1999</c:v>
                </c:pt>
                <c:pt idx="9">
                  <c:v>2000</c:v>
                </c:pt>
                <c:pt idx="10">
                  <c:v>2001</c:v>
                </c:pt>
                <c:pt idx="11">
                  <c:v>2002</c:v>
                </c:pt>
                <c:pt idx="12">
                  <c:v>2003</c:v>
                </c:pt>
                <c:pt idx="13">
                  <c:v>2004</c:v>
                </c:pt>
                <c:pt idx="14">
                  <c:v>2005</c:v>
                </c:pt>
                <c:pt idx="15">
                  <c:v>2006</c:v>
                </c:pt>
                <c:pt idx="16">
                  <c:v>2007</c:v>
                </c:pt>
                <c:pt idx="17">
                  <c:v>2008</c:v>
                </c:pt>
                <c:pt idx="18">
                  <c:v>2009</c:v>
                </c:pt>
                <c:pt idx="19">
                  <c:v>2010</c:v>
                </c:pt>
                <c:pt idx="20">
                  <c:v>2011</c:v>
                </c:pt>
                <c:pt idx="21">
                  <c:v>2012</c:v>
                </c:pt>
                <c:pt idx="22">
                  <c:v>2013</c:v>
                </c:pt>
                <c:pt idx="23">
                  <c:v>2014</c:v>
                </c:pt>
                <c:pt idx="24">
                  <c:v>2015</c:v>
                </c:pt>
              </c:numCache>
            </c:numRef>
          </c:cat>
          <c:val>
            <c:numRef>
              <c:f>'1984-2015'!$M$12:$M$36</c:f>
              <c:numCache>
                <c:formatCode>General</c:formatCode>
                <c:ptCount val="25"/>
                <c:pt idx="0">
                  <c:v>3960</c:v>
                </c:pt>
                <c:pt idx="1">
                  <c:v>7812</c:v>
                </c:pt>
                <c:pt idx="2">
                  <c:v>8748</c:v>
                </c:pt>
                <c:pt idx="3">
                  <c:v>8736</c:v>
                </c:pt>
                <c:pt idx="4">
                  <c:v>6948</c:v>
                </c:pt>
                <c:pt idx="5">
                  <c:v>5724</c:v>
                </c:pt>
                <c:pt idx="6">
                  <c:v>5184</c:v>
                </c:pt>
                <c:pt idx="7">
                  <c:v>4848</c:v>
                </c:pt>
                <c:pt idx="8">
                  <c:v>4524</c:v>
                </c:pt>
                <c:pt idx="9">
                  <c:v>4488</c:v>
                </c:pt>
                <c:pt idx="10">
                  <c:v>4704</c:v>
                </c:pt>
                <c:pt idx="11">
                  <c:v>4884</c:v>
                </c:pt>
                <c:pt idx="12">
                  <c:v>4608</c:v>
                </c:pt>
                <c:pt idx="13">
                  <c:v>4512</c:v>
                </c:pt>
                <c:pt idx="14">
                  <c:v>4116</c:v>
                </c:pt>
                <c:pt idx="15">
                  <c:v>4908</c:v>
                </c:pt>
                <c:pt idx="16">
                  <c:v>5016</c:v>
                </c:pt>
                <c:pt idx="17">
                  <c:v>5424</c:v>
                </c:pt>
                <c:pt idx="18">
                  <c:v>4212</c:v>
                </c:pt>
                <c:pt idx="19">
                  <c:v>3828</c:v>
                </c:pt>
                <c:pt idx="20">
                  <c:v>3888</c:v>
                </c:pt>
                <c:pt idx="21">
                  <c:v>3684</c:v>
                </c:pt>
                <c:pt idx="22">
                  <c:v>2760</c:v>
                </c:pt>
                <c:pt idx="23">
                  <c:v>2916</c:v>
                </c:pt>
                <c:pt idx="24">
                  <c:v>2316</c:v>
                </c:pt>
              </c:numCache>
            </c:numRef>
          </c:val>
          <c:smooth val="0"/>
        </c:ser>
        <c:dLbls>
          <c:dLblPos val="b"/>
          <c:showLegendKey val="0"/>
          <c:showVal val="1"/>
          <c:showCatName val="0"/>
          <c:showSerName val="0"/>
          <c:showPercent val="0"/>
          <c:showBubbleSize val="0"/>
        </c:dLbls>
        <c:marker val="1"/>
        <c:smooth val="0"/>
        <c:axId val="135459200"/>
        <c:axId val="135460352"/>
      </c:lineChart>
      <c:catAx>
        <c:axId val="135459200"/>
        <c:scaling>
          <c:orientation val="minMax"/>
        </c:scaling>
        <c:delete val="0"/>
        <c:axPos val="b"/>
        <c:numFmt formatCode="General" sourceLinked="1"/>
        <c:majorTickMark val="none"/>
        <c:minorTickMark val="none"/>
        <c:tickLblPos val="nextTo"/>
        <c:txPr>
          <a:bodyPr rot="-5400000" vert="horz"/>
          <a:lstStyle/>
          <a:p>
            <a:pPr>
              <a:defRPr/>
            </a:pPr>
            <a:endParaRPr lang="ca-ES"/>
          </a:p>
        </c:txPr>
        <c:crossAx val="135460352"/>
        <c:crosses val="autoZero"/>
        <c:auto val="1"/>
        <c:lblAlgn val="ctr"/>
        <c:lblOffset val="100"/>
        <c:noMultiLvlLbl val="0"/>
      </c:catAx>
      <c:valAx>
        <c:axId val="135460352"/>
        <c:scaling>
          <c:orientation val="minMax"/>
        </c:scaling>
        <c:delete val="0"/>
        <c:axPos val="l"/>
        <c:majorGridlines/>
        <c:numFmt formatCode="#,##0" sourceLinked="1"/>
        <c:majorTickMark val="none"/>
        <c:minorTickMark val="none"/>
        <c:tickLblPos val="nextTo"/>
        <c:spPr>
          <a:ln w="9525">
            <a:noFill/>
          </a:ln>
        </c:spPr>
        <c:crossAx val="135459200"/>
        <c:crosses val="autoZero"/>
        <c:crossBetween val="between"/>
      </c:valAx>
    </c:plotArea>
    <c:legend>
      <c:legendPos val="b"/>
      <c:overlay val="0"/>
    </c:legend>
    <c:plotVisOnly val="1"/>
    <c:dispBlanksAs val="gap"/>
    <c:showDLblsOverMax val="0"/>
  </c:chart>
  <c:txPr>
    <a:bodyPr/>
    <a:lstStyle/>
    <a:p>
      <a:pPr>
        <a:defRPr sz="700"/>
      </a:pPr>
      <a:endParaRPr lang="ca-ES"/>
    </a:p>
  </c:txPr>
  <c:externalData r:id="rId1">
    <c:autoUpdate val="1"/>
  </c:externalData>
  <c:userShapes r:id="rId2"/>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ca-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3609203104931039E-2"/>
          <c:y val="9.7232996176079209E-2"/>
          <c:w val="0.88689132124738279"/>
          <c:h val="0.68800770906944242"/>
        </c:manualLayout>
      </c:layout>
      <c:lineChart>
        <c:grouping val="standard"/>
        <c:varyColors val="0"/>
        <c:ser>
          <c:idx val="0"/>
          <c:order val="0"/>
          <c:tx>
            <c:strRef>
              <c:f>'1984-2015'!$G$1</c:f>
              <c:strCache>
                <c:ptCount val="1"/>
                <c:pt idx="0">
                  <c:v>Causes resoltes per sentència</c:v>
                </c:pt>
              </c:strCache>
            </c:strRef>
          </c:tx>
          <c:spPr>
            <a:ln>
              <a:solidFill>
                <a:srgbClr val="009900"/>
              </a:solidFill>
              <a:prstDash val="sysDot"/>
            </a:ln>
          </c:spPr>
          <c:marker>
            <c:symbol val="none"/>
          </c:marker>
          <c:dLbls>
            <c:dLbl>
              <c:idx val="0"/>
              <c:layout>
                <c:manualLayout>
                  <c:x val="-2.4169783740822463E-2"/>
                  <c:y val="7.3838116622761296E-2"/>
                </c:manualLayout>
              </c:layout>
              <c:dLblPos val="r"/>
              <c:showLegendKey val="0"/>
              <c:showVal val="1"/>
              <c:showCatName val="0"/>
              <c:showSerName val="0"/>
              <c:showPercent val="0"/>
              <c:showBubbleSize val="0"/>
            </c:dLbl>
            <c:dLbl>
              <c:idx val="1"/>
              <c:layout>
                <c:manualLayout>
                  <c:x val="-2.1816925388453208E-2"/>
                  <c:y val="6.9427901313966353E-2"/>
                </c:manualLayout>
              </c:layout>
              <c:dLblPos val="r"/>
              <c:showLegendKey val="0"/>
              <c:showVal val="1"/>
              <c:showCatName val="0"/>
              <c:showSerName val="0"/>
              <c:showPercent val="0"/>
              <c:showBubbleSize val="0"/>
            </c:dLbl>
            <c:dLbl>
              <c:idx val="2"/>
              <c:layout>
                <c:manualLayout>
                  <c:x val="-2.6522642093191717E-2"/>
                  <c:y val="7.8248331931556198E-2"/>
                </c:manualLayout>
              </c:layout>
              <c:dLblPos val="r"/>
              <c:showLegendKey val="0"/>
              <c:showVal val="1"/>
              <c:showCatName val="0"/>
              <c:showSerName val="0"/>
              <c:showPercent val="0"/>
              <c:showBubbleSize val="0"/>
            </c:dLbl>
            <c:dLbl>
              <c:idx val="3"/>
              <c:layout>
                <c:manualLayout>
                  <c:x val="-2.6522642093191717E-2"/>
                  <c:y val="6.5017686005171368E-2"/>
                </c:manualLayout>
              </c:layout>
              <c:dLblPos val="r"/>
              <c:showLegendKey val="0"/>
              <c:showVal val="1"/>
              <c:showCatName val="0"/>
              <c:showSerName val="0"/>
              <c:showPercent val="0"/>
              <c:showBubbleSize val="0"/>
            </c:dLbl>
            <c:dLbl>
              <c:idx val="4"/>
              <c:layout>
                <c:manualLayout>
                  <c:x val="-2.1816925388453208E-2"/>
                  <c:y val="6.501768600517141E-2"/>
                </c:manualLayout>
              </c:layout>
              <c:dLblPos val="r"/>
              <c:showLegendKey val="0"/>
              <c:showVal val="1"/>
              <c:showCatName val="0"/>
              <c:showSerName val="0"/>
              <c:showPercent val="0"/>
              <c:showBubbleSize val="0"/>
            </c:dLbl>
            <c:dLbl>
              <c:idx val="5"/>
              <c:layout>
                <c:manualLayout>
                  <c:x val="-2.6522642093191717E-2"/>
                  <c:y val="7.8248331931556198E-2"/>
                </c:manualLayout>
              </c:layout>
              <c:dLblPos val="r"/>
              <c:showLegendKey val="0"/>
              <c:showVal val="1"/>
              <c:showCatName val="0"/>
              <c:showSerName val="0"/>
              <c:showPercent val="0"/>
              <c:showBubbleSize val="0"/>
            </c:dLbl>
            <c:dLbl>
              <c:idx val="6"/>
              <c:layout>
                <c:manualLayout>
                  <c:x val="-2.1816925388453208E-2"/>
                  <c:y val="6.501768600517141E-2"/>
                </c:manualLayout>
              </c:layout>
              <c:dLblPos val="r"/>
              <c:showLegendKey val="0"/>
              <c:showVal val="1"/>
              <c:showCatName val="0"/>
              <c:showSerName val="0"/>
              <c:showPercent val="0"/>
              <c:showBubbleSize val="0"/>
            </c:dLbl>
            <c:txPr>
              <a:bodyPr rot="-5400000" vert="horz"/>
              <a:lstStyle/>
              <a:p>
                <a:pPr>
                  <a:defRPr/>
                </a:pPr>
                <a:endParaRPr lang="ca-ES"/>
              </a:p>
            </c:txPr>
            <c:dLblPos val="t"/>
            <c:showLegendKey val="0"/>
            <c:showVal val="1"/>
            <c:showCatName val="0"/>
            <c:showSerName val="0"/>
            <c:showPercent val="0"/>
            <c:showBubbleSize val="0"/>
            <c:showLeaderLines val="0"/>
          </c:dLbls>
          <c:cat>
            <c:numRef>
              <c:f>'1984-2015'!$A$24:$A$36</c:f>
              <c:numCache>
                <c:formatCode>General</c:formatCode>
                <c:ptCount val="13"/>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numCache>
            </c:numRef>
          </c:cat>
          <c:val>
            <c:numRef>
              <c:f>'1984-2015'!$G$24:$G$36</c:f>
              <c:numCache>
                <c:formatCode>#,##0</c:formatCode>
                <c:ptCount val="13"/>
                <c:pt idx="0">
                  <c:v>21849</c:v>
                </c:pt>
                <c:pt idx="1">
                  <c:v>22389</c:v>
                </c:pt>
                <c:pt idx="2">
                  <c:v>22831</c:v>
                </c:pt>
                <c:pt idx="3">
                  <c:v>22335</c:v>
                </c:pt>
                <c:pt idx="4">
                  <c:v>23884</c:v>
                </c:pt>
                <c:pt idx="5">
                  <c:v>25449</c:v>
                </c:pt>
                <c:pt idx="6">
                  <c:v>25413</c:v>
                </c:pt>
                <c:pt idx="7">
                  <c:v>26939</c:v>
                </c:pt>
                <c:pt idx="8">
                  <c:v>28544</c:v>
                </c:pt>
                <c:pt idx="9">
                  <c:v>28837</c:v>
                </c:pt>
                <c:pt idx="10">
                  <c:v>29263</c:v>
                </c:pt>
                <c:pt idx="11">
                  <c:v>29414</c:v>
                </c:pt>
                <c:pt idx="12">
                  <c:v>31268</c:v>
                </c:pt>
              </c:numCache>
            </c:numRef>
          </c:val>
          <c:smooth val="0"/>
        </c:ser>
        <c:dLbls>
          <c:dLblPos val="b"/>
          <c:showLegendKey val="0"/>
          <c:showVal val="1"/>
          <c:showCatName val="0"/>
          <c:showSerName val="0"/>
          <c:showPercent val="0"/>
          <c:showBubbleSize val="0"/>
        </c:dLbls>
        <c:marker val="1"/>
        <c:smooth val="0"/>
        <c:axId val="136960256"/>
        <c:axId val="136963200"/>
      </c:lineChart>
      <c:lineChart>
        <c:grouping val="standard"/>
        <c:varyColors val="0"/>
        <c:ser>
          <c:idx val="1"/>
          <c:order val="1"/>
          <c:tx>
            <c:strRef>
              <c:f>'1984-2015'!$J$1</c:f>
              <c:strCache>
                <c:ptCount val="1"/>
                <c:pt idx="0">
                  <c:v>% Preventius</c:v>
                </c:pt>
              </c:strCache>
            </c:strRef>
          </c:tx>
          <c:spPr>
            <a:ln>
              <a:solidFill>
                <a:srgbClr val="FF3399"/>
              </a:solidFill>
            </a:ln>
          </c:spPr>
          <c:marker>
            <c:symbol val="none"/>
          </c:marker>
          <c:dLbls>
            <c:dLbl>
              <c:idx val="7"/>
              <c:layout>
                <c:manualLayout>
                  <c:x val="-2.1068297313899528E-2"/>
                  <c:y val="3.3627359706289217E-2"/>
                </c:manualLayout>
              </c:layout>
              <c:dLblPos val="r"/>
              <c:showLegendKey val="0"/>
              <c:showVal val="1"/>
              <c:showCatName val="0"/>
              <c:showSerName val="0"/>
              <c:showPercent val="0"/>
              <c:showBubbleSize val="0"/>
            </c:dLbl>
            <c:dLbl>
              <c:idx val="8"/>
              <c:layout>
                <c:manualLayout>
                  <c:x val="-2.6522642093191717E-2"/>
                  <c:y val="5.4896068240963054E-2"/>
                </c:manualLayout>
              </c:layout>
              <c:dLblPos val="r"/>
              <c:showLegendKey val="0"/>
              <c:showVal val="1"/>
              <c:showCatName val="0"/>
              <c:showSerName val="0"/>
              <c:showPercent val="0"/>
              <c:showBubbleSize val="0"/>
            </c:dLbl>
            <c:dLbl>
              <c:idx val="9"/>
              <c:layout>
                <c:manualLayout>
                  <c:x val="-3.1228358797930227E-2"/>
                  <c:y val="4.6075637623373127E-2"/>
                </c:manualLayout>
              </c:layout>
              <c:dLblPos val="r"/>
              <c:showLegendKey val="0"/>
              <c:showVal val="1"/>
              <c:showCatName val="0"/>
              <c:showSerName val="0"/>
              <c:showPercent val="0"/>
              <c:showBubbleSize val="0"/>
            </c:dLbl>
            <c:numFmt formatCode="0%" sourceLinked="0"/>
            <c:txPr>
              <a:bodyPr rot="-5400000" vert="horz"/>
              <a:lstStyle/>
              <a:p>
                <a:pPr>
                  <a:defRPr/>
                </a:pPr>
                <a:endParaRPr lang="ca-ES"/>
              </a:p>
            </c:txPr>
            <c:dLblPos val="t"/>
            <c:showLegendKey val="0"/>
            <c:showVal val="1"/>
            <c:showCatName val="0"/>
            <c:showSerName val="0"/>
            <c:showPercent val="0"/>
            <c:showBubbleSize val="0"/>
            <c:showLeaderLines val="0"/>
          </c:dLbls>
          <c:cat>
            <c:numRef>
              <c:f>'1984-2015'!$A$24:$A$36</c:f>
              <c:numCache>
                <c:formatCode>General</c:formatCode>
                <c:ptCount val="13"/>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numCache>
            </c:numRef>
          </c:cat>
          <c:val>
            <c:numRef>
              <c:f>'1984-2015'!$J$24:$J$36</c:f>
              <c:numCache>
                <c:formatCode>0%</c:formatCode>
                <c:ptCount val="13"/>
                <c:pt idx="0">
                  <c:v>0.19174757281553398</c:v>
                </c:pt>
                <c:pt idx="1">
                  <c:v>0.18692858907832963</c:v>
                </c:pt>
                <c:pt idx="2">
                  <c:v>0.19662853702588801</c:v>
                </c:pt>
                <c:pt idx="3">
                  <c:v>0.20211817168338908</c:v>
                </c:pt>
                <c:pt idx="4">
                  <c:v>0.21511442256519425</c:v>
                </c:pt>
                <c:pt idx="5">
                  <c:v>0.21938115610387027</c:v>
                </c:pt>
                <c:pt idx="6">
                  <c:v>0.20997624703087886</c:v>
                </c:pt>
                <c:pt idx="7">
                  <c:v>0.18602661596958175</c:v>
                </c:pt>
                <c:pt idx="8">
                  <c:v>0.18557975839436888</c:v>
                </c:pt>
                <c:pt idx="9">
                  <c:v>0.17580997813555954</c:v>
                </c:pt>
                <c:pt idx="10">
                  <c:v>0.15573436545121205</c:v>
                </c:pt>
                <c:pt idx="11">
                  <c:v>0.14278028835808049</c:v>
                </c:pt>
                <c:pt idx="12">
                  <c:v>0.13688989784335981</c:v>
                </c:pt>
              </c:numCache>
            </c:numRef>
          </c:val>
          <c:smooth val="0"/>
        </c:ser>
        <c:dLbls>
          <c:dLblPos val="b"/>
          <c:showLegendKey val="0"/>
          <c:showVal val="1"/>
          <c:showCatName val="0"/>
          <c:showSerName val="0"/>
          <c:showPercent val="0"/>
          <c:showBubbleSize val="0"/>
        </c:dLbls>
        <c:marker val="1"/>
        <c:smooth val="0"/>
        <c:axId val="135471488"/>
        <c:axId val="136964736"/>
      </c:lineChart>
      <c:catAx>
        <c:axId val="136960256"/>
        <c:scaling>
          <c:orientation val="minMax"/>
        </c:scaling>
        <c:delete val="0"/>
        <c:axPos val="b"/>
        <c:numFmt formatCode="General" sourceLinked="1"/>
        <c:majorTickMark val="none"/>
        <c:minorTickMark val="none"/>
        <c:tickLblPos val="nextTo"/>
        <c:txPr>
          <a:bodyPr rot="-5400000" vert="horz"/>
          <a:lstStyle/>
          <a:p>
            <a:pPr>
              <a:defRPr/>
            </a:pPr>
            <a:endParaRPr lang="ca-ES"/>
          </a:p>
        </c:txPr>
        <c:crossAx val="136963200"/>
        <c:crosses val="autoZero"/>
        <c:auto val="1"/>
        <c:lblAlgn val="ctr"/>
        <c:lblOffset val="100"/>
        <c:noMultiLvlLbl val="0"/>
      </c:catAx>
      <c:valAx>
        <c:axId val="136963200"/>
        <c:scaling>
          <c:orientation val="minMax"/>
        </c:scaling>
        <c:delete val="0"/>
        <c:axPos val="l"/>
        <c:majorGridlines/>
        <c:numFmt formatCode="#,##0" sourceLinked="1"/>
        <c:majorTickMark val="none"/>
        <c:minorTickMark val="none"/>
        <c:tickLblPos val="nextTo"/>
        <c:spPr>
          <a:ln w="9525">
            <a:noFill/>
          </a:ln>
        </c:spPr>
        <c:crossAx val="136960256"/>
        <c:crosses val="autoZero"/>
        <c:crossBetween val="between"/>
      </c:valAx>
      <c:valAx>
        <c:axId val="136964736"/>
        <c:scaling>
          <c:orientation val="minMax"/>
        </c:scaling>
        <c:delete val="0"/>
        <c:axPos val="r"/>
        <c:numFmt formatCode="0%" sourceLinked="1"/>
        <c:majorTickMark val="out"/>
        <c:minorTickMark val="none"/>
        <c:tickLblPos val="nextTo"/>
        <c:crossAx val="135471488"/>
        <c:crosses val="max"/>
        <c:crossBetween val="between"/>
      </c:valAx>
      <c:catAx>
        <c:axId val="135471488"/>
        <c:scaling>
          <c:orientation val="minMax"/>
        </c:scaling>
        <c:delete val="1"/>
        <c:axPos val="b"/>
        <c:numFmt formatCode="General" sourceLinked="1"/>
        <c:majorTickMark val="out"/>
        <c:minorTickMark val="none"/>
        <c:tickLblPos val="nextTo"/>
        <c:crossAx val="136964736"/>
        <c:crosses val="autoZero"/>
        <c:auto val="1"/>
        <c:lblAlgn val="ctr"/>
        <c:lblOffset val="100"/>
        <c:noMultiLvlLbl val="0"/>
      </c:catAx>
    </c:plotArea>
    <c:legend>
      <c:legendPos val="b"/>
      <c:overlay val="0"/>
    </c:legend>
    <c:plotVisOnly val="1"/>
    <c:dispBlanksAs val="gap"/>
    <c:showDLblsOverMax val="0"/>
  </c:chart>
  <c:txPr>
    <a:bodyPr/>
    <a:lstStyle/>
    <a:p>
      <a:pPr>
        <a:defRPr sz="700"/>
      </a:pPr>
      <a:endParaRPr lang="ca-ES"/>
    </a:p>
  </c:txPr>
  <c:externalData r:id="rId1">
    <c:autoUpdate val="1"/>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ca-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'1984-2015'!$B$1</c:f>
              <c:strCache>
                <c:ptCount val="1"/>
                <c:pt idx="0">
                  <c:v>Població encarcerada</c:v>
                </c:pt>
              </c:strCache>
            </c:strRef>
          </c:tx>
          <c:marker>
            <c:symbol val="none"/>
          </c:marker>
          <c:dLbls>
            <c:txPr>
              <a:bodyPr rot="-5400000" vert="horz"/>
              <a:lstStyle/>
              <a:p>
                <a:pPr>
                  <a:defRPr/>
                </a:pPr>
                <a:endParaRPr lang="ca-ES"/>
              </a:p>
            </c:txPr>
            <c:dLblPos val="t"/>
            <c:showLegendKey val="0"/>
            <c:showVal val="1"/>
            <c:showCatName val="0"/>
            <c:showSerName val="0"/>
            <c:showPercent val="0"/>
            <c:showBubbleSize val="0"/>
            <c:showLeaderLines val="0"/>
          </c:dLbls>
          <c:cat>
            <c:numRef>
              <c:f>'1984-2015'!$A$12:$A$36</c:f>
              <c:numCache>
                <c:formatCode>General</c:formatCode>
                <c:ptCount val="25"/>
                <c:pt idx="0">
                  <c:v>1991</c:v>
                </c:pt>
                <c:pt idx="1">
                  <c:v>1992</c:v>
                </c:pt>
                <c:pt idx="2">
                  <c:v>1993</c:v>
                </c:pt>
                <c:pt idx="3">
                  <c:v>1994</c:v>
                </c:pt>
                <c:pt idx="4">
                  <c:v>1995</c:v>
                </c:pt>
                <c:pt idx="5">
                  <c:v>1996</c:v>
                </c:pt>
                <c:pt idx="6">
                  <c:v>1997</c:v>
                </c:pt>
                <c:pt idx="7">
                  <c:v>1998</c:v>
                </c:pt>
                <c:pt idx="8">
                  <c:v>1999</c:v>
                </c:pt>
                <c:pt idx="9">
                  <c:v>2000</c:v>
                </c:pt>
                <c:pt idx="10">
                  <c:v>2001</c:v>
                </c:pt>
                <c:pt idx="11">
                  <c:v>2002</c:v>
                </c:pt>
                <c:pt idx="12">
                  <c:v>2003</c:v>
                </c:pt>
                <c:pt idx="13">
                  <c:v>2004</c:v>
                </c:pt>
                <c:pt idx="14">
                  <c:v>2005</c:v>
                </c:pt>
                <c:pt idx="15">
                  <c:v>2006</c:v>
                </c:pt>
                <c:pt idx="16">
                  <c:v>2007</c:v>
                </c:pt>
                <c:pt idx="17">
                  <c:v>2008</c:v>
                </c:pt>
                <c:pt idx="18">
                  <c:v>2009</c:v>
                </c:pt>
                <c:pt idx="19">
                  <c:v>2010</c:v>
                </c:pt>
                <c:pt idx="20">
                  <c:v>2011</c:v>
                </c:pt>
                <c:pt idx="21">
                  <c:v>2012</c:v>
                </c:pt>
                <c:pt idx="22">
                  <c:v>2013</c:v>
                </c:pt>
                <c:pt idx="23">
                  <c:v>2014</c:v>
                </c:pt>
                <c:pt idx="24">
                  <c:v>2015</c:v>
                </c:pt>
              </c:numCache>
            </c:numRef>
          </c:cat>
          <c:val>
            <c:numRef>
              <c:f>'1984-2015'!$B$12:$B$36</c:f>
              <c:numCache>
                <c:formatCode>#,##0</c:formatCode>
                <c:ptCount val="25"/>
                <c:pt idx="0">
                  <c:v>5458</c:v>
                </c:pt>
                <c:pt idx="1">
                  <c:v>5976</c:v>
                </c:pt>
                <c:pt idx="2">
                  <c:v>6436</c:v>
                </c:pt>
                <c:pt idx="3">
                  <c:v>6662</c:v>
                </c:pt>
                <c:pt idx="4">
                  <c:v>6344</c:v>
                </c:pt>
                <c:pt idx="5">
                  <c:v>5988</c:v>
                </c:pt>
                <c:pt idx="6">
                  <c:v>5934</c:v>
                </c:pt>
                <c:pt idx="7">
                  <c:v>5956</c:v>
                </c:pt>
                <c:pt idx="8">
                  <c:v>5945</c:v>
                </c:pt>
                <c:pt idx="9">
                  <c:v>6073</c:v>
                </c:pt>
                <c:pt idx="10">
                  <c:v>6405</c:v>
                </c:pt>
                <c:pt idx="11">
                  <c:v>6924</c:v>
                </c:pt>
                <c:pt idx="12">
                  <c:v>7416</c:v>
                </c:pt>
                <c:pt idx="13">
                  <c:v>8094</c:v>
                </c:pt>
                <c:pt idx="14">
                  <c:v>8305</c:v>
                </c:pt>
                <c:pt idx="15">
                  <c:v>8970</c:v>
                </c:pt>
                <c:pt idx="16">
                  <c:v>9395</c:v>
                </c:pt>
                <c:pt idx="17">
                  <c:v>10051</c:v>
                </c:pt>
                <c:pt idx="18">
                  <c:v>10525</c:v>
                </c:pt>
                <c:pt idx="19">
                  <c:v>10520</c:v>
                </c:pt>
                <c:pt idx="20">
                  <c:v>10513</c:v>
                </c:pt>
                <c:pt idx="21">
                  <c:v>10062</c:v>
                </c:pt>
                <c:pt idx="22">
                  <c:v>9818</c:v>
                </c:pt>
                <c:pt idx="23">
                  <c:v>9294</c:v>
                </c:pt>
                <c:pt idx="24">
                  <c:v>8810</c:v>
                </c:pt>
              </c:numCache>
            </c:numRef>
          </c:val>
          <c:smooth val="0"/>
        </c:ser>
        <c:ser>
          <c:idx val="1"/>
          <c:order val="1"/>
          <c:tx>
            <c:strRef>
              <c:f>'1984-2015'!$O$1</c:f>
              <c:strCache>
                <c:ptCount val="1"/>
                <c:pt idx="0">
                  <c:v>Baixes anuals de preventius per llibertat</c:v>
                </c:pt>
              </c:strCache>
            </c:strRef>
          </c:tx>
          <c:spPr>
            <a:ln>
              <a:solidFill>
                <a:srgbClr val="FF33CC"/>
              </a:solidFill>
              <a:prstDash val="dash"/>
            </a:ln>
          </c:spPr>
          <c:marker>
            <c:symbol val="none"/>
          </c:marker>
          <c:dLbls>
            <c:numFmt formatCode="#,##0" sourceLinked="0"/>
            <c:txPr>
              <a:bodyPr rot="-5400000" vert="horz"/>
              <a:lstStyle/>
              <a:p>
                <a:pPr>
                  <a:defRPr/>
                </a:pPr>
                <a:endParaRPr lang="ca-ES"/>
              </a:p>
            </c:txPr>
            <c:dLblPos val="t"/>
            <c:showLegendKey val="0"/>
            <c:showVal val="1"/>
            <c:showCatName val="0"/>
            <c:showSerName val="0"/>
            <c:showPercent val="0"/>
            <c:showBubbleSize val="0"/>
            <c:showLeaderLines val="0"/>
          </c:dLbls>
          <c:cat>
            <c:numRef>
              <c:f>'1984-2015'!$A$12:$A$36</c:f>
              <c:numCache>
                <c:formatCode>General</c:formatCode>
                <c:ptCount val="25"/>
                <c:pt idx="0">
                  <c:v>1991</c:v>
                </c:pt>
                <c:pt idx="1">
                  <c:v>1992</c:v>
                </c:pt>
                <c:pt idx="2">
                  <c:v>1993</c:v>
                </c:pt>
                <c:pt idx="3">
                  <c:v>1994</c:v>
                </c:pt>
                <c:pt idx="4">
                  <c:v>1995</c:v>
                </c:pt>
                <c:pt idx="5">
                  <c:v>1996</c:v>
                </c:pt>
                <c:pt idx="6">
                  <c:v>1997</c:v>
                </c:pt>
                <c:pt idx="7">
                  <c:v>1998</c:v>
                </c:pt>
                <c:pt idx="8">
                  <c:v>1999</c:v>
                </c:pt>
                <c:pt idx="9">
                  <c:v>2000</c:v>
                </c:pt>
                <c:pt idx="10">
                  <c:v>2001</c:v>
                </c:pt>
                <c:pt idx="11">
                  <c:v>2002</c:v>
                </c:pt>
                <c:pt idx="12">
                  <c:v>2003</c:v>
                </c:pt>
                <c:pt idx="13">
                  <c:v>2004</c:v>
                </c:pt>
                <c:pt idx="14">
                  <c:v>2005</c:v>
                </c:pt>
                <c:pt idx="15">
                  <c:v>2006</c:v>
                </c:pt>
                <c:pt idx="16">
                  <c:v>2007</c:v>
                </c:pt>
                <c:pt idx="17">
                  <c:v>2008</c:v>
                </c:pt>
                <c:pt idx="18">
                  <c:v>2009</c:v>
                </c:pt>
                <c:pt idx="19">
                  <c:v>2010</c:v>
                </c:pt>
                <c:pt idx="20">
                  <c:v>2011</c:v>
                </c:pt>
                <c:pt idx="21">
                  <c:v>2012</c:v>
                </c:pt>
                <c:pt idx="22">
                  <c:v>2013</c:v>
                </c:pt>
                <c:pt idx="23">
                  <c:v>2014</c:v>
                </c:pt>
                <c:pt idx="24">
                  <c:v>2015</c:v>
                </c:pt>
              </c:numCache>
            </c:numRef>
          </c:cat>
          <c:val>
            <c:numRef>
              <c:f>'1984-2015'!$O$12:$O$36</c:f>
              <c:numCache>
                <c:formatCode>General</c:formatCode>
                <c:ptCount val="25"/>
                <c:pt idx="0">
                  <c:v>2424</c:v>
                </c:pt>
                <c:pt idx="1">
                  <c:v>4176</c:v>
                </c:pt>
                <c:pt idx="2">
                  <c:v>4824</c:v>
                </c:pt>
                <c:pt idx="3">
                  <c:v>4524</c:v>
                </c:pt>
                <c:pt idx="4">
                  <c:v>3468</c:v>
                </c:pt>
                <c:pt idx="5">
                  <c:v>2364</c:v>
                </c:pt>
                <c:pt idx="6">
                  <c:v>2124</c:v>
                </c:pt>
                <c:pt idx="7">
                  <c:v>2016</c:v>
                </c:pt>
                <c:pt idx="8">
                  <c:v>2256</c:v>
                </c:pt>
                <c:pt idx="9">
                  <c:v>2376</c:v>
                </c:pt>
                <c:pt idx="10">
                  <c:v>2484</c:v>
                </c:pt>
                <c:pt idx="11">
                  <c:v>2412</c:v>
                </c:pt>
                <c:pt idx="12">
                  <c:v>2424</c:v>
                </c:pt>
                <c:pt idx="13">
                  <c:v>2184</c:v>
                </c:pt>
                <c:pt idx="14">
                  <c:v>2172</c:v>
                </c:pt>
                <c:pt idx="15">
                  <c:v>2424</c:v>
                </c:pt>
                <c:pt idx="16">
                  <c:v>2604</c:v>
                </c:pt>
                <c:pt idx="17">
                  <c:v>2772</c:v>
                </c:pt>
                <c:pt idx="18">
                  <c:v>2568</c:v>
                </c:pt>
                <c:pt idx="19">
                  <c:v>2700</c:v>
                </c:pt>
                <c:pt idx="20">
                  <c:v>2580</c:v>
                </c:pt>
                <c:pt idx="21">
                  <c:v>2544</c:v>
                </c:pt>
                <c:pt idx="22">
                  <c:v>2160</c:v>
                </c:pt>
                <c:pt idx="23">
                  <c:v>1752</c:v>
                </c:pt>
                <c:pt idx="24">
                  <c:v>1608</c:v>
                </c:pt>
              </c:numCache>
            </c:numRef>
          </c:val>
          <c:smooth val="0"/>
        </c:ser>
        <c:dLbls>
          <c:dLblPos val="b"/>
          <c:showLegendKey val="0"/>
          <c:showVal val="1"/>
          <c:showCatName val="0"/>
          <c:showSerName val="0"/>
          <c:showPercent val="0"/>
          <c:showBubbleSize val="0"/>
        </c:dLbls>
        <c:marker val="1"/>
        <c:smooth val="0"/>
        <c:axId val="135489408"/>
        <c:axId val="135490944"/>
      </c:lineChart>
      <c:catAx>
        <c:axId val="135489408"/>
        <c:scaling>
          <c:orientation val="minMax"/>
        </c:scaling>
        <c:delete val="0"/>
        <c:axPos val="b"/>
        <c:numFmt formatCode="General" sourceLinked="1"/>
        <c:majorTickMark val="none"/>
        <c:minorTickMark val="none"/>
        <c:tickLblPos val="nextTo"/>
        <c:txPr>
          <a:bodyPr rot="-5400000" vert="horz"/>
          <a:lstStyle/>
          <a:p>
            <a:pPr>
              <a:defRPr/>
            </a:pPr>
            <a:endParaRPr lang="ca-ES"/>
          </a:p>
        </c:txPr>
        <c:crossAx val="135490944"/>
        <c:crosses val="autoZero"/>
        <c:auto val="1"/>
        <c:lblAlgn val="ctr"/>
        <c:lblOffset val="100"/>
        <c:noMultiLvlLbl val="0"/>
      </c:catAx>
      <c:valAx>
        <c:axId val="135490944"/>
        <c:scaling>
          <c:orientation val="minMax"/>
        </c:scaling>
        <c:delete val="0"/>
        <c:axPos val="l"/>
        <c:majorGridlines/>
        <c:numFmt formatCode="#,##0" sourceLinked="1"/>
        <c:majorTickMark val="none"/>
        <c:minorTickMark val="none"/>
        <c:tickLblPos val="nextTo"/>
        <c:spPr>
          <a:ln w="9525">
            <a:noFill/>
          </a:ln>
        </c:spPr>
        <c:crossAx val="135489408"/>
        <c:crosses val="autoZero"/>
        <c:crossBetween val="between"/>
      </c:valAx>
    </c:plotArea>
    <c:legend>
      <c:legendPos val="b"/>
      <c:overlay val="0"/>
    </c:legend>
    <c:plotVisOnly val="1"/>
    <c:dispBlanksAs val="gap"/>
    <c:showDLblsOverMax val="0"/>
  </c:chart>
  <c:txPr>
    <a:bodyPr/>
    <a:lstStyle/>
    <a:p>
      <a:pPr>
        <a:defRPr sz="700"/>
      </a:pPr>
      <a:endParaRPr lang="ca-ES"/>
    </a:p>
  </c:txPr>
  <c:externalData r:id="rId1">
    <c:autoUpdate val="1"/>
  </c:externalData>
  <c:userShapes r:id="rId2"/>
</c:chartSpace>
</file>

<file path=word/drawings/drawing1.xml><?xml version="1.0" encoding="utf-8"?>
<c:userShapes xmlns:c="http://schemas.openxmlformats.org/drawingml/2006/chart">
  <cdr:relSizeAnchor xmlns:cdr="http://schemas.openxmlformats.org/drawingml/2006/chartDrawing">
    <cdr:from>
      <cdr:x>0.03791</cdr:x>
      <cdr:y>0.26777</cdr:y>
    </cdr:from>
    <cdr:to>
      <cdr:x>0.37085</cdr:x>
      <cdr:y>0.72511</cdr:y>
    </cdr:to>
    <cdr:sp macro="" textlink="">
      <cdr:nvSpPr>
        <cdr:cNvPr id="2" name="Oval 1"/>
        <cdr:cNvSpPr/>
      </cdr:nvSpPr>
      <cdr:spPr>
        <a:xfrm xmlns:a="http://schemas.openxmlformats.org/drawingml/2006/main">
          <a:off x="218364" y="771098"/>
          <a:ext cx="1917511" cy="1317009"/>
        </a:xfrm>
        <a:prstGeom xmlns:a="http://schemas.openxmlformats.org/drawingml/2006/main" prst="ellipse">
          <a:avLst/>
        </a:prstGeom>
        <a:noFill xmlns:a="http://schemas.openxmlformats.org/drawingml/2006/main"/>
        <a:ln xmlns:a="http://schemas.openxmlformats.org/drawingml/2006/main" w="12700">
          <a:solidFill>
            <a:schemeClr val="accent6">
              <a:lumMod val="75000"/>
            </a:schemeClr>
          </a:solidFill>
          <a:prstDash val="sysDot"/>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ca-ES"/>
        </a:p>
      </cdr:txBody>
    </cdr:sp>
  </cdr:relSizeAnchor>
  <cdr:relSizeAnchor xmlns:cdr="http://schemas.openxmlformats.org/drawingml/2006/chartDrawing">
    <cdr:from>
      <cdr:x>0.05095</cdr:x>
      <cdr:y>0.03791</cdr:y>
    </cdr:from>
    <cdr:to>
      <cdr:x>0.30687</cdr:x>
      <cdr:y>0.16824</cdr:y>
    </cdr:to>
    <cdr:sp macro="" textlink="">
      <cdr:nvSpPr>
        <cdr:cNvPr id="3" name="Quadre de text 2"/>
        <cdr:cNvSpPr txBox="1"/>
      </cdr:nvSpPr>
      <cdr:spPr>
        <a:xfrm xmlns:a="http://schemas.openxmlformats.org/drawingml/2006/main">
          <a:off x="293443" y="109170"/>
          <a:ext cx="1473941" cy="375315"/>
        </a:xfrm>
        <a:prstGeom xmlns:a="http://schemas.openxmlformats.org/drawingml/2006/main" prst="rect">
          <a:avLst/>
        </a:prstGeom>
        <a:ln xmlns:a="http://schemas.openxmlformats.org/drawingml/2006/main" w="12700">
          <a:solidFill>
            <a:schemeClr val="accent6">
              <a:lumMod val="75000"/>
            </a:schemeClr>
          </a:solidFill>
          <a:prstDash val="sysDot"/>
        </a:ln>
      </cdr:spPr>
      <cdr:txBody>
        <a:bodyPr xmlns:a="http://schemas.openxmlformats.org/drawingml/2006/main" vertOverflow="clip" wrap="square" rtlCol="0"/>
        <a:lstStyle xmlns:a="http://schemas.openxmlformats.org/drawingml/2006/main"/>
        <a:p xmlns:a="http://schemas.openxmlformats.org/drawingml/2006/main">
          <a:pPr algn="ctr"/>
          <a:r>
            <a:rPr lang="ca-ES" sz="800"/>
            <a:t>Correlació negativa: </a:t>
          </a:r>
          <a:r>
            <a:rPr lang="ca-ES" sz="800" i="1"/>
            <a:t>Rho de Spearman</a:t>
          </a:r>
          <a:r>
            <a:rPr lang="ca-ES" sz="800" i="1" baseline="0"/>
            <a:t> </a:t>
          </a:r>
          <a:r>
            <a:rPr lang="ca-ES" sz="800"/>
            <a:t>= -0,811, sig.= 0,000</a:t>
          </a:r>
        </a:p>
      </cdr:txBody>
    </cdr:sp>
  </cdr:relSizeAnchor>
  <cdr:relSizeAnchor xmlns:cdr="http://schemas.openxmlformats.org/drawingml/2006/chartDrawing">
    <cdr:from>
      <cdr:x>0.17891</cdr:x>
      <cdr:y>0.16824</cdr:y>
    </cdr:from>
    <cdr:to>
      <cdr:x>0.20438</cdr:x>
      <cdr:y>0.26777</cdr:y>
    </cdr:to>
    <cdr:cxnSp macro="">
      <cdr:nvCxnSpPr>
        <cdr:cNvPr id="5" name="Connector de fletxa recta 4"/>
        <cdr:cNvCxnSpPr>
          <a:stCxn xmlns:a="http://schemas.openxmlformats.org/drawingml/2006/main" id="3" idx="2"/>
          <a:endCxn xmlns:a="http://schemas.openxmlformats.org/drawingml/2006/main" id="2" idx="0"/>
        </cdr:cNvCxnSpPr>
      </cdr:nvCxnSpPr>
      <cdr:spPr>
        <a:xfrm xmlns:a="http://schemas.openxmlformats.org/drawingml/2006/main">
          <a:off x="1030414" y="484485"/>
          <a:ext cx="146703" cy="286619"/>
        </a:xfrm>
        <a:prstGeom xmlns:a="http://schemas.openxmlformats.org/drawingml/2006/main" prst="straightConnector1">
          <a:avLst/>
        </a:prstGeom>
        <a:ln xmlns:a="http://schemas.openxmlformats.org/drawingml/2006/main" w="12700">
          <a:solidFill>
            <a:schemeClr val="accent6">
              <a:lumMod val="75000"/>
            </a:schemeClr>
          </a:solidFill>
          <a:prstDash val="sysDot"/>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0.51474</cdr:x>
      <cdr:y>0.1456</cdr:y>
    </cdr:from>
    <cdr:to>
      <cdr:x>0.78079</cdr:x>
      <cdr:y>0.60294</cdr:y>
    </cdr:to>
    <cdr:sp macro="" textlink="">
      <cdr:nvSpPr>
        <cdr:cNvPr id="14" name="Oval 13"/>
        <cdr:cNvSpPr/>
      </cdr:nvSpPr>
      <cdr:spPr>
        <a:xfrm xmlns:a="http://schemas.openxmlformats.org/drawingml/2006/main">
          <a:off x="2964598" y="419289"/>
          <a:ext cx="1532340" cy="1317009"/>
        </a:xfrm>
        <a:prstGeom xmlns:a="http://schemas.openxmlformats.org/drawingml/2006/main" prst="ellipse">
          <a:avLst/>
        </a:prstGeom>
        <a:noFill xmlns:a="http://schemas.openxmlformats.org/drawingml/2006/main"/>
        <a:ln xmlns:a="http://schemas.openxmlformats.org/drawingml/2006/main" w="12700">
          <a:solidFill>
            <a:schemeClr val="accent6">
              <a:lumMod val="75000"/>
            </a:schemeClr>
          </a:solidFill>
          <a:prstDash val="sysDot"/>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0.58227</cdr:x>
      <cdr:y>0.66113</cdr:y>
    </cdr:from>
    <cdr:to>
      <cdr:x>0.81568</cdr:x>
      <cdr:y>0.79146</cdr:y>
    </cdr:to>
    <cdr:sp macro="" textlink="">
      <cdr:nvSpPr>
        <cdr:cNvPr id="15" name="Quadre de text 2"/>
        <cdr:cNvSpPr txBox="1"/>
      </cdr:nvSpPr>
      <cdr:spPr>
        <a:xfrm xmlns:a="http://schemas.openxmlformats.org/drawingml/2006/main">
          <a:off x="3353559" y="1903862"/>
          <a:ext cx="1344304" cy="375313"/>
        </a:xfrm>
        <a:prstGeom xmlns:a="http://schemas.openxmlformats.org/drawingml/2006/main" prst="rect">
          <a:avLst/>
        </a:prstGeom>
        <a:ln xmlns:a="http://schemas.openxmlformats.org/drawingml/2006/main" w="12700">
          <a:solidFill>
            <a:schemeClr val="accent6">
              <a:lumMod val="75000"/>
            </a:schemeClr>
          </a:solidFill>
          <a:prstDash val="sysDot"/>
        </a:ln>
      </cdr:spPr>
    </cdr:sp>
  </cdr:relSizeAnchor>
  <cdr:relSizeAnchor xmlns:cdr="http://schemas.openxmlformats.org/drawingml/2006/chartDrawing">
    <cdr:from>
      <cdr:x>0.64776</cdr:x>
      <cdr:y>0.60294</cdr:y>
    </cdr:from>
    <cdr:to>
      <cdr:x>0.69897</cdr:x>
      <cdr:y>0.66113</cdr:y>
    </cdr:to>
    <cdr:cxnSp macro="">
      <cdr:nvCxnSpPr>
        <cdr:cNvPr id="16" name="Connector de fletxa recta 15"/>
        <cdr:cNvCxnSpPr>
          <a:stCxn xmlns:a="http://schemas.openxmlformats.org/drawingml/2006/main" id="15" idx="0"/>
          <a:endCxn xmlns:a="http://schemas.openxmlformats.org/drawingml/2006/main" id="14" idx="4"/>
        </cdr:cNvCxnSpPr>
      </cdr:nvCxnSpPr>
      <cdr:spPr>
        <a:xfrm xmlns:a="http://schemas.openxmlformats.org/drawingml/2006/main" flipH="1" flipV="1">
          <a:off x="3730768" y="1736298"/>
          <a:ext cx="294943" cy="167564"/>
        </a:xfrm>
        <a:prstGeom xmlns:a="http://schemas.openxmlformats.org/drawingml/2006/main" prst="straightConnector1">
          <a:avLst/>
        </a:prstGeom>
        <a:ln xmlns:a="http://schemas.openxmlformats.org/drawingml/2006/main" w="12700">
          <a:solidFill>
            <a:schemeClr val="accent6">
              <a:lumMod val="75000"/>
            </a:schemeClr>
          </a:solidFill>
          <a:prstDash val="sysDot"/>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0.55449</cdr:x>
      <cdr:y>0.6635</cdr:y>
    </cdr:from>
    <cdr:to>
      <cdr:x>0.84003</cdr:x>
      <cdr:y>0.7962</cdr:y>
    </cdr:to>
    <cdr:sp macro="" textlink="">
      <cdr:nvSpPr>
        <cdr:cNvPr id="24" name="Quadre de text 23"/>
        <cdr:cNvSpPr txBox="1"/>
      </cdr:nvSpPr>
      <cdr:spPr>
        <a:xfrm xmlns:a="http://schemas.openxmlformats.org/drawingml/2006/main">
          <a:off x="3193576" y="1910701"/>
          <a:ext cx="1644555" cy="38212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marL="0" marR="0" indent="0" algn="ctr" defTabSz="914400" eaLnBrk="1" fontAlgn="auto" latinLnBrk="0" hangingPunct="1">
            <a:lnSpc>
              <a:spcPct val="100000"/>
            </a:lnSpc>
            <a:spcBef>
              <a:spcPts val="0"/>
            </a:spcBef>
            <a:spcAft>
              <a:spcPts val="0"/>
            </a:spcAft>
            <a:buClrTx/>
            <a:buSzTx/>
            <a:buFontTx/>
            <a:buNone/>
            <a:tabLst/>
            <a:defRPr/>
          </a:pPr>
          <a:r>
            <a:rPr lang="ca-ES" sz="800"/>
            <a:t>Correlació positiva: </a:t>
          </a:r>
          <a:r>
            <a:rPr lang="ca-ES" sz="800" i="1"/>
            <a:t>Rho de Spearman </a:t>
          </a:r>
          <a:r>
            <a:rPr lang="ca-ES" sz="800"/>
            <a:t>= 0,783, sig.= 0,013</a:t>
          </a:r>
        </a:p>
        <a:p xmlns:a="http://schemas.openxmlformats.org/drawingml/2006/main">
          <a:endParaRPr lang="ca-ES" sz="800"/>
        </a:p>
      </cdr:txBody>
    </cdr:sp>
  </cdr:relSizeAnchor>
</c:userShapes>
</file>

<file path=word/drawings/drawing2.xml><?xml version="1.0" encoding="utf-8"?>
<c:userShapes xmlns:c="http://schemas.openxmlformats.org/drawingml/2006/chart">
  <cdr:relSizeAnchor xmlns:cdr="http://schemas.openxmlformats.org/drawingml/2006/chartDrawing">
    <cdr:from>
      <cdr:x>0.53554</cdr:x>
      <cdr:y>0.09716</cdr:y>
    </cdr:from>
    <cdr:to>
      <cdr:x>0.78961</cdr:x>
      <cdr:y>0.62058</cdr:y>
    </cdr:to>
    <cdr:sp macro="" textlink="">
      <cdr:nvSpPr>
        <cdr:cNvPr id="2" name="Oval 1"/>
        <cdr:cNvSpPr/>
      </cdr:nvSpPr>
      <cdr:spPr>
        <a:xfrm xmlns:a="http://schemas.openxmlformats.org/drawingml/2006/main">
          <a:off x="3084393" y="279780"/>
          <a:ext cx="1463327" cy="1507321"/>
        </a:xfrm>
        <a:prstGeom xmlns:a="http://schemas.openxmlformats.org/drawingml/2006/main" prst="ellipse">
          <a:avLst/>
        </a:prstGeom>
        <a:noFill xmlns:a="http://schemas.openxmlformats.org/drawingml/2006/main"/>
        <a:ln xmlns:a="http://schemas.openxmlformats.org/drawingml/2006/main" w="12700">
          <a:solidFill>
            <a:schemeClr val="accent6">
              <a:lumMod val="75000"/>
            </a:schemeClr>
          </a:solidFill>
          <a:prstDash val="sysDot"/>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0.6016</cdr:x>
      <cdr:y>0.67877</cdr:y>
    </cdr:from>
    <cdr:to>
      <cdr:x>0.8245</cdr:x>
      <cdr:y>0.8091</cdr:y>
    </cdr:to>
    <cdr:sp macro="" textlink="">
      <cdr:nvSpPr>
        <cdr:cNvPr id="3" name="Quadre de text 2"/>
        <cdr:cNvSpPr txBox="1"/>
      </cdr:nvSpPr>
      <cdr:spPr>
        <a:xfrm xmlns:a="http://schemas.openxmlformats.org/drawingml/2006/main">
          <a:off x="3464868" y="1954673"/>
          <a:ext cx="1283800" cy="375314"/>
        </a:xfrm>
        <a:prstGeom xmlns:a="http://schemas.openxmlformats.org/drawingml/2006/main" prst="rect">
          <a:avLst/>
        </a:prstGeom>
        <a:ln xmlns:a="http://schemas.openxmlformats.org/drawingml/2006/main" w="12700">
          <a:solidFill>
            <a:schemeClr val="accent6">
              <a:lumMod val="75000"/>
            </a:schemeClr>
          </a:solidFill>
          <a:prstDash val="sysDot"/>
        </a:ln>
      </cdr:spPr>
    </cdr:sp>
  </cdr:relSizeAnchor>
  <cdr:relSizeAnchor xmlns:cdr="http://schemas.openxmlformats.org/drawingml/2006/chartDrawing">
    <cdr:from>
      <cdr:x>0.66257</cdr:x>
      <cdr:y>0.62058</cdr:y>
    </cdr:from>
    <cdr:to>
      <cdr:x>0.71305</cdr:x>
      <cdr:y>0.67877</cdr:y>
    </cdr:to>
    <cdr:cxnSp macro="">
      <cdr:nvCxnSpPr>
        <cdr:cNvPr id="4" name="Connector de fletxa recta 3"/>
        <cdr:cNvCxnSpPr>
          <a:stCxn xmlns:a="http://schemas.openxmlformats.org/drawingml/2006/main" id="3" idx="0"/>
          <a:endCxn xmlns:a="http://schemas.openxmlformats.org/drawingml/2006/main" id="2" idx="4"/>
        </cdr:cNvCxnSpPr>
      </cdr:nvCxnSpPr>
      <cdr:spPr>
        <a:xfrm xmlns:a="http://schemas.openxmlformats.org/drawingml/2006/main" flipH="1" flipV="1">
          <a:off x="3816057" y="1787101"/>
          <a:ext cx="290711" cy="167572"/>
        </a:xfrm>
        <a:prstGeom xmlns:a="http://schemas.openxmlformats.org/drawingml/2006/main" prst="straightConnector1">
          <a:avLst/>
        </a:prstGeom>
        <a:ln xmlns:a="http://schemas.openxmlformats.org/drawingml/2006/main" w="12700">
          <a:solidFill>
            <a:schemeClr val="accent6">
              <a:lumMod val="75000"/>
            </a:schemeClr>
          </a:solidFill>
          <a:prstDash val="sysDot"/>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0.6007</cdr:x>
      <cdr:y>0.68008</cdr:y>
    </cdr:from>
    <cdr:to>
      <cdr:x>0.827</cdr:x>
      <cdr:y>0.80804</cdr:y>
    </cdr:to>
    <cdr:sp macro="" textlink="">
      <cdr:nvSpPr>
        <cdr:cNvPr id="5" name="Quadre de text 4"/>
        <cdr:cNvSpPr txBox="1"/>
      </cdr:nvSpPr>
      <cdr:spPr>
        <a:xfrm xmlns:a="http://schemas.openxmlformats.org/drawingml/2006/main">
          <a:off x="3459707" y="1958454"/>
          <a:ext cx="1303362" cy="36849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marL="0" marR="0" indent="0" algn="ctr" defTabSz="914400" eaLnBrk="1" fontAlgn="auto" latinLnBrk="0" hangingPunct="1">
            <a:lnSpc>
              <a:spcPct val="100000"/>
            </a:lnSpc>
            <a:spcBef>
              <a:spcPts val="0"/>
            </a:spcBef>
            <a:spcAft>
              <a:spcPts val="0"/>
            </a:spcAft>
            <a:buClrTx/>
            <a:buSzTx/>
            <a:buFontTx/>
            <a:buNone/>
            <a:tabLst/>
            <a:defRPr/>
          </a:pPr>
          <a:r>
            <a:rPr lang="ca-ES" sz="800"/>
            <a:t>Correlació positiva: </a:t>
          </a:r>
          <a:r>
            <a:rPr lang="ca-ES" sz="800" i="1"/>
            <a:t>Rho de Spearman</a:t>
          </a:r>
          <a:r>
            <a:rPr lang="ca-ES" sz="800"/>
            <a:t>=1</a:t>
          </a:r>
        </a:p>
        <a:p xmlns:a="http://schemas.openxmlformats.org/drawingml/2006/main">
          <a:endParaRPr lang="ca-ES" sz="1100"/>
        </a:p>
      </cdr:txBody>
    </cdr:sp>
  </cdr:relSizeAnchor>
</c:userShapes>
</file>

<file path=word/drawings/drawing3.xml><?xml version="1.0" encoding="utf-8"?>
<c:userShapes xmlns:c="http://schemas.openxmlformats.org/drawingml/2006/chart">
  <cdr:relSizeAnchor xmlns:cdr="http://schemas.openxmlformats.org/drawingml/2006/chartDrawing">
    <cdr:from>
      <cdr:x>0.68625</cdr:x>
      <cdr:y>0.01633</cdr:y>
    </cdr:from>
    <cdr:to>
      <cdr:x>0.90915</cdr:x>
      <cdr:y>0.12322</cdr:y>
    </cdr:to>
    <cdr:sp macro="" textlink="">
      <cdr:nvSpPr>
        <cdr:cNvPr id="3" name="Quadre de text 2"/>
        <cdr:cNvSpPr txBox="1"/>
      </cdr:nvSpPr>
      <cdr:spPr>
        <a:xfrm xmlns:a="http://schemas.openxmlformats.org/drawingml/2006/main">
          <a:off x="3952421" y="47031"/>
          <a:ext cx="1283781" cy="307810"/>
        </a:xfrm>
        <a:prstGeom xmlns:a="http://schemas.openxmlformats.org/drawingml/2006/main" prst="rect">
          <a:avLst/>
        </a:prstGeom>
        <a:ln xmlns:a="http://schemas.openxmlformats.org/drawingml/2006/main" w="12700">
          <a:solidFill>
            <a:schemeClr val="accent6">
              <a:lumMod val="75000"/>
            </a:schemeClr>
          </a:solidFill>
          <a:prstDash val="sysDot"/>
        </a:ln>
      </cdr:spPr>
    </cdr:sp>
  </cdr:relSizeAnchor>
  <cdr:relSizeAnchor xmlns:cdr="http://schemas.openxmlformats.org/drawingml/2006/chartDrawing">
    <cdr:from>
      <cdr:x>0.77013</cdr:x>
      <cdr:y>0.12322</cdr:y>
    </cdr:from>
    <cdr:to>
      <cdr:x>0.7977</cdr:x>
      <cdr:y>0.2109</cdr:y>
    </cdr:to>
    <cdr:cxnSp macro="">
      <cdr:nvCxnSpPr>
        <cdr:cNvPr id="4" name="Connector de fletxa recta 3"/>
        <cdr:cNvCxnSpPr>
          <a:stCxn xmlns:a="http://schemas.openxmlformats.org/drawingml/2006/main" id="3" idx="2"/>
        </cdr:cNvCxnSpPr>
      </cdr:nvCxnSpPr>
      <cdr:spPr>
        <a:xfrm xmlns:a="http://schemas.openxmlformats.org/drawingml/2006/main" flipH="1">
          <a:off x="4435523" y="354841"/>
          <a:ext cx="158789" cy="252484"/>
        </a:xfrm>
        <a:prstGeom xmlns:a="http://schemas.openxmlformats.org/drawingml/2006/main" prst="straightConnector1">
          <a:avLst/>
        </a:prstGeom>
        <a:ln xmlns:a="http://schemas.openxmlformats.org/drawingml/2006/main" w="12700">
          <a:solidFill>
            <a:schemeClr val="accent6">
              <a:lumMod val="75000"/>
            </a:schemeClr>
          </a:solidFill>
          <a:prstDash val="sysDot"/>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0.33412</cdr:x>
      <cdr:y>0.73932</cdr:y>
    </cdr:from>
    <cdr:to>
      <cdr:x>0.55568</cdr:x>
      <cdr:y>0.84596</cdr:y>
    </cdr:to>
    <cdr:sp macro="" textlink="">
      <cdr:nvSpPr>
        <cdr:cNvPr id="11" name="Quadre de text 10"/>
        <cdr:cNvSpPr txBox="1"/>
      </cdr:nvSpPr>
      <cdr:spPr>
        <a:xfrm xmlns:a="http://schemas.openxmlformats.org/drawingml/2006/main">
          <a:off x="1924334" y="2129051"/>
          <a:ext cx="1276066" cy="30707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ca-ES" sz="1100"/>
        </a:p>
      </cdr:txBody>
    </cdr:sp>
  </cdr:relSizeAnchor>
  <cdr:relSizeAnchor xmlns:cdr="http://schemas.openxmlformats.org/drawingml/2006/chartDrawing">
    <cdr:from>
      <cdr:x>0.3353</cdr:x>
      <cdr:y>0.72985</cdr:y>
    </cdr:from>
    <cdr:to>
      <cdr:x>0.5533</cdr:x>
      <cdr:y>0.8507</cdr:y>
    </cdr:to>
    <cdr:sp macro="" textlink="">
      <cdr:nvSpPr>
        <cdr:cNvPr id="13" name="Quadre de text 12"/>
        <cdr:cNvSpPr txBox="1"/>
      </cdr:nvSpPr>
      <cdr:spPr>
        <a:xfrm xmlns:a="http://schemas.openxmlformats.org/drawingml/2006/main">
          <a:off x="1931171" y="2101762"/>
          <a:ext cx="1255561" cy="348014"/>
        </a:xfrm>
        <a:prstGeom xmlns:a="http://schemas.openxmlformats.org/drawingml/2006/main" prst="rect">
          <a:avLst/>
        </a:prstGeom>
      </cdr:spPr>
      <cdr:txBody>
        <a:bodyPr xmlns:a="http://schemas.openxmlformats.org/drawingml/2006/main" vertOverflow="clip" wrap="square" rtlCol="0">
          <a:noAutofit/>
        </a:bodyPr>
        <a:lstStyle xmlns:a="http://schemas.openxmlformats.org/drawingml/2006/main"/>
        <a:p xmlns:a="http://schemas.openxmlformats.org/drawingml/2006/main">
          <a:pPr marL="0" marR="0" indent="0" algn="ctr" defTabSz="914400" eaLnBrk="1" fontAlgn="auto" latinLnBrk="0" hangingPunct="1">
            <a:lnSpc>
              <a:spcPct val="100000"/>
            </a:lnSpc>
            <a:spcBef>
              <a:spcPts val="0"/>
            </a:spcBef>
            <a:spcAft>
              <a:spcPts val="0"/>
            </a:spcAft>
            <a:buClrTx/>
            <a:buSzTx/>
            <a:buFontTx/>
            <a:buNone/>
            <a:tabLst/>
            <a:defRPr/>
          </a:pPr>
          <a:r>
            <a:rPr lang="ca-ES" sz="800"/>
            <a:t>Correlació negativa: </a:t>
          </a:r>
          <a:r>
            <a:rPr lang="ca-ES" sz="800" i="1"/>
            <a:t>Rho de Spearman</a:t>
          </a:r>
          <a:r>
            <a:rPr lang="ca-ES" sz="800"/>
            <a:t>= -1</a:t>
          </a:r>
        </a:p>
        <a:p xmlns:a="http://schemas.openxmlformats.org/drawingml/2006/main">
          <a:endParaRPr lang="ca-ES" sz="800"/>
        </a:p>
      </cdr:txBody>
    </cdr:sp>
  </cdr:relSizeAnchor>
  <cdr:relSizeAnchor xmlns:cdr="http://schemas.openxmlformats.org/drawingml/2006/chartDrawing">
    <cdr:from>
      <cdr:x>0.34081</cdr:x>
      <cdr:y>0.7496</cdr:y>
    </cdr:from>
    <cdr:to>
      <cdr:x>0.56371</cdr:x>
      <cdr:y>0.83753</cdr:y>
    </cdr:to>
    <cdr:sp macro="" textlink="">
      <cdr:nvSpPr>
        <cdr:cNvPr id="7" name="Quadre de text 1"/>
        <cdr:cNvSpPr txBox="1"/>
      </cdr:nvSpPr>
      <cdr:spPr>
        <a:xfrm xmlns:a="http://schemas.openxmlformats.org/drawingml/2006/main">
          <a:off x="1962880" y="2158644"/>
          <a:ext cx="1283781" cy="253214"/>
        </a:xfrm>
        <a:prstGeom xmlns:a="http://schemas.openxmlformats.org/drawingml/2006/main" prst="rect">
          <a:avLst/>
        </a:prstGeom>
        <a:ln xmlns:a="http://schemas.openxmlformats.org/drawingml/2006/main" w="12700">
          <a:solidFill>
            <a:schemeClr val="accent6">
              <a:lumMod val="75000"/>
            </a:schemeClr>
          </a:solidFill>
          <a:prstDash val="sysDot"/>
        </a:ln>
      </cdr:spPr>
    </cdr:sp>
  </cdr:relSizeAnchor>
  <cdr:relSizeAnchor xmlns:cdr="http://schemas.openxmlformats.org/drawingml/2006/chartDrawing">
    <cdr:from>
      <cdr:x>0.34294</cdr:x>
      <cdr:y>0.73564</cdr:y>
    </cdr:from>
    <cdr:to>
      <cdr:x>0.56094</cdr:x>
      <cdr:y>0.85649</cdr:y>
    </cdr:to>
    <cdr:sp macro="" textlink="">
      <cdr:nvSpPr>
        <cdr:cNvPr id="8" name="Quadre de text 2"/>
        <cdr:cNvSpPr txBox="1"/>
      </cdr:nvSpPr>
      <cdr:spPr>
        <a:xfrm xmlns:a="http://schemas.openxmlformats.org/drawingml/2006/main">
          <a:off x="1975147" y="2118443"/>
          <a:ext cx="1255561" cy="348014"/>
        </a:xfrm>
        <a:prstGeom xmlns:a="http://schemas.openxmlformats.org/drawingml/2006/main" prst="rect">
          <a:avLst/>
        </a:prstGeom>
      </cdr:spPr>
    </cdr:sp>
  </cdr:relSizeAnchor>
  <cdr:relSizeAnchor xmlns:cdr="http://schemas.openxmlformats.org/drawingml/2006/chartDrawing">
    <cdr:from>
      <cdr:x>0.45226</cdr:x>
      <cdr:y>0.41705</cdr:y>
    </cdr:from>
    <cdr:to>
      <cdr:x>0.73459</cdr:x>
      <cdr:y>0.7496</cdr:y>
    </cdr:to>
    <cdr:cxnSp macro="">
      <cdr:nvCxnSpPr>
        <cdr:cNvPr id="12" name="Connector de fletxa recta 11"/>
        <cdr:cNvCxnSpPr>
          <a:stCxn xmlns:a="http://schemas.openxmlformats.org/drawingml/2006/main" id="7" idx="0"/>
        </cdr:cNvCxnSpPr>
      </cdr:nvCxnSpPr>
      <cdr:spPr>
        <a:xfrm xmlns:a="http://schemas.openxmlformats.org/drawingml/2006/main" flipV="1">
          <a:off x="2604771" y="1201003"/>
          <a:ext cx="1626035" cy="957641"/>
        </a:xfrm>
        <a:prstGeom xmlns:a="http://schemas.openxmlformats.org/drawingml/2006/main" prst="straightConnector1">
          <a:avLst/>
        </a:prstGeom>
        <a:ln xmlns:a="http://schemas.openxmlformats.org/drawingml/2006/main" w="12700">
          <a:solidFill>
            <a:schemeClr val="accent6">
              <a:lumMod val="75000"/>
            </a:schemeClr>
          </a:solidFill>
          <a:prstDash val="sysDot"/>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0.45226</cdr:x>
      <cdr:y>0.71563</cdr:y>
    </cdr:from>
    <cdr:to>
      <cdr:x>0.67534</cdr:x>
      <cdr:y>0.7496</cdr:y>
    </cdr:to>
    <cdr:cxnSp macro="">
      <cdr:nvCxnSpPr>
        <cdr:cNvPr id="16" name="Connector de fletxa recta 15"/>
        <cdr:cNvCxnSpPr>
          <a:stCxn xmlns:a="http://schemas.openxmlformats.org/drawingml/2006/main" id="7" idx="0"/>
        </cdr:cNvCxnSpPr>
      </cdr:nvCxnSpPr>
      <cdr:spPr>
        <a:xfrm xmlns:a="http://schemas.openxmlformats.org/drawingml/2006/main" flipV="1">
          <a:off x="2604771" y="2060813"/>
          <a:ext cx="1284841" cy="97831"/>
        </a:xfrm>
        <a:prstGeom xmlns:a="http://schemas.openxmlformats.org/drawingml/2006/main" prst="straightConnector1">
          <a:avLst/>
        </a:prstGeom>
        <a:ln xmlns:a="http://schemas.openxmlformats.org/drawingml/2006/main" w="12700">
          <a:solidFill>
            <a:schemeClr val="accent6">
              <a:lumMod val="75000"/>
            </a:schemeClr>
          </a:solidFill>
          <a:prstDash val="sysDot"/>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0.79501</cdr:x>
      <cdr:y>0.12085</cdr:y>
    </cdr:from>
    <cdr:to>
      <cdr:x>0.82345</cdr:x>
      <cdr:y>0.70852</cdr:y>
    </cdr:to>
    <cdr:cxnSp macro="">
      <cdr:nvCxnSpPr>
        <cdr:cNvPr id="20" name="Connector de fletxa recta 19"/>
        <cdr:cNvCxnSpPr/>
      </cdr:nvCxnSpPr>
      <cdr:spPr>
        <a:xfrm xmlns:a="http://schemas.openxmlformats.org/drawingml/2006/main">
          <a:off x="4578824" y="348018"/>
          <a:ext cx="163773" cy="1692322"/>
        </a:xfrm>
        <a:prstGeom xmlns:a="http://schemas.openxmlformats.org/drawingml/2006/main" prst="straightConnector1">
          <a:avLst/>
        </a:prstGeom>
        <a:ln xmlns:a="http://schemas.openxmlformats.org/drawingml/2006/main" w="12700">
          <a:solidFill>
            <a:schemeClr val="accent6">
              <a:lumMod val="75000"/>
            </a:schemeClr>
          </a:solidFill>
          <a:prstDash val="sysDot"/>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0.68008</cdr:x>
      <cdr:y>0</cdr:y>
    </cdr:from>
    <cdr:to>
      <cdr:x>0.91022</cdr:x>
      <cdr:y>0.14692</cdr:y>
    </cdr:to>
    <cdr:sp macro="" textlink="">
      <cdr:nvSpPr>
        <cdr:cNvPr id="25" name="Quadre de text 24"/>
        <cdr:cNvSpPr txBox="1"/>
      </cdr:nvSpPr>
      <cdr:spPr>
        <a:xfrm xmlns:a="http://schemas.openxmlformats.org/drawingml/2006/main">
          <a:off x="3916908" y="0"/>
          <a:ext cx="1325449" cy="423079"/>
        </a:xfrm>
        <a:prstGeom xmlns:a="http://schemas.openxmlformats.org/drawingml/2006/main" prst="rect">
          <a:avLst/>
        </a:prstGeom>
      </cdr:spPr>
      <cdr:txBody>
        <a:bodyPr xmlns:a="http://schemas.openxmlformats.org/drawingml/2006/main" vertOverflow="clip" wrap="square" rtlCol="0">
          <a:noAutofit/>
        </a:bodyPr>
        <a:lstStyle xmlns:a="http://schemas.openxmlformats.org/drawingml/2006/main"/>
        <a:p xmlns:a="http://schemas.openxmlformats.org/drawingml/2006/main">
          <a:pPr marL="0" marR="0" indent="0" algn="ctr" defTabSz="914400" eaLnBrk="1" fontAlgn="auto" latinLnBrk="0" hangingPunct="1">
            <a:lnSpc>
              <a:spcPct val="100000"/>
            </a:lnSpc>
            <a:spcBef>
              <a:spcPts val="0"/>
            </a:spcBef>
            <a:spcAft>
              <a:spcPts val="0"/>
            </a:spcAft>
            <a:buClrTx/>
            <a:buSzTx/>
            <a:buFontTx/>
            <a:buNone/>
            <a:tabLst/>
            <a:defRPr/>
          </a:pPr>
          <a:r>
            <a:rPr lang="ca-ES" sz="800"/>
            <a:t>Correlació positiva: </a:t>
          </a:r>
          <a:r>
            <a:rPr lang="ca-ES" sz="800" i="1"/>
            <a:t>Rho de Spearman</a:t>
          </a:r>
          <a:r>
            <a:rPr lang="ca-ES" sz="800"/>
            <a:t>= 1</a:t>
          </a:r>
        </a:p>
        <a:p xmlns:a="http://schemas.openxmlformats.org/drawingml/2006/main">
          <a:endParaRPr lang="ca-ES" sz="800"/>
        </a:p>
      </cdr:txBody>
    </cdr:sp>
  </cdr:relSizeAnchor>
</c:userShapes>
</file>

<file path=word/drawings/drawing4.xml><?xml version="1.0" encoding="utf-8"?>
<c:userShapes xmlns:c="http://schemas.openxmlformats.org/drawingml/2006/chart">
  <cdr:relSizeAnchor xmlns:cdr="http://schemas.openxmlformats.org/drawingml/2006/chartDrawing">
    <cdr:from>
      <cdr:x>0.75828</cdr:x>
      <cdr:y>0.0545</cdr:y>
    </cdr:from>
    <cdr:to>
      <cdr:x>0.99998</cdr:x>
      <cdr:y>0.73695</cdr:y>
    </cdr:to>
    <cdr:sp macro="" textlink="">
      <cdr:nvSpPr>
        <cdr:cNvPr id="2" name="Oval 1"/>
        <cdr:cNvSpPr/>
      </cdr:nvSpPr>
      <cdr:spPr>
        <a:xfrm xmlns:a="http://schemas.openxmlformats.org/drawingml/2006/main">
          <a:off x="4367284" y="156949"/>
          <a:ext cx="1392071" cy="1965278"/>
        </a:xfrm>
        <a:prstGeom xmlns:a="http://schemas.openxmlformats.org/drawingml/2006/main" prst="ellipse">
          <a:avLst/>
        </a:prstGeom>
        <a:noFill xmlns:a="http://schemas.openxmlformats.org/drawingml/2006/main"/>
        <a:ln xmlns:a="http://schemas.openxmlformats.org/drawingml/2006/main" w="12700">
          <a:solidFill>
            <a:schemeClr val="accent6">
              <a:lumMod val="75000"/>
            </a:schemeClr>
          </a:solidFill>
          <a:prstDash val="sysDot"/>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0.43772</cdr:x>
      <cdr:y>0.66218</cdr:y>
    </cdr:from>
    <cdr:to>
      <cdr:x>0.67113</cdr:x>
      <cdr:y>0.79251</cdr:y>
    </cdr:to>
    <cdr:sp macro="" textlink="">
      <cdr:nvSpPr>
        <cdr:cNvPr id="3" name="Quadre de text 2"/>
        <cdr:cNvSpPr txBox="1"/>
      </cdr:nvSpPr>
      <cdr:spPr>
        <a:xfrm xmlns:a="http://schemas.openxmlformats.org/drawingml/2006/main">
          <a:off x="2521045" y="1906894"/>
          <a:ext cx="1344304" cy="375313"/>
        </a:xfrm>
        <a:prstGeom xmlns:a="http://schemas.openxmlformats.org/drawingml/2006/main" prst="rect">
          <a:avLst/>
        </a:prstGeom>
        <a:ln xmlns:a="http://schemas.openxmlformats.org/drawingml/2006/main" w="12700">
          <a:solidFill>
            <a:schemeClr val="accent6">
              <a:lumMod val="75000"/>
            </a:schemeClr>
          </a:solidFill>
          <a:prstDash val="sysDot"/>
        </a:ln>
      </cdr:spPr>
    </cdr:sp>
  </cdr:relSizeAnchor>
  <cdr:relSizeAnchor xmlns:cdr="http://schemas.openxmlformats.org/drawingml/2006/chartDrawing">
    <cdr:from>
      <cdr:x>0.55443</cdr:x>
      <cdr:y>0.39573</cdr:y>
    </cdr:from>
    <cdr:to>
      <cdr:x>0.75828</cdr:x>
      <cdr:y>0.66218</cdr:y>
    </cdr:to>
    <cdr:cxnSp macro="">
      <cdr:nvCxnSpPr>
        <cdr:cNvPr id="4" name="Connector de fletxa recta 3"/>
        <cdr:cNvCxnSpPr>
          <a:stCxn xmlns:a="http://schemas.openxmlformats.org/drawingml/2006/main" id="3" idx="0"/>
          <a:endCxn xmlns:a="http://schemas.openxmlformats.org/drawingml/2006/main" id="2" idx="2"/>
        </cdr:cNvCxnSpPr>
      </cdr:nvCxnSpPr>
      <cdr:spPr>
        <a:xfrm xmlns:a="http://schemas.openxmlformats.org/drawingml/2006/main" flipV="1">
          <a:off x="3193197" y="1139588"/>
          <a:ext cx="1174087" cy="767306"/>
        </a:xfrm>
        <a:prstGeom xmlns:a="http://schemas.openxmlformats.org/drawingml/2006/main" prst="straightConnector1">
          <a:avLst/>
        </a:prstGeom>
        <a:ln xmlns:a="http://schemas.openxmlformats.org/drawingml/2006/main" w="12700">
          <a:solidFill>
            <a:schemeClr val="accent6">
              <a:lumMod val="75000"/>
            </a:schemeClr>
          </a:solidFill>
          <a:prstDash val="sysDot"/>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0.42772</cdr:x>
      <cdr:y>0.6635</cdr:y>
    </cdr:from>
    <cdr:to>
      <cdr:x>0.68245</cdr:x>
      <cdr:y>0.78909</cdr:y>
    </cdr:to>
    <cdr:sp macro="" textlink="">
      <cdr:nvSpPr>
        <cdr:cNvPr id="13" name="Quadre de text 12"/>
        <cdr:cNvSpPr txBox="1"/>
      </cdr:nvSpPr>
      <cdr:spPr>
        <a:xfrm xmlns:a="http://schemas.openxmlformats.org/drawingml/2006/main">
          <a:off x="2463421" y="1910687"/>
          <a:ext cx="1467133" cy="36166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ca-ES" sz="800"/>
            <a:t>Correlació positiva: </a:t>
          </a:r>
          <a:r>
            <a:rPr lang="ca-ES" sz="800" i="1"/>
            <a:t>Rho de Spearman</a:t>
          </a:r>
          <a:r>
            <a:rPr lang="ca-ES" sz="800"/>
            <a:t>=0,886, sig.= 0,019</a:t>
          </a:r>
          <a:endParaRPr lang="ca-ES" sz="1100"/>
        </a:p>
      </cdr:txBody>
    </cdr:sp>
  </cdr:relSizeAnchor>
  <cdr:relSizeAnchor xmlns:cdr="http://schemas.openxmlformats.org/drawingml/2006/chartDrawing">
    <cdr:from>
      <cdr:x>0.02371</cdr:x>
      <cdr:y>0.13138</cdr:y>
    </cdr:from>
    <cdr:to>
      <cdr:x>0.20023</cdr:x>
      <cdr:y>0.6161</cdr:y>
    </cdr:to>
    <cdr:sp macro="" textlink="">
      <cdr:nvSpPr>
        <cdr:cNvPr id="14" name="Oval 13"/>
        <cdr:cNvSpPr/>
      </cdr:nvSpPr>
      <cdr:spPr>
        <a:xfrm xmlns:a="http://schemas.openxmlformats.org/drawingml/2006/main">
          <a:off x="136573" y="378346"/>
          <a:ext cx="1016663" cy="1395863"/>
        </a:xfrm>
        <a:prstGeom xmlns:a="http://schemas.openxmlformats.org/drawingml/2006/main" prst="ellipse">
          <a:avLst/>
        </a:prstGeom>
        <a:noFill xmlns:a="http://schemas.openxmlformats.org/drawingml/2006/main"/>
        <a:ln xmlns:a="http://schemas.openxmlformats.org/drawingml/2006/main" w="12700">
          <a:solidFill>
            <a:schemeClr val="accent6">
              <a:lumMod val="75000"/>
            </a:schemeClr>
          </a:solidFill>
          <a:prstDash val="sysDot"/>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0.12783</cdr:x>
      <cdr:y>0.67034</cdr:y>
    </cdr:from>
    <cdr:to>
      <cdr:x>0.36124</cdr:x>
      <cdr:y>0.80067</cdr:y>
    </cdr:to>
    <cdr:sp macro="" textlink="">
      <cdr:nvSpPr>
        <cdr:cNvPr id="15" name="Quadre de text 1"/>
        <cdr:cNvSpPr txBox="1"/>
      </cdr:nvSpPr>
      <cdr:spPr>
        <a:xfrm xmlns:a="http://schemas.openxmlformats.org/drawingml/2006/main">
          <a:off x="736221" y="1930399"/>
          <a:ext cx="1344304" cy="375313"/>
        </a:xfrm>
        <a:prstGeom xmlns:a="http://schemas.openxmlformats.org/drawingml/2006/main" prst="rect">
          <a:avLst/>
        </a:prstGeom>
        <a:ln xmlns:a="http://schemas.openxmlformats.org/drawingml/2006/main" w="12700">
          <a:solidFill>
            <a:schemeClr val="accent6">
              <a:lumMod val="75000"/>
            </a:schemeClr>
          </a:solidFill>
          <a:prstDash val="sysDot"/>
        </a:ln>
      </cdr:spPr>
    </cdr:sp>
  </cdr:relSizeAnchor>
  <cdr:relSizeAnchor xmlns:cdr="http://schemas.openxmlformats.org/drawingml/2006/chartDrawing">
    <cdr:from>
      <cdr:x>0.17438</cdr:x>
      <cdr:y>0.54512</cdr:y>
    </cdr:from>
    <cdr:to>
      <cdr:x>0.24453</cdr:x>
      <cdr:y>0.67034</cdr:y>
    </cdr:to>
    <cdr:cxnSp macro="">
      <cdr:nvCxnSpPr>
        <cdr:cNvPr id="16" name="Connector de fletxa recta 15"/>
        <cdr:cNvCxnSpPr>
          <a:stCxn xmlns:a="http://schemas.openxmlformats.org/drawingml/2006/main" id="15" idx="0"/>
          <a:endCxn xmlns:a="http://schemas.openxmlformats.org/drawingml/2006/main" id="14" idx="5"/>
        </cdr:cNvCxnSpPr>
      </cdr:nvCxnSpPr>
      <cdr:spPr>
        <a:xfrm xmlns:a="http://schemas.openxmlformats.org/drawingml/2006/main" flipH="1" flipV="1">
          <a:off x="1004349" y="1569790"/>
          <a:ext cx="404024" cy="360609"/>
        </a:xfrm>
        <a:prstGeom xmlns:a="http://schemas.openxmlformats.org/drawingml/2006/main" prst="straightConnector1">
          <a:avLst/>
        </a:prstGeom>
        <a:ln xmlns:a="http://schemas.openxmlformats.org/drawingml/2006/main" w="12700">
          <a:solidFill>
            <a:schemeClr val="accent6">
              <a:lumMod val="75000"/>
            </a:schemeClr>
          </a:solidFill>
          <a:prstDash val="sysDot"/>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0.43654</cdr:x>
      <cdr:y>0.68114</cdr:y>
    </cdr:from>
    <cdr:to>
      <cdr:x>0.69127</cdr:x>
      <cdr:y>0.80673</cdr:y>
    </cdr:to>
    <cdr:sp macro="" textlink="">
      <cdr:nvSpPr>
        <cdr:cNvPr id="19" name="Quadre de text 1"/>
        <cdr:cNvSpPr txBox="1"/>
      </cdr:nvSpPr>
      <cdr:spPr>
        <a:xfrm xmlns:a="http://schemas.openxmlformats.org/drawingml/2006/main">
          <a:off x="2514221" y="1961487"/>
          <a:ext cx="1467133" cy="361666"/>
        </a:xfrm>
        <a:prstGeom xmlns:a="http://schemas.openxmlformats.org/drawingml/2006/main" prst="rect">
          <a:avLst/>
        </a:prstGeom>
      </cdr:spPr>
    </cdr:sp>
  </cdr:relSizeAnchor>
  <cdr:relSizeAnchor xmlns:cdr="http://schemas.openxmlformats.org/drawingml/2006/chartDrawing">
    <cdr:from>
      <cdr:x>0.12796</cdr:x>
      <cdr:y>0.68247</cdr:y>
    </cdr:from>
    <cdr:to>
      <cdr:x>0.37559</cdr:x>
      <cdr:y>0.80804</cdr:y>
    </cdr:to>
    <cdr:sp macro="" textlink="">
      <cdr:nvSpPr>
        <cdr:cNvPr id="20" name="Quadre de text 19"/>
        <cdr:cNvSpPr txBox="1"/>
      </cdr:nvSpPr>
      <cdr:spPr>
        <a:xfrm xmlns:a="http://schemas.openxmlformats.org/drawingml/2006/main">
          <a:off x="736979" y="1965326"/>
          <a:ext cx="1426191" cy="36160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ca-ES" sz="800"/>
            <a:t>Correlació positiva: </a:t>
          </a:r>
          <a:r>
            <a:rPr lang="ca-ES" sz="800" i="1"/>
            <a:t>Rho de Spearman</a:t>
          </a:r>
          <a:r>
            <a:rPr lang="ca-ES" sz="800"/>
            <a:t>=0,926, sig.= 0,000</a:t>
          </a:r>
        </a:p>
      </cdr:txBody>
    </cdr:sp>
  </cdr:relSizeAnchor>
</c:userShapes>
</file>

<file path=word/drawings/drawing5.xml><?xml version="1.0" encoding="utf-8"?>
<c:userShapes xmlns:c="http://schemas.openxmlformats.org/drawingml/2006/chart">
  <cdr:relSizeAnchor xmlns:cdr="http://schemas.openxmlformats.org/drawingml/2006/chartDrawing">
    <cdr:from>
      <cdr:x>0.74643</cdr:x>
      <cdr:y>0.07214</cdr:y>
    </cdr:from>
    <cdr:to>
      <cdr:x>0.99998</cdr:x>
      <cdr:y>0.7546</cdr:y>
    </cdr:to>
    <cdr:sp macro="" textlink="">
      <cdr:nvSpPr>
        <cdr:cNvPr id="2" name="Oval 1"/>
        <cdr:cNvSpPr/>
      </cdr:nvSpPr>
      <cdr:spPr>
        <a:xfrm xmlns:a="http://schemas.openxmlformats.org/drawingml/2006/main">
          <a:off x="4299045" y="207749"/>
          <a:ext cx="1460310" cy="1965278"/>
        </a:xfrm>
        <a:prstGeom xmlns:a="http://schemas.openxmlformats.org/drawingml/2006/main" prst="ellipse">
          <a:avLst/>
        </a:prstGeom>
        <a:noFill xmlns:a="http://schemas.openxmlformats.org/drawingml/2006/main"/>
        <a:ln xmlns:a="http://schemas.openxmlformats.org/drawingml/2006/main" w="12700">
          <a:solidFill>
            <a:schemeClr val="accent6">
              <a:lumMod val="75000"/>
            </a:schemeClr>
          </a:solidFill>
          <a:prstDash val="sysDot"/>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0.44654</cdr:x>
      <cdr:y>0.67982</cdr:y>
    </cdr:from>
    <cdr:to>
      <cdr:x>0.67995</cdr:x>
      <cdr:y>0.81015</cdr:y>
    </cdr:to>
    <cdr:sp macro="" textlink="">
      <cdr:nvSpPr>
        <cdr:cNvPr id="3" name="Quadre de text 2"/>
        <cdr:cNvSpPr txBox="1"/>
      </cdr:nvSpPr>
      <cdr:spPr>
        <a:xfrm xmlns:a="http://schemas.openxmlformats.org/drawingml/2006/main">
          <a:off x="2571845" y="1957694"/>
          <a:ext cx="1344304" cy="375313"/>
        </a:xfrm>
        <a:prstGeom xmlns:a="http://schemas.openxmlformats.org/drawingml/2006/main" prst="rect">
          <a:avLst/>
        </a:prstGeom>
        <a:ln xmlns:a="http://schemas.openxmlformats.org/drawingml/2006/main" w="12700">
          <a:solidFill>
            <a:schemeClr val="accent6">
              <a:lumMod val="75000"/>
            </a:schemeClr>
          </a:solidFill>
          <a:prstDash val="sysDot"/>
        </a:ln>
      </cdr:spPr>
    </cdr:sp>
  </cdr:relSizeAnchor>
  <cdr:relSizeAnchor xmlns:cdr="http://schemas.openxmlformats.org/drawingml/2006/chartDrawing">
    <cdr:from>
      <cdr:x>0.56325</cdr:x>
      <cdr:y>0.41337</cdr:y>
    </cdr:from>
    <cdr:to>
      <cdr:x>0.74643</cdr:x>
      <cdr:y>0.67982</cdr:y>
    </cdr:to>
    <cdr:cxnSp macro="">
      <cdr:nvCxnSpPr>
        <cdr:cNvPr id="4" name="Connector de fletxa recta 3"/>
        <cdr:cNvCxnSpPr>
          <a:stCxn xmlns:a="http://schemas.openxmlformats.org/drawingml/2006/main" id="3" idx="0"/>
          <a:endCxn xmlns:a="http://schemas.openxmlformats.org/drawingml/2006/main" id="2" idx="2"/>
        </cdr:cNvCxnSpPr>
      </cdr:nvCxnSpPr>
      <cdr:spPr>
        <a:xfrm xmlns:a="http://schemas.openxmlformats.org/drawingml/2006/main" flipV="1">
          <a:off x="3243997" y="1190388"/>
          <a:ext cx="1055048" cy="767306"/>
        </a:xfrm>
        <a:prstGeom xmlns:a="http://schemas.openxmlformats.org/drawingml/2006/main" prst="straightConnector1">
          <a:avLst/>
        </a:prstGeom>
        <a:ln xmlns:a="http://schemas.openxmlformats.org/drawingml/2006/main" w="12700">
          <a:solidFill>
            <a:schemeClr val="accent6">
              <a:lumMod val="75000"/>
            </a:schemeClr>
          </a:solidFill>
          <a:prstDash val="sysDot"/>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0.19431</cdr:x>
      <cdr:y>0.21063</cdr:y>
    </cdr:from>
    <cdr:to>
      <cdr:x>0.41232</cdr:x>
      <cdr:y>0.78672</cdr:y>
    </cdr:to>
    <cdr:sp macro="" textlink="">
      <cdr:nvSpPr>
        <cdr:cNvPr id="5" name="Oval 4"/>
        <cdr:cNvSpPr/>
      </cdr:nvSpPr>
      <cdr:spPr>
        <a:xfrm xmlns:a="http://schemas.openxmlformats.org/drawingml/2006/main">
          <a:off x="1119117" y="606567"/>
          <a:ext cx="1255593" cy="1658961"/>
        </a:xfrm>
        <a:prstGeom xmlns:a="http://schemas.openxmlformats.org/drawingml/2006/main" prst="ellipse">
          <a:avLst/>
        </a:prstGeom>
        <a:noFill xmlns:a="http://schemas.openxmlformats.org/drawingml/2006/main"/>
        <a:ln xmlns:a="http://schemas.openxmlformats.org/drawingml/2006/main" w="12700">
          <a:solidFill>
            <a:schemeClr val="accent6">
              <a:lumMod val="75000"/>
            </a:schemeClr>
          </a:solidFill>
          <a:prstDash val="sysDot"/>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0.07978</cdr:x>
      <cdr:y>0.04818</cdr:y>
    </cdr:from>
    <cdr:to>
      <cdr:x>0.31319</cdr:x>
      <cdr:y>0.17851</cdr:y>
    </cdr:to>
    <cdr:sp macro="" textlink="">
      <cdr:nvSpPr>
        <cdr:cNvPr id="6" name="Quadre de text 1"/>
        <cdr:cNvSpPr txBox="1"/>
      </cdr:nvSpPr>
      <cdr:spPr>
        <a:xfrm xmlns:a="http://schemas.openxmlformats.org/drawingml/2006/main">
          <a:off x="459475" y="138752"/>
          <a:ext cx="1344304" cy="375313"/>
        </a:xfrm>
        <a:prstGeom xmlns:a="http://schemas.openxmlformats.org/drawingml/2006/main" prst="rect">
          <a:avLst/>
        </a:prstGeom>
        <a:ln xmlns:a="http://schemas.openxmlformats.org/drawingml/2006/main" w="12700">
          <a:solidFill>
            <a:schemeClr val="accent6">
              <a:lumMod val="75000"/>
            </a:schemeClr>
          </a:solidFill>
          <a:prstDash val="sysDot"/>
        </a:ln>
      </cdr:spPr>
    </cdr:sp>
  </cdr:relSizeAnchor>
  <cdr:relSizeAnchor xmlns:cdr="http://schemas.openxmlformats.org/drawingml/2006/chartDrawing">
    <cdr:from>
      <cdr:x>0.19668</cdr:x>
      <cdr:y>0.24407</cdr:y>
    </cdr:from>
    <cdr:to>
      <cdr:x>0.22624</cdr:x>
      <cdr:y>0.295</cdr:y>
    </cdr:to>
    <cdr:cxnSp macro="">
      <cdr:nvCxnSpPr>
        <cdr:cNvPr id="7" name="Connector de fletxa recta 6"/>
        <cdr:cNvCxnSpPr>
          <a:endCxn xmlns:a="http://schemas.openxmlformats.org/drawingml/2006/main" id="5" idx="1"/>
        </cdr:cNvCxnSpPr>
      </cdr:nvCxnSpPr>
      <cdr:spPr>
        <a:xfrm xmlns:a="http://schemas.openxmlformats.org/drawingml/2006/main">
          <a:off x="1132764" y="702860"/>
          <a:ext cx="170230" cy="146656"/>
        </a:xfrm>
        <a:prstGeom xmlns:a="http://schemas.openxmlformats.org/drawingml/2006/main" prst="straightConnector1">
          <a:avLst/>
        </a:prstGeom>
        <a:ln xmlns:a="http://schemas.openxmlformats.org/drawingml/2006/main" w="12700">
          <a:solidFill>
            <a:schemeClr val="accent6">
              <a:lumMod val="75000"/>
            </a:schemeClr>
          </a:solidFill>
          <a:prstDash val="sysDot"/>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0.07464</cdr:x>
      <cdr:y>0.05213</cdr:y>
    </cdr:from>
    <cdr:to>
      <cdr:x>0.33649</cdr:x>
      <cdr:y>0.18483</cdr:y>
    </cdr:to>
    <cdr:sp macro="" textlink="">
      <cdr:nvSpPr>
        <cdr:cNvPr id="16" name="Quadre de text 15"/>
        <cdr:cNvSpPr txBox="1"/>
      </cdr:nvSpPr>
      <cdr:spPr>
        <a:xfrm xmlns:a="http://schemas.openxmlformats.org/drawingml/2006/main">
          <a:off x="429905" y="150125"/>
          <a:ext cx="1508078" cy="38213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ca-ES" sz="800"/>
            <a:t>Correlació positiva: </a:t>
          </a:r>
          <a:r>
            <a:rPr lang="ca-ES" sz="800" i="1"/>
            <a:t>Rho de Spearman</a:t>
          </a:r>
          <a:r>
            <a:rPr lang="ca-ES" sz="800"/>
            <a:t>=0,829, sig.= 0,042</a:t>
          </a:r>
        </a:p>
      </cdr:txBody>
    </cdr:sp>
  </cdr:relSizeAnchor>
  <cdr:relSizeAnchor xmlns:cdr="http://schemas.openxmlformats.org/drawingml/2006/chartDrawing">
    <cdr:from>
      <cdr:x>0.44904</cdr:x>
      <cdr:y>0.68247</cdr:y>
    </cdr:from>
    <cdr:to>
      <cdr:x>0.69193</cdr:x>
      <cdr:y>0.81278</cdr:y>
    </cdr:to>
    <cdr:sp macro="" textlink="">
      <cdr:nvSpPr>
        <cdr:cNvPr id="18" name="Quadre de text 17"/>
        <cdr:cNvSpPr txBox="1"/>
      </cdr:nvSpPr>
      <cdr:spPr>
        <a:xfrm xmlns:a="http://schemas.openxmlformats.org/drawingml/2006/main">
          <a:off x="2586222" y="1965326"/>
          <a:ext cx="1398923" cy="37525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ca-ES" sz="800"/>
            <a:t>Correlació positiva: </a:t>
          </a:r>
          <a:r>
            <a:rPr lang="ca-ES" sz="800" i="1"/>
            <a:t>Rho de Spearman</a:t>
          </a:r>
          <a:r>
            <a:rPr lang="ca-ES" sz="800"/>
            <a:t>=1</a:t>
          </a:r>
        </a:p>
        <a:p xmlns:a="http://schemas.openxmlformats.org/drawingml/2006/main">
          <a:endParaRPr lang="ca-ES" sz="800"/>
        </a:p>
      </cdr:txBody>
    </cdr:sp>
  </cdr:relSizeAnchor>
</c:userShapes>
</file>

<file path=word/drawings/drawing6.xml><?xml version="1.0" encoding="utf-8"?>
<c:userShapes xmlns:c="http://schemas.openxmlformats.org/drawingml/2006/chart">
  <cdr:relSizeAnchor xmlns:cdr="http://schemas.openxmlformats.org/drawingml/2006/chartDrawing">
    <cdr:from>
      <cdr:x>0.17825</cdr:x>
      <cdr:y>0.65163</cdr:y>
    </cdr:from>
    <cdr:to>
      <cdr:x>0.36308</cdr:x>
      <cdr:y>0.81384</cdr:y>
    </cdr:to>
    <cdr:sp macro="" textlink="">
      <cdr:nvSpPr>
        <cdr:cNvPr id="2" name="Quadre de text 1"/>
        <cdr:cNvSpPr txBox="1"/>
      </cdr:nvSpPr>
      <cdr:spPr>
        <a:xfrm xmlns:a="http://schemas.openxmlformats.org/drawingml/2006/main">
          <a:off x="1026624" y="1876517"/>
          <a:ext cx="1064516" cy="467107"/>
        </a:xfrm>
        <a:prstGeom xmlns:a="http://schemas.openxmlformats.org/drawingml/2006/main" prst="rect">
          <a:avLst/>
        </a:prstGeom>
        <a:ln xmlns:a="http://schemas.openxmlformats.org/drawingml/2006/main">
          <a:solidFill>
            <a:schemeClr val="accent1">
              <a:shade val="95000"/>
              <a:satMod val="105000"/>
            </a:schemeClr>
          </a:solidFill>
        </a:ln>
      </cdr:spPr>
    </cdr:sp>
  </cdr:relSizeAnchor>
  <cdr:relSizeAnchor xmlns:cdr="http://schemas.openxmlformats.org/drawingml/2006/chartDrawing">
    <cdr:from>
      <cdr:x>0.1718</cdr:x>
      <cdr:y>0.22275</cdr:y>
    </cdr:from>
    <cdr:to>
      <cdr:x>0.20194</cdr:x>
      <cdr:y>0.65795</cdr:y>
    </cdr:to>
    <cdr:cxnSp macro="">
      <cdr:nvCxnSpPr>
        <cdr:cNvPr id="3" name="Connector de fletxa recta 2"/>
        <cdr:cNvCxnSpPr/>
      </cdr:nvCxnSpPr>
      <cdr:spPr>
        <a:xfrm xmlns:a="http://schemas.openxmlformats.org/drawingml/2006/main">
          <a:off x="989463" y="641445"/>
          <a:ext cx="173602" cy="1253272"/>
        </a:xfrm>
        <a:prstGeom xmlns:a="http://schemas.openxmlformats.org/drawingml/2006/main" prst="straightConnector1">
          <a:avLst/>
        </a:prstGeom>
        <a:ln xmlns:a="http://schemas.openxmlformats.org/drawingml/2006/main" w="9525">
          <a:headEnd type="triangle"/>
          <a:tailEnd type="non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0.28962</cdr:x>
      <cdr:y>0.48103</cdr:y>
    </cdr:from>
    <cdr:to>
      <cdr:x>0.51184</cdr:x>
      <cdr:y>0.66006</cdr:y>
    </cdr:to>
    <cdr:cxnSp macro="">
      <cdr:nvCxnSpPr>
        <cdr:cNvPr id="4" name="Connector de fletxa recta 3"/>
        <cdr:cNvCxnSpPr/>
      </cdr:nvCxnSpPr>
      <cdr:spPr>
        <a:xfrm xmlns:a="http://schemas.openxmlformats.org/drawingml/2006/main" flipH="1">
          <a:off x="1668054" y="1385248"/>
          <a:ext cx="1279863" cy="515545"/>
        </a:xfrm>
        <a:prstGeom xmlns:a="http://schemas.openxmlformats.org/drawingml/2006/main" prst="straightConnector1">
          <a:avLst/>
        </a:prstGeom>
        <a:ln xmlns:a="http://schemas.openxmlformats.org/drawingml/2006/main" w="9525">
          <a:headEnd type="triangle"/>
          <a:tailEnd type="non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0.28607</cdr:x>
      <cdr:y>0.43601</cdr:y>
    </cdr:from>
    <cdr:to>
      <cdr:x>0.68482</cdr:x>
      <cdr:y>0.66006</cdr:y>
    </cdr:to>
    <cdr:cxnSp macro="">
      <cdr:nvCxnSpPr>
        <cdr:cNvPr id="5" name="Connector de fletxa recta 4"/>
        <cdr:cNvCxnSpPr/>
      </cdr:nvCxnSpPr>
      <cdr:spPr>
        <a:xfrm xmlns:a="http://schemas.openxmlformats.org/drawingml/2006/main" flipH="1">
          <a:off x="1647609" y="1255594"/>
          <a:ext cx="2296594" cy="645199"/>
        </a:xfrm>
        <a:prstGeom xmlns:a="http://schemas.openxmlformats.org/drawingml/2006/main" prst="straightConnector1">
          <a:avLst/>
        </a:prstGeom>
        <a:ln xmlns:a="http://schemas.openxmlformats.org/drawingml/2006/main" w="9525">
          <a:headEnd type="triangle"/>
          <a:tailEnd type="non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0.19905</cdr:x>
      <cdr:y>0.66114</cdr:y>
    </cdr:from>
    <cdr:to>
      <cdr:x>0.34597</cdr:x>
      <cdr:y>0.82366</cdr:y>
    </cdr:to>
    <cdr:sp macro="" textlink="">
      <cdr:nvSpPr>
        <cdr:cNvPr id="6" name="Quadre de text 5"/>
        <cdr:cNvSpPr txBox="1"/>
      </cdr:nvSpPr>
      <cdr:spPr>
        <a:xfrm xmlns:a="http://schemas.openxmlformats.org/drawingml/2006/main">
          <a:off x="1146412" y="1903910"/>
          <a:ext cx="846161" cy="468013"/>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r>
            <a:rPr lang="ca-ES" sz="800"/>
            <a:t>Àrees formades</a:t>
          </a:r>
          <a:r>
            <a:rPr lang="ca-ES" sz="800" baseline="0"/>
            <a:t> entre les altes i les baixes</a:t>
          </a:r>
          <a:endParaRPr lang="ca-ES" sz="800"/>
        </a:p>
      </cdr:txBody>
    </cdr:sp>
  </cdr:relSizeAnchor>
</c:userShapes>
</file>

<file path=word/theme/theme1.xml><?xml version="1.0" encoding="utf-8"?>
<a:theme xmlns:a="http://schemas.openxmlformats.org/drawingml/2006/main" name="Tema de l'Office">
  <a:themeElements>
    <a:clrScheme name="Ofici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ci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ci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ici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cina">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ci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C8D72C-9572-4C2B-9DF6-3B3D7BC396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383</TotalTime>
  <Pages>261</Pages>
  <Words>101301</Words>
  <Characters>577420</Characters>
  <Application>Microsoft Office Word</Application>
  <DocSecurity>0</DocSecurity>
  <Lines>4811</Lines>
  <Paragraphs>1354</Paragraphs>
  <ScaleCrop>false</ScaleCrop>
  <HeadingPairs>
    <vt:vector size="2" baseType="variant">
      <vt:variant>
        <vt:lpstr>Títol</vt:lpstr>
      </vt:variant>
      <vt:variant>
        <vt:i4>1</vt:i4>
      </vt:variant>
    </vt:vector>
  </HeadingPairs>
  <TitlesOfParts>
    <vt:vector size="1" baseType="lpstr">
      <vt:lpstr/>
    </vt:vector>
  </TitlesOfParts>
  <Company>Generalitat de Catalunya</Company>
  <LinksUpToDate>false</LinksUpToDate>
  <CharactersWithSpaces>677367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Rubio Carbo, Ana</dc:creator>
  <cp:lastModifiedBy>Ana Rubio Carbo</cp:lastModifiedBy>
  <cp:revision>56</cp:revision>
  <cp:lastPrinted>2016-10-26T19:05:00Z</cp:lastPrinted>
  <dcterms:created xsi:type="dcterms:W3CDTF">2016-10-20T09:08:00Z</dcterms:created>
  <dcterms:modified xsi:type="dcterms:W3CDTF">2016-10-28T12:47:00Z</dcterms:modified>
</cp:coreProperties>
</file>